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9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Factorial Energy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Class A Common Stock, par value $0.00001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WAVE Equity GP LP</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67 Batterymarch St, Suite 500</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Boston, MA, 02110</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(617) 350-9808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06/05/2026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WAVE Equity Fund, L.P.</w:t>
      </w:r>
    </w:p>
    <w:p>
      <w:pPr>
        <w:spacing w:after="0" w:line="20"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60" w:hanging="1112"/>
        <w:spacing w:after="0"/>
        <w:tabs>
          <w:tab w:leader="none" w:pos="11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ectPr>
          <w:pgSz w:w="11900" w:h="16838" w:orient="portrait"/>
          <w:cols w:equalWidth="0" w:num="1">
            <w:col w:w="11240"/>
          </w:cols>
          <w:pgMar w:left="320" w:top="866" w:right="339" w:bottom="0" w:gutter="0" w:footer="0" w:header="0"/>
        </w:sectPr>
      </w:pPr>
    </w:p>
    <w:bookmarkStart w:id="1" w:name="page2"/>
    <w:bookmarkEnd w:id="1"/>
    <w:p>
      <w:pPr>
        <w:ind w:left="1160" w:hanging="1112"/>
        <w:spacing w:after="0"/>
        <w:tabs>
          <w:tab w:leader="none" w:pos="11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Source of funds (See Instructions)</w:t>
      </w:r>
    </w:p>
    <w:p>
      <w:pPr>
        <w:spacing w:after="0" w:line="233" w:lineRule="exact"/>
        <w:rPr>
          <w:rFonts w:ascii="Times New Roman" w:cs="Times New Roman" w:eastAsia="Times New Roman" w:hAnsi="Times New Roman"/>
          <w:sz w:val="22"/>
          <w:szCs w:val="22"/>
          <w:color w:val="auto"/>
        </w:rPr>
      </w:pPr>
    </w:p>
    <w:p>
      <w:pPr>
        <w:ind w:left="11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WC</w:t>
      </w:r>
    </w:p>
    <w:p>
      <w:pPr>
        <w:spacing w:after="0" w:line="3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3"/>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CAYMAN ISLANDS</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10,584,189.00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10,584,189.00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10,584,189.00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9.9 %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PN</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-4636135</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-1129665</wp:posOffset>
            </wp:positionV>
            <wp:extent cx="128905" cy="1282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24" w:lineRule="exact"/>
        <w:rPr>
          <w:sz w:val="20"/>
          <w:szCs w:val="20"/>
          <w:color w:val="auto"/>
        </w:rPr>
      </w:pPr>
    </w:p>
    <w:p>
      <w:pPr>
        <w:spacing w:after="0"/>
        <w:tabs>
          <w:tab w:leader="none" w:pos="1400" w:val="left"/>
        </w:tabs>
        <w:rPr>
          <w:sz w:val="20"/>
          <w:szCs w:val="20"/>
          <w:color w:val="auto"/>
        </w:rPr>
      </w:pPr>
      <w:r>
        <w:rPr>
          <w:rFonts w:ascii="Times New Roman" w:cs="Times New Roman" w:eastAsia="Times New Roman" w:hAnsi="Times New Roman"/>
          <w:sz w:val="19"/>
          <w:szCs w:val="19"/>
          <w:b w:val="1"/>
          <w:bCs w:val="1"/>
          <w:color w:val="auto"/>
        </w:rPr>
        <w:t>Comment for</w:t>
      </w:r>
      <w:r>
        <w:rPr>
          <w:sz w:val="20"/>
          <w:szCs w:val="20"/>
          <w:color w:val="auto"/>
        </w:rPr>
        <w:tab/>
      </w:r>
      <w:r>
        <w:rPr>
          <w:rFonts w:ascii="Times New Roman" w:cs="Times New Roman" w:eastAsia="Times New Roman" w:hAnsi="Times New Roman"/>
          <w:sz w:val="21"/>
          <w:szCs w:val="21"/>
          <w:color w:val="auto"/>
        </w:rPr>
        <w:t>Based upon a total of 107,023,245 shares of Class A common stock outstanding upon completion of the Business</w:t>
      </w:r>
    </w:p>
    <w:tbl>
      <w:tblPr>
        <w:tblLayout w:type="fixed"/>
        <w:tblInd w:w="0" w:type="dxa"/>
        <w:tblCellMar>
          <w:top w:w="0" w:type="dxa"/>
          <w:left w:w="0" w:type="dxa"/>
          <w:bottom w:w="0" w:type="dxa"/>
          <w:right w:w="0" w:type="dxa"/>
        </w:tblCellMar>
      </w:tblPr>
      <w:tr>
        <w:trPr>
          <w:trHeight w:val="221"/>
        </w:trPr>
        <w:tc>
          <w:tcPr>
            <w:tcW w:w="11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Type of</w:t>
            </w:r>
          </w:p>
        </w:tc>
        <w:tc>
          <w:tcPr>
            <w:tcW w:w="10100" w:type="dxa"/>
            <w:vAlign w:val="bottom"/>
          </w:tcPr>
          <w:p>
            <w:pPr>
              <w:ind w:left="280"/>
              <w:spacing w:after="0" w:line="221" w:lineRule="exact"/>
              <w:rPr>
                <w:sz w:val="20"/>
                <w:szCs w:val="20"/>
                <w:color w:val="auto"/>
              </w:rPr>
            </w:pPr>
            <w:r>
              <w:rPr>
                <w:rFonts w:ascii="Times New Roman" w:cs="Times New Roman" w:eastAsia="Times New Roman" w:hAnsi="Times New Roman"/>
                <w:sz w:val="22"/>
                <w:szCs w:val="22"/>
                <w:color w:val="auto"/>
              </w:rPr>
              <w:t>Combination, as reported by the Issuer on its Form 8-K on June 10, 2026, and assumes the exchange of</w:t>
            </w:r>
          </w:p>
        </w:tc>
      </w:tr>
      <w:tr>
        <w:trPr>
          <w:trHeight w:val="240"/>
        </w:trPr>
        <w:tc>
          <w:tcPr>
            <w:tcW w:w="11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Reporting</w:t>
            </w:r>
          </w:p>
        </w:tc>
        <w:tc>
          <w:tcPr>
            <w:tcW w:w="10100" w:type="dxa"/>
            <w:vAlign w:val="bottom"/>
          </w:tcPr>
          <w:p>
            <w:pPr>
              <w:ind w:left="280"/>
              <w:spacing w:after="0" w:line="240" w:lineRule="exact"/>
              <w:rPr>
                <w:sz w:val="20"/>
                <w:szCs w:val="20"/>
                <w:color w:val="auto"/>
              </w:rPr>
            </w:pPr>
            <w:r>
              <w:rPr>
                <w:rFonts w:ascii="Times New Roman" w:cs="Times New Roman" w:eastAsia="Times New Roman" w:hAnsi="Times New Roman"/>
                <w:sz w:val="22"/>
                <w:szCs w:val="22"/>
                <w:color w:val="auto"/>
              </w:rPr>
              <w:t>15,512,744 shares of Issuer's Series B Common Stock outstanding.</w:t>
            </w:r>
          </w:p>
        </w:tc>
      </w:tr>
      <w:tr>
        <w:trPr>
          <w:trHeight w:val="257"/>
        </w:trPr>
        <w:tc>
          <w:tcPr>
            <w:tcW w:w="11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Person:</w:t>
            </w:r>
          </w:p>
        </w:tc>
        <w:tc>
          <w:tcPr>
            <w:tcW w:w="10100" w:type="dxa"/>
            <w:vAlign w:val="bottom"/>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WAVE Factorial Energy I,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WC</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1240"/>
          </w:cols>
          <w:pgMar w:left="320" w:top="111" w:right="339" w:bottom="0" w:gutter="0" w:footer="0" w:header="0"/>
        </w:sectPr>
      </w:pPr>
    </w:p>
    <w:bookmarkStart w:id="2" w:name="page3"/>
    <w:bookmarkEnd w:id="2"/>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line="230" w:lineRule="auto"/>
        <w:rPr>
          <w:sz w:val="20"/>
          <w:szCs w:val="20"/>
          <w:color w:val="auto"/>
        </w:rPr>
      </w:pPr>
      <w:r>
        <w:rPr>
          <w:rFonts w:ascii="Times New Roman" w:cs="Times New Roman" w:eastAsia="Times New Roman" w:hAnsi="Times New Roman"/>
          <w:sz w:val="22"/>
          <w:szCs w:val="22"/>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0"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0" w:lineRule="exact"/>
        <w:rPr>
          <w:sz w:val="20"/>
          <w:szCs w:val="20"/>
          <w:color w:val="auto"/>
        </w:rPr>
      </w:pPr>
    </w:p>
    <w:p>
      <w:pPr>
        <w:spacing w:after="0" w:line="32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9"/>
          <w:szCs w:val="19"/>
          <w:b w:val="1"/>
          <w:bCs w:val="1"/>
          <w:color w:val="auto"/>
        </w:rPr>
        <w:t>Comment for Type of Reporting Person:</w:t>
      </w:r>
    </w:p>
    <w:p>
      <w:pPr>
        <w:spacing w:after="0" w:line="20" w:lineRule="exact"/>
        <w:rPr>
          <w:sz w:val="20"/>
          <w:szCs w:val="20"/>
          <w:color w:val="auto"/>
        </w:rPr>
      </w:pPr>
      <w:r>
        <w:rPr>
          <w:sz w:val="20"/>
          <w:szCs w:val="20"/>
          <w:color w:val="auto"/>
        </w:rPr>
        <w:br w:type="column"/>
      </w:r>
    </w:p>
    <w:p>
      <w:pPr>
        <w:ind w:left="320" w:right="8140" w:hanging="271"/>
        <w:spacing w:after="0" w:line="371" w:lineRule="auto"/>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634,715.00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634,715.00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634,715.00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74" w:lineRule="exact"/>
        <w:rPr>
          <w:sz w:val="20"/>
          <w:szCs w:val="20"/>
          <w:color w:val="auto"/>
        </w:rPr>
      </w:pPr>
    </w:p>
    <w:p>
      <w:pPr>
        <w:jc w:val="both"/>
        <w:ind w:left="260"/>
        <w:spacing w:after="0" w:line="244" w:lineRule="auto"/>
        <w:rPr>
          <w:sz w:val="20"/>
          <w:szCs w:val="20"/>
          <w:color w:val="auto"/>
        </w:rPr>
      </w:pPr>
      <w:r>
        <w:rPr>
          <w:rFonts w:ascii="Times New Roman" w:cs="Times New Roman" w:eastAsia="Times New Roman" w:hAnsi="Times New Roman"/>
          <w:sz w:val="22"/>
          <w:szCs w:val="22"/>
          <w:color w:val="auto"/>
        </w:rPr>
        <w:t>Based upon a total of 107,023,245 shares of Class A common stock outstanding upon completion of the Business Combination, as reported by the Issuer on its Form 8-K on June 10, 2026, and assumes the exchange of 15,512,744 shares of Issuer's Series B Common Stock outstanding.</w:t>
      </w:r>
    </w:p>
    <w:p>
      <w:pPr>
        <w:spacing w:after="0" w:line="400" w:lineRule="exact"/>
        <w:rPr>
          <w:sz w:val="20"/>
          <w:szCs w:val="20"/>
          <w:color w:val="auto"/>
        </w:rPr>
      </w:pPr>
    </w:p>
    <w:p>
      <w:pPr>
        <w:sectPr>
          <w:pgSz w:w="11900" w:h="16838" w:orient="portrait"/>
          <w:cols w:equalWidth="0" w:num="2">
            <w:col w:w="1120" w:space="40"/>
            <w:col w:w="10080"/>
          </w:cols>
          <w:pgMar w:left="320" w:top="111" w:right="339" w:bottom="0" w:gutter="0" w:footer="0" w:header="0"/>
        </w:sectPr>
      </w:pPr>
    </w:p>
    <w:p>
      <w:pPr>
        <w:spacing w:after="0" w:line="200" w:lineRule="exact"/>
        <w:rPr>
          <w:sz w:val="20"/>
          <w:szCs w:val="20"/>
          <w:color w:val="auto"/>
        </w:rPr>
      </w:pPr>
    </w:p>
    <w:p>
      <w:pPr>
        <w:spacing w:after="0" w:line="2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WAVE AAC/LIO Co-Invest III,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7"/>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WC</w:t>
      </w:r>
    </w:p>
    <w:p>
      <w:pPr>
        <w:spacing w:after="0" w:line="1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5"/>
              </w:rPr>
              <w:t>Sole Voting Power</w:t>
            </w: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1940" w:type="dxa"/>
            <w:vAlign w:val="bottom"/>
          </w:tcPr>
          <w:p>
            <w:pPr>
              <w:jc w:val="right"/>
              <w:ind w:right="1672"/>
              <w:spacing w:after="0" w:line="243" w:lineRule="exact"/>
              <w:rPr>
                <w:sz w:val="20"/>
                <w:szCs w:val="20"/>
                <w:color w:val="auto"/>
              </w:rPr>
            </w:pPr>
            <w:r>
              <w:rPr>
                <w:rFonts w:ascii="Times New Roman" w:cs="Times New Roman" w:eastAsia="Times New Roman" w:hAnsi="Times New Roman"/>
                <w:sz w:val="22"/>
                <w:szCs w:val="22"/>
                <w:color w:val="auto"/>
              </w:rPr>
              <w:t>7</w:t>
            </w:r>
          </w:p>
        </w:tc>
      </w:tr>
      <w:tr>
        <w:trPr>
          <w:trHeight w:val="253"/>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0.00</w:t>
            </w:r>
          </w:p>
        </w:tc>
      </w:tr>
    </w:tbl>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9"/>
        </w:trPr>
        <w:tc>
          <w:tcPr>
            <w:tcW w:w="1040" w:type="dxa"/>
            <w:vAlign w:val="bottom"/>
          </w:tcPr>
          <w:p>
            <w:pPr>
              <w:spacing w:after="0" w:line="219" w:lineRule="exact"/>
              <w:rPr>
                <w:sz w:val="20"/>
                <w:szCs w:val="20"/>
                <w:color w:val="auto"/>
              </w:rPr>
            </w:pPr>
            <w:r>
              <w:rPr>
                <w:rFonts w:ascii="Times New Roman" w:cs="Times New Roman" w:eastAsia="Times New Roman" w:hAnsi="Times New Roman"/>
                <w:sz w:val="22"/>
                <w:szCs w:val="22"/>
                <w:color w:val="auto"/>
              </w:rPr>
              <w:t>Owned by</w:t>
            </w:r>
          </w:p>
        </w:tc>
        <w:tc>
          <w:tcPr>
            <w:tcW w:w="242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95"/>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4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040" w:type="dxa"/>
            <w:vAlign w:val="bottom"/>
            <w:vMerge w:val="continue"/>
          </w:tcPr>
          <w:p>
            <w:pPr>
              <w:spacing w:after="0"/>
              <w:rPr>
                <w:sz w:val="12"/>
                <w:szCs w:val="12"/>
                <w:color w:val="auto"/>
              </w:rPr>
            </w:pPr>
          </w:p>
        </w:tc>
        <w:tc>
          <w:tcPr>
            <w:tcW w:w="2420" w:type="dxa"/>
            <w:vAlign w:val="bottom"/>
            <w:vMerge w:val="restart"/>
          </w:tcPr>
          <w:p>
            <w:pPr>
              <w:jc w:val="right"/>
              <w:ind w:right="2072"/>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9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4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040" w:type="dxa"/>
            <w:vAlign w:val="bottom"/>
            <w:vMerge w:val="continue"/>
          </w:tcPr>
          <w:p>
            <w:pPr>
              <w:spacing w:after="0"/>
              <w:rPr>
                <w:sz w:val="12"/>
                <w:szCs w:val="12"/>
                <w:color w:val="auto"/>
              </w:rPr>
            </w:pPr>
          </w:p>
        </w:tc>
        <w:tc>
          <w:tcPr>
            <w:tcW w:w="242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255,548.00</w:t>
            </w:r>
          </w:p>
        </w:tc>
        <w:tc>
          <w:tcPr>
            <w:tcW w:w="0" w:type="dxa"/>
            <w:vAlign w:val="bottom"/>
          </w:tcPr>
          <w:p>
            <w:pPr>
              <w:spacing w:after="0"/>
              <w:rPr>
                <w:sz w:val="1"/>
                <w:szCs w:val="1"/>
                <w:color w:val="auto"/>
              </w:rPr>
            </w:pPr>
          </w:p>
        </w:tc>
      </w:tr>
      <w:tr>
        <w:trPr>
          <w:trHeight w:val="13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040" w:type="dxa"/>
            <w:vAlign w:val="bottom"/>
            <w:vMerge w:val="continue"/>
          </w:tcPr>
          <w:p>
            <w:pPr>
              <w:spacing w:after="0"/>
              <w:rPr>
                <w:sz w:val="9"/>
                <w:szCs w:val="9"/>
                <w:color w:val="auto"/>
              </w:rPr>
            </w:pPr>
          </w:p>
        </w:tc>
        <w:tc>
          <w:tcPr>
            <w:tcW w:w="242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48"/>
        </w:trPr>
        <w:tc>
          <w:tcPr>
            <w:tcW w:w="10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040" w:type="dxa"/>
            <w:vAlign w:val="bottom"/>
            <w:vMerge w:val="continue"/>
          </w:tcPr>
          <w:p>
            <w:pPr>
              <w:spacing w:after="0"/>
              <w:rPr>
                <w:sz w:val="11"/>
                <w:szCs w:val="11"/>
                <w:color w:val="auto"/>
              </w:rPr>
            </w:pPr>
          </w:p>
        </w:tc>
        <w:tc>
          <w:tcPr>
            <w:tcW w:w="2420" w:type="dxa"/>
            <w:vAlign w:val="bottom"/>
            <w:vMerge w:val="restart"/>
          </w:tcPr>
          <w:p>
            <w:pPr>
              <w:jc w:val="right"/>
              <w:ind w:right="2072"/>
              <w:spacing w:after="0"/>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133"/>
        </w:trPr>
        <w:tc>
          <w:tcPr>
            <w:tcW w:w="1040" w:type="dxa"/>
            <w:vAlign w:val="bottom"/>
          </w:tcPr>
          <w:p>
            <w:pPr>
              <w:spacing w:after="0"/>
              <w:rPr>
                <w:sz w:val="11"/>
                <w:szCs w:val="11"/>
                <w:color w:val="auto"/>
              </w:rPr>
            </w:pPr>
          </w:p>
        </w:tc>
        <w:tc>
          <w:tcPr>
            <w:tcW w:w="2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11" w:right="339" w:bottom="0" w:gutter="0" w:footer="0" w:header="0"/>
          <w:type w:val="continuous"/>
        </w:sectPr>
      </w:pPr>
    </w:p>
    <w:p>
      <w:pPr>
        <w:ind w:left="1480"/>
        <w:spacing w:after="0"/>
        <w:rPr>
          <w:sz w:val="20"/>
          <w:szCs w:val="20"/>
          <w:color w:val="auto"/>
        </w:rPr>
      </w:pPr>
      <w:r>
        <w:rPr>
          <w:rFonts w:ascii="Times New Roman" w:cs="Times New Roman" w:eastAsia="Times New Roman" w:hAnsi="Times New Roman"/>
          <w:sz w:val="21"/>
          <w:szCs w:val="21"/>
          <w:color w:val="auto"/>
        </w:rPr>
        <w:t>0.00</w:t>
      </w:r>
    </w:p>
    <w:p>
      <w:pPr>
        <w:sectPr>
          <w:pgSz w:w="11900" w:h="16838" w:orient="portrait"/>
          <w:cols w:equalWidth="0" w:num="1">
            <w:col w:w="11240"/>
          </w:cols>
          <w:pgMar w:left="320" w:top="111" w:right="339" w:bottom="0"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0" w:lineRule="exact"/>
        <w:rPr>
          <w:sz w:val="20"/>
          <w:szCs w:val="20"/>
          <w:color w:val="auto"/>
        </w:rPr>
      </w:pPr>
    </w:p>
    <w:p>
      <w:pPr>
        <w:spacing w:after="0" w:line="32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9"/>
          <w:szCs w:val="19"/>
          <w:b w:val="1"/>
          <w:bCs w:val="1"/>
          <w:color w:val="auto"/>
        </w:rPr>
        <w:t>Comment for Type of Reporting Person:</w:t>
      </w:r>
    </w:p>
    <w:p>
      <w:pPr>
        <w:spacing w:after="0" w:line="20" w:lineRule="exact"/>
        <w:rPr>
          <w:sz w:val="20"/>
          <w:szCs w:val="20"/>
          <w:color w:val="auto"/>
        </w:rPr>
      </w:pPr>
      <w:r>
        <w:rPr>
          <w:sz w:val="20"/>
          <w:szCs w:val="20"/>
          <w:color w:val="auto"/>
        </w:rPr>
        <w:br w:type="column"/>
      </w:r>
    </w:p>
    <w:p>
      <w:pPr>
        <w:ind w:left="40"/>
        <w:spacing w:after="0"/>
        <w:rPr>
          <w:sz w:val="20"/>
          <w:szCs w:val="20"/>
          <w:color w:val="auto"/>
        </w:rPr>
      </w:pPr>
      <w:r>
        <w:rPr>
          <w:rFonts w:ascii="Times New Roman" w:cs="Times New Roman" w:eastAsia="Times New Roman" w:hAnsi="Times New Roman"/>
          <w:sz w:val="22"/>
          <w:szCs w:val="22"/>
          <w:color w:val="auto"/>
        </w:rPr>
        <w:t>10 Shared Dispositive Power</w:t>
      </w:r>
    </w:p>
    <w:p>
      <w:pPr>
        <w:spacing w:after="0" w:line="23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255,548.00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255,548.00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74" w:lineRule="exact"/>
        <w:rPr>
          <w:sz w:val="20"/>
          <w:szCs w:val="20"/>
          <w:color w:val="auto"/>
        </w:rPr>
      </w:pPr>
    </w:p>
    <w:p>
      <w:pPr>
        <w:jc w:val="both"/>
        <w:ind w:left="260"/>
        <w:spacing w:after="0" w:line="244" w:lineRule="auto"/>
        <w:rPr>
          <w:sz w:val="20"/>
          <w:szCs w:val="20"/>
          <w:color w:val="auto"/>
        </w:rPr>
      </w:pPr>
      <w:r>
        <w:rPr>
          <w:rFonts w:ascii="Times New Roman" w:cs="Times New Roman" w:eastAsia="Times New Roman" w:hAnsi="Times New Roman"/>
          <w:sz w:val="22"/>
          <w:szCs w:val="22"/>
          <w:color w:val="auto"/>
        </w:rPr>
        <w:t>Based upon a total of 107,023,245 shares of Class A common stock outstanding upon completion of the Business Combination, as reported by the Issuer on its Form 8-K on June 10, 2026, and assumes the exchange of 15,512,744 shares of Issuer's Series B Common Stock outstanding.</w:t>
      </w:r>
    </w:p>
    <w:p>
      <w:pPr>
        <w:spacing w:after="0" w:line="400" w:lineRule="exact"/>
        <w:rPr>
          <w:sz w:val="20"/>
          <w:szCs w:val="20"/>
          <w:color w:val="auto"/>
        </w:rPr>
      </w:pPr>
    </w:p>
    <w:p>
      <w:pPr>
        <w:sectPr>
          <w:pgSz w:w="11900" w:h="16838" w:orient="portrait"/>
          <w:cols w:equalWidth="0" w:num="2">
            <w:col w:w="1120" w:space="40"/>
            <w:col w:w="10080"/>
          </w:cols>
          <w:pgMar w:left="320" w:top="112" w:right="339" w:bottom="22" w:gutter="0" w:footer="0" w:header="0"/>
        </w:sectPr>
      </w:pPr>
    </w:p>
    <w:p>
      <w:pPr>
        <w:spacing w:after="0" w:line="200" w:lineRule="exact"/>
        <w:rPr>
          <w:sz w:val="20"/>
          <w:szCs w:val="20"/>
          <w:color w:val="auto"/>
        </w:rPr>
      </w:pPr>
    </w:p>
    <w:p>
      <w:pPr>
        <w:spacing w:after="0" w:line="2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WAVE Equity GP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60" w:hanging="1112"/>
        <w:spacing w:after="0"/>
        <w:tabs>
          <w:tab w:leader="none" w:pos="1160" w:val="left"/>
        </w:tabs>
        <w:numPr>
          <w:ilvl w:val="0"/>
          <w:numId w:val="9"/>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40"/>
          </w:cols>
          <w:pgMar w:left="320" w:top="112" w:right="339" w:bottom="22" w:gutter="0" w:footer="0" w:header="0"/>
          <w:type w:val="continuous"/>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 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8160"/>
        <w:spacing w:after="0"/>
        <w:rPr>
          <w:sz w:val="20"/>
          <w:szCs w:val="20"/>
          <w:color w:val="auto"/>
        </w:rPr>
      </w:pPr>
      <w:r>
        <w:rPr>
          <w:rFonts w:ascii="Times New Roman" w:cs="Times New Roman" w:eastAsia="Times New Roman" w:hAnsi="Times New Roman"/>
          <w:sz w:val="21"/>
          <w:szCs w:val="21"/>
          <w:color w:val="auto"/>
        </w:rPr>
        <w:t>CAYMAN ISLANDS</w:t>
      </w:r>
    </w:p>
    <w:p>
      <w:pPr>
        <w:spacing w:after="0" w:line="96" w:lineRule="exact"/>
        <w:rPr>
          <w:sz w:val="20"/>
          <w:szCs w:val="20"/>
          <w:color w:val="auto"/>
        </w:rPr>
      </w:pPr>
    </w:p>
    <w:p>
      <w:pPr>
        <w:jc w:val="right"/>
        <w:ind w:right="814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10,839,737.00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10,839,737.00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10,839,737.00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1" w:lineRule="exact"/>
        <w:rPr>
          <w:sz w:val="20"/>
          <w:szCs w:val="20"/>
          <w:color w:val="auto"/>
        </w:rPr>
      </w:pPr>
    </w:p>
    <w:p>
      <w:pPr>
        <w:sectPr>
          <w:pgSz w:w="11900" w:h="16838" w:orient="portrait"/>
          <w:cols w:equalWidth="0" w:num="2">
            <w:col w:w="1100" w:space="60"/>
            <w:col w:w="10080"/>
          </w:cols>
          <w:pgMar w:left="320" w:top="112" w:right="339" w:bottom="22"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2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1240"/>
          </w:cols>
          <w:pgMar w:left="320" w:top="112" w:right="339" w:bottom="22" w:gutter="0" w:footer="0" w:header="0"/>
          <w:type w:val="continuous"/>
        </w:sectPr>
      </w:pPr>
    </w:p>
    <w:bookmarkStart w:id="4" w:name="page5"/>
    <w:bookmarkEnd w:id="4"/>
    <w:p>
      <w:pPr>
        <w:spacing w:after="0" w:line="81" w:lineRule="exact"/>
        <w:rPr>
          <w:sz w:val="20"/>
          <w:szCs w:val="20"/>
          <w:color w:val="auto"/>
        </w:rPr>
      </w:pPr>
    </w:p>
    <w:p>
      <w:pPr>
        <w:ind w:left="1160" w:right="5600" w:hanging="1112"/>
        <w:spacing w:after="0" w:line="371" w:lineRule="auto"/>
        <w:tabs>
          <w:tab w:leader="none" w:pos="116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(11) 10.1 %</w:t>
      </w:r>
    </w:p>
    <w:p>
      <w:pPr>
        <w:spacing w:after="0" w:line="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PN</w:t>
      </w:r>
    </w:p>
    <w:p>
      <w:pPr>
        <w:spacing w:after="0" w:line="250" w:lineRule="exact"/>
        <w:rPr>
          <w:sz w:val="20"/>
          <w:szCs w:val="20"/>
          <w:color w:val="auto"/>
        </w:rPr>
      </w:pPr>
    </w:p>
    <w:p>
      <w:pPr>
        <w:spacing w:after="0"/>
        <w:tabs>
          <w:tab w:leader="none" w:pos="1400" w:val="left"/>
        </w:tabs>
        <w:rPr>
          <w:sz w:val="20"/>
          <w:szCs w:val="20"/>
          <w:color w:val="auto"/>
        </w:rPr>
      </w:pPr>
      <w:r>
        <w:rPr>
          <w:rFonts w:ascii="Times New Roman" w:cs="Times New Roman" w:eastAsia="Times New Roman" w:hAnsi="Times New Roman"/>
          <w:sz w:val="19"/>
          <w:szCs w:val="19"/>
          <w:b w:val="1"/>
          <w:bCs w:val="1"/>
          <w:color w:val="auto"/>
        </w:rPr>
        <w:t>Comment for</w:t>
      </w:r>
      <w:r>
        <w:rPr>
          <w:sz w:val="20"/>
          <w:szCs w:val="20"/>
          <w:color w:val="auto"/>
        </w:rPr>
        <w:tab/>
      </w:r>
      <w:r>
        <w:rPr>
          <w:rFonts w:ascii="Times New Roman" w:cs="Times New Roman" w:eastAsia="Times New Roman" w:hAnsi="Times New Roman"/>
          <w:sz w:val="21"/>
          <w:szCs w:val="21"/>
          <w:color w:val="auto"/>
        </w:rPr>
        <w:t>Based upon a total of 107,023,245 shares of Class A common stock outstanding upon completion of the Business</w:t>
      </w:r>
    </w:p>
    <w:tbl>
      <w:tblPr>
        <w:tblLayout w:type="fixed"/>
        <w:tblInd w:w="0" w:type="dxa"/>
        <w:tblCellMar>
          <w:top w:w="0" w:type="dxa"/>
          <w:left w:w="0" w:type="dxa"/>
          <w:bottom w:w="0" w:type="dxa"/>
          <w:right w:w="0" w:type="dxa"/>
        </w:tblCellMar>
      </w:tblPr>
      <w:tr>
        <w:trPr>
          <w:trHeight w:val="221"/>
        </w:trPr>
        <w:tc>
          <w:tcPr>
            <w:tcW w:w="11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Type of</w:t>
            </w:r>
          </w:p>
        </w:tc>
        <w:tc>
          <w:tcPr>
            <w:tcW w:w="10100" w:type="dxa"/>
            <w:vAlign w:val="bottom"/>
          </w:tcPr>
          <w:p>
            <w:pPr>
              <w:ind w:left="280"/>
              <w:spacing w:after="0" w:line="221" w:lineRule="exact"/>
              <w:rPr>
                <w:sz w:val="20"/>
                <w:szCs w:val="20"/>
                <w:color w:val="auto"/>
              </w:rPr>
            </w:pPr>
            <w:r>
              <w:rPr>
                <w:rFonts w:ascii="Times New Roman" w:cs="Times New Roman" w:eastAsia="Times New Roman" w:hAnsi="Times New Roman"/>
                <w:sz w:val="22"/>
                <w:szCs w:val="22"/>
                <w:color w:val="auto"/>
              </w:rPr>
              <w:t>Combination, as reported by the Issuer on its Form 8-K on June 10, 2026, and assumes the exchange of</w:t>
            </w:r>
          </w:p>
        </w:tc>
      </w:tr>
      <w:tr>
        <w:trPr>
          <w:trHeight w:val="240"/>
        </w:trPr>
        <w:tc>
          <w:tcPr>
            <w:tcW w:w="11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Reporting</w:t>
            </w:r>
          </w:p>
        </w:tc>
        <w:tc>
          <w:tcPr>
            <w:tcW w:w="10100" w:type="dxa"/>
            <w:vAlign w:val="bottom"/>
          </w:tcPr>
          <w:p>
            <w:pPr>
              <w:ind w:left="280"/>
              <w:spacing w:after="0" w:line="240" w:lineRule="exact"/>
              <w:rPr>
                <w:sz w:val="20"/>
                <w:szCs w:val="20"/>
                <w:color w:val="auto"/>
              </w:rPr>
            </w:pPr>
            <w:r>
              <w:rPr>
                <w:rFonts w:ascii="Times New Roman" w:cs="Times New Roman" w:eastAsia="Times New Roman" w:hAnsi="Times New Roman"/>
                <w:sz w:val="22"/>
                <w:szCs w:val="22"/>
                <w:color w:val="auto"/>
              </w:rPr>
              <w:t>15,512,744 shares of Issuer's Series B Common Stock outstanding.</w:t>
            </w:r>
          </w:p>
        </w:tc>
      </w:tr>
      <w:tr>
        <w:trPr>
          <w:trHeight w:val="257"/>
        </w:trPr>
        <w:tc>
          <w:tcPr>
            <w:tcW w:w="11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Person:</w:t>
            </w:r>
          </w:p>
        </w:tc>
        <w:tc>
          <w:tcPr>
            <w:tcW w:w="10100" w:type="dxa"/>
            <w:vAlign w:val="bottom"/>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WAVE Equity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920" w:orient="portrait"/>
          <w:cols w:equalWidth="0" w:num="1">
            <w:col w:w="11240"/>
          </w:cols>
          <w:pgMar w:left="320" w:top="112" w:right="33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line="230" w:lineRule="auto"/>
        <w:rPr>
          <w:sz w:val="20"/>
          <w:szCs w:val="20"/>
          <w:color w:val="auto"/>
        </w:rPr>
      </w:pPr>
      <w:r>
        <w:rPr>
          <w:rFonts w:ascii="Times New Roman" w:cs="Times New Roman" w:eastAsia="Times New Roman" w:hAnsi="Times New Roman"/>
          <w:sz w:val="22"/>
          <w:szCs w:val="22"/>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0"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0" w:lineRule="exact"/>
        <w:rPr>
          <w:sz w:val="20"/>
          <w:szCs w:val="20"/>
          <w:color w:val="auto"/>
        </w:rPr>
      </w:pPr>
    </w:p>
    <w:p>
      <w:pPr>
        <w:spacing w:after="0" w:line="320"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9"/>
          <w:szCs w:val="19"/>
          <w:b w:val="1"/>
          <w:bCs w:val="1"/>
          <w:color w:val="auto"/>
        </w:rPr>
        <w:t>Comment for Type of</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634,715.00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634,715.00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634,715.00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74" w:lineRule="exact"/>
        <w:rPr>
          <w:sz w:val="20"/>
          <w:szCs w:val="20"/>
          <w:color w:val="auto"/>
        </w:rPr>
      </w:pPr>
    </w:p>
    <w:p>
      <w:pPr>
        <w:jc w:val="both"/>
        <w:ind w:left="260"/>
        <w:spacing w:after="0" w:line="244" w:lineRule="auto"/>
        <w:rPr>
          <w:sz w:val="20"/>
          <w:szCs w:val="20"/>
          <w:color w:val="auto"/>
        </w:rPr>
      </w:pPr>
      <w:r>
        <w:rPr>
          <w:rFonts w:ascii="Times New Roman" w:cs="Times New Roman" w:eastAsia="Times New Roman" w:hAnsi="Times New Roman"/>
          <w:sz w:val="22"/>
          <w:szCs w:val="22"/>
          <w:color w:val="auto"/>
        </w:rPr>
        <w:t>Based upon a total of 107,023,245 shares of Class A common stock outstanding upon completion of the Business Combination, as reported by the Issuer on its Form 8-K on June 10, 2026, and assumes the exchange of 15,512,744 shares of Issuer's Series B Common Stock outstanding.</w:t>
      </w:r>
    </w:p>
    <w:p>
      <w:pPr>
        <w:sectPr>
          <w:pgSz w:w="11900" w:h="16920" w:orient="portrait"/>
          <w:cols w:equalWidth="0" w:num="2">
            <w:col w:w="1120" w:space="40"/>
            <w:col w:w="10080"/>
          </w:cols>
          <w:pgMar w:left="320" w:top="112" w:right="339" w:bottom="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9"/>
          <w:szCs w:val="19"/>
          <w:b w:val="1"/>
          <w:bCs w:val="1"/>
          <w:color w:val="auto"/>
        </w:rPr>
        <w:t>Reporting</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Person:</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Mark Robinson</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2"/>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AF</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UNITED STATES</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11,474,452.00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11,474,452.00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11,474,452.00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10.7 %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IN</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-4636135</wp:posOffset>
            </wp:positionV>
            <wp:extent cx="128905"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-1130300</wp:posOffset>
            </wp:positionV>
            <wp:extent cx="128905" cy="1282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24" w:lineRule="exact"/>
        <w:rPr>
          <w:sz w:val="20"/>
          <w:szCs w:val="20"/>
          <w:color w:val="auto"/>
        </w:rPr>
      </w:pPr>
    </w:p>
    <w:p>
      <w:pPr>
        <w:spacing w:after="0"/>
        <w:tabs>
          <w:tab w:leader="none" w:pos="1400" w:val="left"/>
        </w:tabs>
        <w:rPr>
          <w:sz w:val="20"/>
          <w:szCs w:val="20"/>
          <w:color w:val="auto"/>
        </w:rPr>
      </w:pPr>
      <w:r>
        <w:rPr>
          <w:rFonts w:ascii="Times New Roman" w:cs="Times New Roman" w:eastAsia="Times New Roman" w:hAnsi="Times New Roman"/>
          <w:sz w:val="19"/>
          <w:szCs w:val="19"/>
          <w:b w:val="1"/>
          <w:bCs w:val="1"/>
          <w:color w:val="auto"/>
        </w:rPr>
        <w:t>Comment for</w:t>
      </w:r>
      <w:r>
        <w:rPr>
          <w:sz w:val="20"/>
          <w:szCs w:val="20"/>
          <w:color w:val="auto"/>
        </w:rPr>
        <w:tab/>
      </w:r>
      <w:r>
        <w:rPr>
          <w:rFonts w:ascii="Times New Roman" w:cs="Times New Roman" w:eastAsia="Times New Roman" w:hAnsi="Times New Roman"/>
          <w:sz w:val="21"/>
          <w:szCs w:val="21"/>
          <w:color w:val="auto"/>
        </w:rPr>
        <w:t>Based upon a total of 107,023,245 shares of Class A common stock outstanding upon completion of the Business</w:t>
      </w:r>
    </w:p>
    <w:tbl>
      <w:tblPr>
        <w:tblLayout w:type="fixed"/>
        <w:tblInd w:w="0" w:type="dxa"/>
        <w:tblCellMar>
          <w:top w:w="0" w:type="dxa"/>
          <w:left w:w="0" w:type="dxa"/>
          <w:bottom w:w="0" w:type="dxa"/>
          <w:right w:w="0" w:type="dxa"/>
        </w:tblCellMar>
      </w:tblPr>
      <w:tr>
        <w:trPr>
          <w:trHeight w:val="221"/>
        </w:trPr>
        <w:tc>
          <w:tcPr>
            <w:tcW w:w="11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Type of</w:t>
            </w:r>
          </w:p>
        </w:tc>
        <w:tc>
          <w:tcPr>
            <w:tcW w:w="10100" w:type="dxa"/>
            <w:vAlign w:val="bottom"/>
          </w:tcPr>
          <w:p>
            <w:pPr>
              <w:ind w:left="280"/>
              <w:spacing w:after="0" w:line="221" w:lineRule="exact"/>
              <w:rPr>
                <w:sz w:val="20"/>
                <w:szCs w:val="20"/>
                <w:color w:val="auto"/>
              </w:rPr>
            </w:pPr>
            <w:r>
              <w:rPr>
                <w:rFonts w:ascii="Times New Roman" w:cs="Times New Roman" w:eastAsia="Times New Roman" w:hAnsi="Times New Roman"/>
                <w:sz w:val="22"/>
                <w:szCs w:val="22"/>
                <w:color w:val="auto"/>
              </w:rPr>
              <w:t>Combination, as reported by the Issuer on its Form 8-K on June 10, 2026, and assumes the exchange of</w:t>
            </w:r>
          </w:p>
        </w:tc>
      </w:tr>
      <w:tr>
        <w:trPr>
          <w:trHeight w:val="240"/>
        </w:trPr>
        <w:tc>
          <w:tcPr>
            <w:tcW w:w="11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Reporting</w:t>
            </w:r>
          </w:p>
        </w:tc>
        <w:tc>
          <w:tcPr>
            <w:tcW w:w="10100" w:type="dxa"/>
            <w:vAlign w:val="bottom"/>
          </w:tcPr>
          <w:p>
            <w:pPr>
              <w:ind w:left="280"/>
              <w:spacing w:after="0" w:line="240" w:lineRule="exact"/>
              <w:rPr>
                <w:sz w:val="20"/>
                <w:szCs w:val="20"/>
                <w:color w:val="auto"/>
              </w:rPr>
            </w:pPr>
            <w:r>
              <w:rPr>
                <w:rFonts w:ascii="Times New Roman" w:cs="Times New Roman" w:eastAsia="Times New Roman" w:hAnsi="Times New Roman"/>
                <w:sz w:val="22"/>
                <w:szCs w:val="22"/>
                <w:color w:val="auto"/>
              </w:rPr>
              <w:t>15,512,744 shares of Issuer's Series B Common Stock outstanding.</w:t>
            </w:r>
          </w:p>
        </w:tc>
      </w:tr>
      <w:tr>
        <w:trPr>
          <w:trHeight w:val="257"/>
        </w:trPr>
        <w:tc>
          <w:tcPr>
            <w:tcW w:w="11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Person:</w:t>
            </w:r>
          </w:p>
        </w:tc>
        <w:tc>
          <w:tcPr>
            <w:tcW w:w="10100" w:type="dxa"/>
            <w:vAlign w:val="bottom"/>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ectPr>
          <w:pgSz w:w="11900" w:h="16838" w:orient="portrait"/>
          <w:cols w:equalWidth="0" w:num="1">
            <w:col w:w="11240"/>
          </w:cols>
          <w:pgMar w:left="320" w:top="116" w:right="339" w:bottom="88" w:gutter="0" w:footer="0" w:header="0"/>
        </w:sect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b w:val="1"/>
          <w:bCs w:val="1"/>
          <w:color w:val="auto"/>
        </w:rPr>
        <w:t>CUSIP No.</w:t>
      </w:r>
    </w:p>
    <w:p>
      <w:pPr>
        <w:sectPr>
          <w:pgSz w:w="11900" w:h="16838" w:orient="portrait"/>
          <w:cols w:equalWidth="0" w:num="1">
            <w:col w:w="11240"/>
          </w:cols>
          <w:pgMar w:left="320" w:top="116" w:right="339" w:bottom="88" w:gutter="0" w:footer="0" w:header="0"/>
          <w:type w:val="continuous"/>
        </w:sectPr>
      </w:pPr>
    </w:p>
    <w:bookmarkStart w:id="6" w:name="page7"/>
    <w:bookmarkEnd w:id="6"/>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Praveen Sahay</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AF</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3"/>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UNITED STATES</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11,474,452.00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11,474,452.00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11,474,452.00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10.7 %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IN</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-4636135</wp:posOffset>
            </wp:positionV>
            <wp:extent cx="128905"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-1130300</wp:posOffset>
            </wp:positionV>
            <wp:extent cx="128905"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spacing w:after="0"/>
        <w:tabs>
          <w:tab w:leader="none" w:pos="1400" w:val="left"/>
        </w:tabs>
        <w:rPr>
          <w:sz w:val="20"/>
          <w:szCs w:val="20"/>
          <w:color w:val="auto"/>
        </w:rPr>
      </w:pPr>
      <w:r>
        <w:rPr>
          <w:rFonts w:ascii="Times New Roman" w:cs="Times New Roman" w:eastAsia="Times New Roman" w:hAnsi="Times New Roman"/>
          <w:sz w:val="19"/>
          <w:szCs w:val="19"/>
          <w:b w:val="1"/>
          <w:bCs w:val="1"/>
          <w:color w:val="auto"/>
        </w:rPr>
        <w:t>Comment for</w:t>
      </w:r>
      <w:r>
        <w:rPr>
          <w:sz w:val="20"/>
          <w:szCs w:val="20"/>
          <w:color w:val="auto"/>
        </w:rPr>
        <w:tab/>
      </w:r>
      <w:r>
        <w:rPr>
          <w:rFonts w:ascii="Times New Roman" w:cs="Times New Roman" w:eastAsia="Times New Roman" w:hAnsi="Times New Roman"/>
          <w:sz w:val="21"/>
          <w:szCs w:val="21"/>
          <w:color w:val="auto"/>
        </w:rPr>
        <w:t>Based upon a total of 107,023,245 shares of Class A common stock outstanding upon completion of the Business</w:t>
      </w:r>
    </w:p>
    <w:tbl>
      <w:tblPr>
        <w:tblLayout w:type="fixed"/>
        <w:tblInd w:w="0" w:type="dxa"/>
        <w:tblCellMar>
          <w:top w:w="0" w:type="dxa"/>
          <w:left w:w="0" w:type="dxa"/>
          <w:bottom w:w="0" w:type="dxa"/>
          <w:right w:w="0" w:type="dxa"/>
        </w:tblCellMar>
      </w:tblPr>
      <w:tr>
        <w:trPr>
          <w:trHeight w:val="221"/>
        </w:trPr>
        <w:tc>
          <w:tcPr>
            <w:tcW w:w="11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Type of</w:t>
            </w:r>
          </w:p>
        </w:tc>
        <w:tc>
          <w:tcPr>
            <w:tcW w:w="10100" w:type="dxa"/>
            <w:vAlign w:val="bottom"/>
          </w:tcPr>
          <w:p>
            <w:pPr>
              <w:ind w:left="280"/>
              <w:spacing w:after="0" w:line="221" w:lineRule="exact"/>
              <w:rPr>
                <w:sz w:val="20"/>
                <w:szCs w:val="20"/>
                <w:color w:val="auto"/>
              </w:rPr>
            </w:pPr>
            <w:r>
              <w:rPr>
                <w:rFonts w:ascii="Times New Roman" w:cs="Times New Roman" w:eastAsia="Times New Roman" w:hAnsi="Times New Roman"/>
                <w:sz w:val="22"/>
                <w:szCs w:val="22"/>
                <w:color w:val="auto"/>
              </w:rPr>
              <w:t>Combination, as reported by the Issuer on its Form 8-K on June 10, 2026, and assumes the exchange of</w:t>
            </w:r>
          </w:p>
        </w:tc>
      </w:tr>
      <w:tr>
        <w:trPr>
          <w:trHeight w:val="240"/>
        </w:trPr>
        <w:tc>
          <w:tcPr>
            <w:tcW w:w="11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Reporting</w:t>
            </w:r>
          </w:p>
        </w:tc>
        <w:tc>
          <w:tcPr>
            <w:tcW w:w="10100" w:type="dxa"/>
            <w:vAlign w:val="bottom"/>
          </w:tcPr>
          <w:p>
            <w:pPr>
              <w:ind w:left="280"/>
              <w:spacing w:after="0" w:line="240" w:lineRule="exact"/>
              <w:rPr>
                <w:sz w:val="20"/>
                <w:szCs w:val="20"/>
                <w:color w:val="auto"/>
              </w:rPr>
            </w:pPr>
            <w:r>
              <w:rPr>
                <w:rFonts w:ascii="Times New Roman" w:cs="Times New Roman" w:eastAsia="Times New Roman" w:hAnsi="Times New Roman"/>
                <w:sz w:val="22"/>
                <w:szCs w:val="22"/>
                <w:color w:val="auto"/>
              </w:rPr>
              <w:t>15,512,744 shares of Issuer's Series B Common Stock outstanding.</w:t>
            </w:r>
          </w:p>
        </w:tc>
      </w:tr>
      <w:tr>
        <w:trPr>
          <w:trHeight w:val="257"/>
        </w:trPr>
        <w:tc>
          <w:tcPr>
            <w:tcW w:w="11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Person:</w:t>
            </w:r>
          </w:p>
        </w:tc>
        <w:tc>
          <w:tcPr>
            <w:tcW w:w="10100" w:type="dxa"/>
            <w:vAlign w:val="bottom"/>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U. Haskell Crocker</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40"/>
          </w:cols>
          <w:pgMar w:left="320" w:top="639" w:right="339" w:bottom="0" w:gutter="0" w:footer="0" w:header="0"/>
        </w:sectPr>
      </w:pPr>
    </w:p>
    <w:bookmarkStart w:id="7" w:name="page8"/>
    <w:bookmarkEnd w:id="7"/>
    <w:p>
      <w:pPr>
        <w:spacing w:after="0" w:line="62" w:lineRule="exact"/>
        <w:rPr>
          <w:sz w:val="20"/>
          <w:szCs w:val="20"/>
          <w:color w:val="auto"/>
        </w:rPr>
      </w:pPr>
    </w:p>
    <w:p>
      <w:pPr>
        <w:ind w:left="1160" w:hanging="1112"/>
        <w:spacing w:after="0"/>
        <w:tabs>
          <w:tab w:leader="none" w:pos="116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AF</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3"/>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UNITED STATES</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11,474,452.00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11,474,452.00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11,474,452.00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10.7 %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IN</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-4636135</wp:posOffset>
            </wp:positionV>
            <wp:extent cx="128905" cy="128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-1129665</wp:posOffset>
            </wp:positionV>
            <wp:extent cx="128905" cy="1289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spacing w:after="0"/>
        <w:tabs>
          <w:tab w:leader="none" w:pos="1400" w:val="left"/>
        </w:tabs>
        <w:rPr>
          <w:sz w:val="20"/>
          <w:szCs w:val="20"/>
          <w:color w:val="auto"/>
        </w:rPr>
      </w:pPr>
      <w:r>
        <w:rPr>
          <w:rFonts w:ascii="Times New Roman" w:cs="Times New Roman" w:eastAsia="Times New Roman" w:hAnsi="Times New Roman"/>
          <w:sz w:val="19"/>
          <w:szCs w:val="19"/>
          <w:b w:val="1"/>
          <w:bCs w:val="1"/>
          <w:color w:val="auto"/>
        </w:rPr>
        <w:t>Comment for</w:t>
      </w:r>
      <w:r>
        <w:rPr>
          <w:sz w:val="20"/>
          <w:szCs w:val="20"/>
          <w:color w:val="auto"/>
        </w:rPr>
        <w:tab/>
      </w:r>
      <w:r>
        <w:rPr>
          <w:rFonts w:ascii="Times New Roman" w:cs="Times New Roman" w:eastAsia="Times New Roman" w:hAnsi="Times New Roman"/>
          <w:sz w:val="21"/>
          <w:szCs w:val="21"/>
          <w:color w:val="auto"/>
        </w:rPr>
        <w:t>Based upon a total of 107,023,245 shares of Class A common stock outstanding upon completion of the Business</w:t>
      </w:r>
    </w:p>
    <w:tbl>
      <w:tblPr>
        <w:tblLayout w:type="fixed"/>
        <w:tblInd w:w="0" w:type="dxa"/>
        <w:tblCellMar>
          <w:top w:w="0" w:type="dxa"/>
          <w:left w:w="0" w:type="dxa"/>
          <w:bottom w:w="0" w:type="dxa"/>
          <w:right w:w="0" w:type="dxa"/>
        </w:tblCellMar>
      </w:tblPr>
      <w:tr>
        <w:trPr>
          <w:trHeight w:val="221"/>
        </w:trPr>
        <w:tc>
          <w:tcPr>
            <w:tcW w:w="11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Type of</w:t>
            </w:r>
          </w:p>
        </w:tc>
        <w:tc>
          <w:tcPr>
            <w:tcW w:w="10100" w:type="dxa"/>
            <w:vAlign w:val="bottom"/>
          </w:tcPr>
          <w:p>
            <w:pPr>
              <w:ind w:left="280"/>
              <w:spacing w:after="0" w:line="221" w:lineRule="exact"/>
              <w:rPr>
                <w:sz w:val="20"/>
                <w:szCs w:val="20"/>
                <w:color w:val="auto"/>
              </w:rPr>
            </w:pPr>
            <w:r>
              <w:rPr>
                <w:rFonts w:ascii="Times New Roman" w:cs="Times New Roman" w:eastAsia="Times New Roman" w:hAnsi="Times New Roman"/>
                <w:sz w:val="22"/>
                <w:szCs w:val="22"/>
                <w:color w:val="auto"/>
              </w:rPr>
              <w:t>Combination, as reported by the Issuer on its Form 8-K on June 10, 2026, and assumes the exchange of</w:t>
            </w:r>
          </w:p>
        </w:tc>
      </w:tr>
      <w:tr>
        <w:trPr>
          <w:trHeight w:val="240"/>
        </w:trPr>
        <w:tc>
          <w:tcPr>
            <w:tcW w:w="11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Reporting</w:t>
            </w:r>
          </w:p>
        </w:tc>
        <w:tc>
          <w:tcPr>
            <w:tcW w:w="10100" w:type="dxa"/>
            <w:vAlign w:val="bottom"/>
          </w:tcPr>
          <w:p>
            <w:pPr>
              <w:ind w:left="280"/>
              <w:spacing w:after="0" w:line="240" w:lineRule="exact"/>
              <w:rPr>
                <w:sz w:val="20"/>
                <w:szCs w:val="20"/>
                <w:color w:val="auto"/>
              </w:rPr>
            </w:pPr>
            <w:r>
              <w:rPr>
                <w:rFonts w:ascii="Times New Roman" w:cs="Times New Roman" w:eastAsia="Times New Roman" w:hAnsi="Times New Roman"/>
                <w:sz w:val="22"/>
                <w:szCs w:val="22"/>
                <w:color w:val="auto"/>
              </w:rPr>
              <w:t>15,512,744 shares of Issuer's Series B Common Stock outstanding.</w:t>
            </w:r>
          </w:p>
        </w:tc>
      </w:tr>
      <w:tr>
        <w:trPr>
          <w:trHeight w:val="257"/>
        </w:trPr>
        <w:tc>
          <w:tcPr>
            <w:tcW w:w="11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Person:</w:t>
            </w:r>
          </w:p>
        </w:tc>
        <w:tc>
          <w:tcPr>
            <w:tcW w:w="10100" w:type="dxa"/>
            <w:vAlign w:val="bottom"/>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ind w:left="40"/>
        <w:spacing w:after="0"/>
        <w:tabs>
          <w:tab w:leader="none" w:pos="96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80"/>
        <w:spacing w:after="0"/>
        <w:rPr>
          <w:sz w:val="20"/>
          <w:szCs w:val="20"/>
          <w:color w:val="auto"/>
        </w:rPr>
      </w:pPr>
      <w:r>
        <w:rPr>
          <w:rFonts w:ascii="Times New Roman" w:cs="Times New Roman" w:eastAsia="Times New Roman" w:hAnsi="Times New Roman"/>
          <w:sz w:val="22"/>
          <w:szCs w:val="22"/>
          <w:color w:val="auto"/>
        </w:rPr>
        <w:t>Class A Common Stock, par value $0.00001 per share</w:t>
      </w:r>
    </w:p>
    <w:p>
      <w:pPr>
        <w:spacing w:after="0" w:line="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80"/>
        <w:spacing w:after="0"/>
        <w:rPr>
          <w:sz w:val="20"/>
          <w:szCs w:val="20"/>
          <w:color w:val="auto"/>
        </w:rPr>
      </w:pPr>
      <w:r>
        <w:rPr>
          <w:rFonts w:ascii="Times New Roman" w:cs="Times New Roman" w:eastAsia="Times New Roman" w:hAnsi="Times New Roman"/>
          <w:sz w:val="22"/>
          <w:szCs w:val="22"/>
          <w:color w:val="auto"/>
        </w:rPr>
        <w:t>Factorial Energy Inc.</w:t>
      </w:r>
    </w:p>
    <w:p>
      <w:pPr>
        <w:spacing w:after="0" w:line="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80"/>
        <w:spacing w:after="0"/>
        <w:rPr>
          <w:sz w:val="20"/>
          <w:szCs w:val="20"/>
          <w:color w:val="auto"/>
        </w:rPr>
      </w:pPr>
      <w:r>
        <w:rPr>
          <w:rFonts w:ascii="Times New Roman" w:cs="Times New Roman" w:eastAsia="Times New Roman" w:hAnsi="Times New Roman"/>
          <w:sz w:val="22"/>
          <w:szCs w:val="22"/>
          <w:color w:val="auto"/>
        </w:rPr>
        <w:t>805 Middlesex Turnpike, Billerica, MASSACHUSETTS , 01821.</w:t>
      </w:r>
    </w:p>
    <w:p>
      <w:pPr>
        <w:spacing w:after="0" w:line="20" w:lineRule="exact"/>
        <w:rPr>
          <w:sz w:val="20"/>
          <w:szCs w:val="20"/>
          <w:color w:val="auto"/>
        </w:rPr>
      </w:pPr>
    </w:p>
    <w:p>
      <w:pPr>
        <w:ind w:left="40"/>
        <w:spacing w:after="0"/>
        <w:tabs>
          <w:tab w:leader="none" w:pos="960" w:val="left"/>
        </w:tabs>
        <w:rPr>
          <w:sz w:val="20"/>
          <w:szCs w:val="20"/>
          <w:color w:val="auto"/>
        </w:rPr>
      </w:pPr>
      <w:r>
        <w:rPr>
          <w:rFonts w:ascii="Times New Roman" w:cs="Times New Roman" w:eastAsia="Times New Roman" w:hAnsi="Times New Roman"/>
          <w:sz w:val="22"/>
          <w:szCs w:val="22"/>
          <w:color w:val="auto"/>
        </w:rPr>
        <w:t>Item 2.</w:t>
      </w:r>
      <w:r>
        <w:rPr>
          <w:sz w:val="20"/>
          <w:szCs w:val="20"/>
          <w:color w:val="auto"/>
        </w:rPr>
        <w:tab/>
      </w:r>
      <w:r>
        <w:rPr>
          <w:rFonts w:ascii="Times New Roman" w:cs="Times New Roman" w:eastAsia="Times New Roman" w:hAnsi="Times New Roman"/>
          <w:sz w:val="21"/>
          <w:szCs w:val="21"/>
          <w:color w:val="auto"/>
        </w:rPr>
        <w:t>Identity and Background</w:t>
      </w:r>
    </w:p>
    <w:p>
      <w:pPr>
        <w:spacing w:after="0" w:line="71" w:lineRule="exact"/>
        <w:rPr>
          <w:sz w:val="20"/>
          <w:szCs w:val="20"/>
          <w:color w:val="auto"/>
        </w:rPr>
      </w:pPr>
    </w:p>
    <w:p>
      <w:pPr>
        <w:ind w:left="980" w:right="200"/>
        <w:spacing w:after="0" w:line="247" w:lineRule="auto"/>
        <w:rPr>
          <w:sz w:val="20"/>
          <w:szCs w:val="20"/>
          <w:color w:val="auto"/>
        </w:rPr>
      </w:pPr>
      <w:r>
        <w:rPr>
          <w:rFonts w:ascii="Times New Roman" w:cs="Times New Roman" w:eastAsia="Times New Roman" w:hAnsi="Times New Roman"/>
          <w:sz w:val="21"/>
          <w:szCs w:val="21"/>
          <w:color w:val="auto"/>
        </w:rPr>
        <w:t>This Schedule 13D is filed by: (i) WAVE Equity Fund, L.P. ("WAVE Equity Fund"), WAVE Factorial Energy I, LLC ("WAVE Factorial") and WAVE AAC/LIO Co-Invest III, LLC ("WAVE Co-Invest," and together, the "Funds"); (ii) WAVE Equity GP LP ("WAVE GP"), the general partner of WAVE Equity Fund and WAVE Co-Invest; (iii) WAVE Equity LLC ("WAVE LLC"), the general partner of WAVE Factorial; and (iv) the three managers who share voting</w:t>
      </w:r>
    </w:p>
    <w:p>
      <w:pPr>
        <w:spacing w:after="0" w:line="2" w:lineRule="exact"/>
        <w:rPr>
          <w:sz w:val="20"/>
          <w:szCs w:val="20"/>
          <w:color w:val="auto"/>
        </w:rPr>
      </w:pPr>
    </w:p>
    <w:p>
      <w:pPr>
        <w:ind w:left="980" w:right="80" w:hanging="932"/>
        <w:spacing w:after="0" w:line="233" w:lineRule="auto"/>
        <w:tabs>
          <w:tab w:leader="none" w:pos="98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and investment control over WAVE GP and WAVE LLC, Mark Robinson, Praveen Sahay and Haskell Crocker (the "Managers"). Voting and investment power over WAVE GP and WAVE LLC is shared equally among the three Managers, each holding a one-third vote, such that any voting or disposition of the securities requires the concurrence of at least two of the three Managers and no single Manager may act unilaterally or exercise sole control. The Reporting Persons are filing jointly pursuant to the Joint Filing Agreement filed as an exhibit hereto.</w:t>
      </w:r>
    </w:p>
    <w:p>
      <w:pPr>
        <w:sectPr>
          <w:pgSz w:w="11900" w:h="16901" w:orient="portrait"/>
          <w:cols w:equalWidth="0" w:num="1">
            <w:col w:w="11240"/>
          </w:cols>
          <w:pgMar w:left="320" w:top="111" w:right="339" w:bottom="0" w:gutter="0" w:footer="0" w:header="0"/>
        </w:sectPr>
      </w:pPr>
    </w:p>
    <w:bookmarkStart w:id="8" w:name="page9"/>
    <w:bookmarkEnd w:id="8"/>
    <w:p>
      <w:pPr>
        <w:ind w:left="940" w:hanging="932"/>
        <w:spacing w:after="0"/>
        <w:tabs>
          <w:tab w:leader="none" w:pos="94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business address of the Reporting Persons is 67 Batterymarch St, Suite 500, Boston, MA 02110.</w:t>
      </w:r>
    </w:p>
    <w:p>
      <w:pPr>
        <w:spacing w:after="0" w:line="44" w:lineRule="exact"/>
        <w:rPr>
          <w:rFonts w:ascii="Times New Roman" w:cs="Times New Roman" w:eastAsia="Times New Roman" w:hAnsi="Times New Roman"/>
          <w:sz w:val="22"/>
          <w:szCs w:val="22"/>
          <w:color w:val="auto"/>
        </w:rPr>
      </w:pPr>
    </w:p>
    <w:p>
      <w:pPr>
        <w:ind w:left="9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Manager is one of three members who share voting and investment control over the general partners of the</w:t>
      </w:r>
    </w:p>
    <w:p>
      <w:pPr>
        <w:spacing w:after="0" w:line="14" w:lineRule="exact"/>
        <w:rPr>
          <w:rFonts w:ascii="Times New Roman" w:cs="Times New Roman" w:eastAsia="Times New Roman" w:hAnsi="Times New Roman"/>
          <w:sz w:val="22"/>
          <w:szCs w:val="22"/>
          <w:color w:val="auto"/>
        </w:rPr>
      </w:pPr>
    </w:p>
    <w:p>
      <w:pPr>
        <w:ind w:left="940" w:hanging="932"/>
        <w:spacing w:after="0" w:line="184" w:lineRule="auto"/>
        <w:tabs>
          <w:tab w:leader="none" w:pos="940" w:val="left"/>
        </w:tabs>
        <w:numPr>
          <w:ilvl w:val="0"/>
          <w:numId w:val="19"/>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Funds; the principal occupation of each Manager is manager of WAVE Equity Partners LLC and its funds. Each of the Funds, WAVE GP and WAVE LLC is principally engaged in the business of making, holding and disposing of investments.</w:t>
      </w:r>
    </w:p>
    <w:p>
      <w:pPr>
        <w:spacing w:after="0" w:line="18" w:lineRule="exact"/>
        <w:rPr>
          <w:rFonts w:ascii="Times New Roman" w:cs="Times New Roman" w:eastAsia="Times New Roman" w:hAnsi="Times New Roman"/>
          <w:sz w:val="42"/>
          <w:szCs w:val="42"/>
          <w:color w:val="auto"/>
          <w:vertAlign w:val="subscript"/>
        </w:rPr>
      </w:pPr>
    </w:p>
    <w:p>
      <w:pPr>
        <w:ind w:left="940" w:right="40"/>
        <w:spacing w:after="0" w:line="253" w:lineRule="auto"/>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During the last five years, none of the Reporting Persons has been convicted in a criminal proceeding (excluding traffic violations or similar misdemeanors) or been a party to a civil proceeding of a judicial or administrative body of</w:t>
      </w:r>
    </w:p>
    <w:p>
      <w:pPr>
        <w:ind w:left="940" w:right="100" w:hanging="932"/>
        <w:spacing w:after="0" w:line="235" w:lineRule="auto"/>
        <w:tabs>
          <w:tab w:leader="none" w:pos="94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competent jurisdiction as a result of which it was or is subject to a judgment, decree or final order enjoining future violations of, or prohibiting or mandating activities subject to, federal or state securities laws or finding any violation with respect to such laws.</w:t>
      </w:r>
    </w:p>
    <w:p>
      <w:pPr>
        <w:spacing w:after="0" w:line="15" w:lineRule="exact"/>
        <w:rPr>
          <w:rFonts w:ascii="Times New Roman" w:cs="Times New Roman" w:eastAsia="Times New Roman" w:hAnsi="Times New Roman"/>
          <w:sz w:val="22"/>
          <w:szCs w:val="22"/>
          <w:color w:val="auto"/>
        </w:rPr>
      </w:pPr>
    </w:p>
    <w:p>
      <w:pPr>
        <w:ind w:left="940" w:right="40"/>
        <w:spacing w:after="0" w:line="253"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During the last five years, none of the Reporting Persons has been convicted in a criminal proceeding (excluding traffic violations or similar misdemeanors) or been a party to a civil proceeding of a judicial or administrative body of</w:t>
      </w:r>
    </w:p>
    <w:p>
      <w:pPr>
        <w:ind w:left="940" w:right="100" w:hanging="932"/>
        <w:spacing w:after="0" w:line="235" w:lineRule="auto"/>
        <w:tabs>
          <w:tab w:leader="none" w:pos="94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competent jurisdiction as a result of which it was or is subject to a judgment, decree or final order enjoining future violations of, or prohibiting or mandating activities subject to, federal or state securities laws or finding any violation with respect to such laws.</w:t>
      </w:r>
    </w:p>
    <w:p>
      <w:pPr>
        <w:spacing w:after="0" w:line="15" w:lineRule="exact"/>
        <w:rPr>
          <w:rFonts w:ascii="Times New Roman" w:cs="Times New Roman" w:eastAsia="Times New Roman" w:hAnsi="Times New Roman"/>
          <w:sz w:val="22"/>
          <w:szCs w:val="22"/>
          <w:color w:val="auto"/>
        </w:rPr>
      </w:pPr>
    </w:p>
    <w:p>
      <w:pPr>
        <w:ind w:left="9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Each of WAVE Equity Fund and WAVE GP is organized under the laws of the Cayman Islands, and each of WAVE</w:t>
      </w:r>
    </w:p>
    <w:p>
      <w:pPr>
        <w:spacing w:after="0" w:line="25" w:lineRule="exact"/>
        <w:rPr>
          <w:rFonts w:ascii="Times New Roman" w:cs="Times New Roman" w:eastAsia="Times New Roman" w:hAnsi="Times New Roman"/>
          <w:sz w:val="22"/>
          <w:szCs w:val="22"/>
          <w:color w:val="auto"/>
        </w:rPr>
      </w:pPr>
    </w:p>
    <w:p>
      <w:pPr>
        <w:ind w:left="940" w:right="720" w:hanging="932"/>
        <w:spacing w:after="0" w:line="237" w:lineRule="auto"/>
        <w:tabs>
          <w:tab w:leader="none" w:pos="94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Factorial, WAVE Co-Invest and WAVE LLC is organized under the laws of Delaware. The citizenship of each Manager is the United States.</w:t>
      </w:r>
    </w:p>
    <w:p>
      <w:pPr>
        <w:spacing w:after="0" w:line="16"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ind w:left="940" w:right="60"/>
        <w:spacing w:after="0" w:line="234" w:lineRule="auto"/>
        <w:rPr>
          <w:sz w:val="20"/>
          <w:szCs w:val="20"/>
          <w:color w:val="auto"/>
        </w:rPr>
      </w:pPr>
      <w:r>
        <w:rPr>
          <w:rFonts w:ascii="Times New Roman" w:cs="Times New Roman" w:eastAsia="Times New Roman" w:hAnsi="Times New Roman"/>
          <w:sz w:val="22"/>
          <w:szCs w:val="22"/>
          <w:color w:val="auto"/>
        </w:rPr>
        <w:t>The shares of Class A common stock of the Issuer (the "Class A Common Stock") reported as beneficially owned by the Reporting Persons were acquired by the Funds on June 5, 2026 (the "Closing") in connection with the consummation of the Issuer's business combination with Cartesian Growth Corporation III, a Cayman Islands exempted company (the "Business Combination"), as a result of which the Company is named Factorial Energy Inc. The Class A Common Stock was received by the Funds in respect of equity interests held prior to the Business Combination; no additional cash consideration was paid by the Funds at the Closing in respect of such shares. The source of the funds used by the Funds to acquire their pre-existing interests was capital contributions from the limited partners (or members, as applicable) of the Funds. In the case of WAVE Equity Fund, such capital was raised contributions by its limited partners and general partner.</w:t>
      </w:r>
    </w:p>
    <w:p>
      <w:pPr>
        <w:spacing w:after="0" w:line="21"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40" w:right="40"/>
        <w:spacing w:after="0" w:line="236" w:lineRule="auto"/>
        <w:rPr>
          <w:sz w:val="20"/>
          <w:szCs w:val="20"/>
          <w:color w:val="auto"/>
        </w:rPr>
      </w:pPr>
      <w:r>
        <w:rPr>
          <w:rFonts w:ascii="Times New Roman" w:cs="Times New Roman" w:eastAsia="Times New Roman" w:hAnsi="Times New Roman"/>
          <w:sz w:val="22"/>
          <w:szCs w:val="22"/>
          <w:color w:val="auto"/>
        </w:rPr>
        <w:t>The Reporting Persons acquired the Class A Common Stock reported herein as a result of the Business Combination and hold such securities for investment purposes. The shares held by the Funds are being registered for resale by the Issuer on a Registration Statement on Form S-1. Other than as described in this Item 4, none of the Reporting Persons presently has any plans or proposals that relate to or would result in any of the transactions or matters specified in clauses (a) through (j) of Item 4 of Schedule 13D, although the Reporting Persons may review or reconsider their position and formulate plans or proposals with respect thereto.</w:t>
      </w:r>
    </w:p>
    <w:p>
      <w:pPr>
        <w:spacing w:after="0" w:line="19"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40" w:right="80"/>
        <w:spacing w:after="0" w:line="233" w:lineRule="auto"/>
        <w:rPr>
          <w:sz w:val="20"/>
          <w:szCs w:val="20"/>
          <w:color w:val="auto"/>
        </w:rPr>
      </w:pPr>
      <w:r>
        <w:rPr>
          <w:rFonts w:ascii="Times New Roman" w:cs="Times New Roman" w:eastAsia="Times New Roman" w:hAnsi="Times New Roman"/>
          <w:sz w:val="22"/>
          <w:szCs w:val="22"/>
          <w:color w:val="auto"/>
        </w:rPr>
        <w:t>The percentages below are calculated based on 107,023,245 shares of Class A common stock outstanding upon completion of the Business Combination, as reported by the Issuer on its Form 8-K on June 10, 2026, and assumes the exchange of 15,512,744 shares of Issuer's Series B Common Stock outstanding. Each Fund directly holds, and shares with the applicable general partner and the Managers the power to vote and dispose of, the following shares of Class A Common Stock: (i) WAVE Equity Fund: 10,584,189 shares (or 9.9% of the Class A Common Stock issued and outstanding); (ii) WAVE Factorial: 634,715 shares (or 0.6% of the Class A Common Stock issued and outstanding); and (iii) WAVE Co-Invest: 255,548 shares (or 0.2% of the Class A Common Stock issued and</w:t>
      </w:r>
    </w:p>
    <w:p>
      <w:pPr>
        <w:spacing w:after="0" w:line="6" w:lineRule="exact"/>
        <w:rPr>
          <w:sz w:val="20"/>
          <w:szCs w:val="20"/>
          <w:color w:val="auto"/>
        </w:rPr>
      </w:pPr>
    </w:p>
    <w:p>
      <w:pPr>
        <w:ind w:left="940" w:right="360" w:hanging="932"/>
        <w:spacing w:after="0" w:line="207" w:lineRule="auto"/>
        <w:tabs>
          <w:tab w:leader="none" w:pos="940" w:val="left"/>
        </w:tabs>
        <w:numPr>
          <w:ilvl w:val="0"/>
          <w:numId w:val="20"/>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outstanding). WAVE GP, as general partner of WAVE Equity Fund and WAVE Co-Invest, may be deemed to share voting and dispositive power over the shares held by those two Funds. WAVE LLC, as general partner of WAVE Factorial, may be deemed to share voting and dispositive power over the 634,715 shares held by WAVE Factorial. Voting and investment power over WAVE GP and WAVE LLC is shared equally among the three Managers, each holding a one-third vote and none acting alone; accordingly, each Manager may be deemed to share voting and dispositive power over, and to beneficially own, all of the shares held by the Funds, representing approximately</w:t>
      </w:r>
    </w:p>
    <w:p>
      <w:pPr>
        <w:ind w:left="940" w:right="120"/>
        <w:spacing w:after="0" w:line="235" w:lineRule="auto"/>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2"/>
          <w:szCs w:val="22"/>
          <w:color w:val="auto"/>
        </w:rPr>
        <w:t>10.7% of the Class A common stock in the aggregate. No Reporting Person holds sole voting or dispositive power over any shares. Each Reporting Person disclaims beneficial ownership of the reported securities except to the extent of its or his pecuniary interest therein.</w:t>
      </w:r>
    </w:p>
    <w:p>
      <w:pPr>
        <w:spacing w:after="0" w:line="15" w:lineRule="exact"/>
        <w:rPr>
          <w:rFonts w:ascii="Times New Roman" w:cs="Times New Roman" w:eastAsia="Times New Roman" w:hAnsi="Times New Roman"/>
          <w:sz w:val="42"/>
          <w:szCs w:val="42"/>
          <w:color w:val="auto"/>
          <w:vertAlign w:val="subscript"/>
        </w:rPr>
      </w:pPr>
    </w:p>
    <w:p>
      <w:pPr>
        <w:ind w:left="940" w:right="80" w:hanging="932"/>
        <w:spacing w:after="0" w:line="244" w:lineRule="auto"/>
        <w:tabs>
          <w:tab w:leader="none" w:pos="940" w:val="left"/>
        </w:tabs>
        <w:numPr>
          <w:ilvl w:val="0"/>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percentages below are calculated based on 107,023,245 shares of Class A common stock outstanding upon completion of the Business Combination, as reported by the Issuer on its Form 8-K on June 10, 2026, and assumes the exchange of 15,512,744 shares of Issuer's Series B Common Stock outstanding. Each Fund directly holds, and shares with the applicable general partner and the Managers the power to vote and dispose of, the following shares of Class A Common Stock: (i) WAVE Equity Fund: 10,584,189 shares (or 9.9% of the Class A Common Stock issued and outstanding); (ii) WAVE Factorial: 634,715 shares (or 0.6% of the Class A Common Stock issued and outstanding); and (iii) WAVE Co-Invest: 255,548 shares (or 0.2% of the Class A Common Stock issued and outstanding). WAVE GP, as general partner of WAVE Equity Fund and WAVE Co-Invest, may be deemed to share voting and dispositive power over the shares held by those two Funds. WAVE LLC, as general partner of WAVE Factorial, may be deemed to share voting and dispositive power over the 634,715 shares held by WAVE Factorial. Voting and investment power over WAVE GP and WAVE LLC is shared equally among the three Managers, each holding a one-third vote and none acting alone; accordingly, each Manager may be deemed to share voting and dispositive power over, and to beneficially own, all of the shares held by the Funds, representing approximately</w:t>
      </w:r>
    </w:p>
    <w:p>
      <w:pPr>
        <w:sectPr>
          <w:pgSz w:w="11900" w:h="16838" w:orient="portrait"/>
          <w:cols w:equalWidth="0" w:num="1">
            <w:col w:w="11160"/>
          </w:cols>
          <w:pgMar w:left="360" w:top="139" w:right="379" w:bottom="0" w:gutter="0" w:footer="0" w:header="0"/>
        </w:sectPr>
      </w:pPr>
    </w:p>
    <w:bookmarkStart w:id="9" w:name="page10"/>
    <w:bookmarkEnd w:id="9"/>
    <w:p>
      <w:pPr>
        <w:ind w:left="940" w:right="100"/>
        <w:spacing w:after="0" w:line="243" w:lineRule="auto"/>
        <w:rPr>
          <w:sz w:val="20"/>
          <w:szCs w:val="20"/>
          <w:color w:val="auto"/>
        </w:rPr>
      </w:pPr>
      <w:r>
        <w:rPr>
          <w:rFonts w:ascii="Times New Roman" w:cs="Times New Roman" w:eastAsia="Times New Roman" w:hAnsi="Times New Roman"/>
          <w:sz w:val="22"/>
          <w:szCs w:val="22"/>
          <w:color w:val="auto"/>
        </w:rPr>
        <w:t>10.7% of the Class A common stock in the aggregate. No Reporting Person holds sole voting or dispositive power over any shares. Each Reporting Person disclaims beneficial ownership of the reported securities except to the extent of its or his pecuniary interest therein.</w:t>
      </w:r>
    </w:p>
    <w:p>
      <w:pPr>
        <w:spacing w:after="0" w:line="15" w:lineRule="exact"/>
        <w:rPr>
          <w:sz w:val="20"/>
          <w:szCs w:val="20"/>
          <w:color w:val="auto"/>
        </w:rPr>
      </w:pPr>
    </w:p>
    <w:p>
      <w:pPr>
        <w:ind w:left="940" w:right="80" w:hanging="932"/>
        <w:spacing w:after="0" w:line="185" w:lineRule="auto"/>
        <w:tabs>
          <w:tab w:leader="none" w:pos="940" w:val="left"/>
        </w:tabs>
        <w:numPr>
          <w:ilvl w:val="0"/>
          <w:numId w:val="21"/>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Except for the acquisition of the Class A Common Stock at the Closing as described in Item 3, none of the Reporting Persons has effected any transaction in the Class A common stock during the past sixty days.</w:t>
      </w:r>
    </w:p>
    <w:p>
      <w:pPr>
        <w:spacing w:after="0" w:line="17" w:lineRule="exact"/>
        <w:rPr>
          <w:rFonts w:ascii="Times New Roman" w:cs="Times New Roman" w:eastAsia="Times New Roman" w:hAnsi="Times New Roman"/>
          <w:sz w:val="39"/>
          <w:szCs w:val="39"/>
          <w:color w:val="auto"/>
          <w:vertAlign w:val="subscript"/>
        </w:rPr>
      </w:pPr>
    </w:p>
    <w:p>
      <w:pPr>
        <w:ind w:left="940" w:hanging="932"/>
        <w:spacing w:after="0"/>
        <w:tabs>
          <w:tab w:leader="none" w:pos="94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w:t>
      </w:r>
    </w:p>
    <w:p>
      <w:pPr>
        <w:spacing w:after="0" w:line="44" w:lineRule="exact"/>
        <w:rPr>
          <w:rFonts w:ascii="Times New Roman" w:cs="Times New Roman" w:eastAsia="Times New Roman" w:hAnsi="Times New Roman"/>
          <w:sz w:val="22"/>
          <w:szCs w:val="22"/>
          <w:color w:val="auto"/>
        </w:rPr>
      </w:pPr>
    </w:p>
    <w:p>
      <w:pPr>
        <w:ind w:left="940" w:hanging="932"/>
        <w:spacing w:after="0"/>
        <w:tabs>
          <w:tab w:leader="none" w:pos="94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ind w:left="940" w:right="100"/>
        <w:spacing w:after="0" w:line="239" w:lineRule="auto"/>
        <w:rPr>
          <w:sz w:val="20"/>
          <w:szCs w:val="20"/>
          <w:color w:val="auto"/>
        </w:rPr>
      </w:pPr>
      <w:r>
        <w:rPr>
          <w:rFonts w:ascii="Times New Roman" w:cs="Times New Roman" w:eastAsia="Times New Roman" w:hAnsi="Times New Roman"/>
          <w:sz w:val="22"/>
          <w:szCs w:val="22"/>
          <w:color w:val="auto"/>
        </w:rPr>
        <w:t>The Reporting Persons are party to a Joint Filing Agreement, filed as an exhibit hereto. The shares held by the Funds are being registered for resale by the Issuer on a Registration Statement on Form S-1. Except as described herein, there are no other contracts, arrangements, understandings or relationships among the Reporting Persons or between the Reporting Persons and any other person with respect to the securities of the Issuer.</w:t>
      </w:r>
    </w:p>
    <w:p>
      <w:pPr>
        <w:spacing w:after="0" w:line="18"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1. Joint Filing Agreement, dated as of June 26, 2026, by and among the Reporting Persons.</w:t>
      </w:r>
    </w:p>
    <w:p>
      <w:pPr>
        <w:spacing w:after="0" w:line="3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22"/>
          <w:szCs w:val="22"/>
          <w:color w:val="auto"/>
        </w:rPr>
        <w:t>WAVE Equity Fund, L.P.</w:t>
      </w:r>
    </w:p>
    <w:p>
      <w:pPr>
        <w:spacing w:after="0" w:line="152" w:lineRule="exact"/>
        <w:rPr>
          <w:sz w:val="20"/>
          <w:szCs w:val="20"/>
          <w:color w:val="auto"/>
        </w:rPr>
      </w:pPr>
    </w:p>
    <w:p>
      <w:pPr>
        <w:ind w:left="3460"/>
        <w:spacing w:after="0"/>
        <w:tabs>
          <w:tab w:leader="none" w:pos="45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Mark Robinson</w:t>
      </w:r>
    </w:p>
    <w:p>
      <w:pPr>
        <w:spacing w:after="0" w:line="44"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color w:val="auto"/>
        </w:rPr>
        <w:t>Name/Title: Mark Robinson/Manager</w:t>
      </w:r>
    </w:p>
    <w:p>
      <w:pPr>
        <w:spacing w:after="0" w:line="44" w:lineRule="exact"/>
        <w:rPr>
          <w:sz w:val="20"/>
          <w:szCs w:val="20"/>
          <w:color w:val="auto"/>
        </w:rPr>
      </w:pPr>
    </w:p>
    <w:p>
      <w:pPr>
        <w:ind w:left="3460"/>
        <w:spacing w:after="0"/>
        <w:tabs>
          <w:tab w:leader="none" w:pos="45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06/26/2026</w:t>
      </w:r>
    </w:p>
    <w:p>
      <w:pPr>
        <w:spacing w:after="0" w:line="152"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WAVE Factorial Energy I, LLC</w:t>
      </w:r>
    </w:p>
    <w:p>
      <w:pPr>
        <w:spacing w:after="0" w:line="152" w:lineRule="exact"/>
        <w:rPr>
          <w:sz w:val="20"/>
          <w:szCs w:val="20"/>
          <w:color w:val="auto"/>
        </w:rPr>
      </w:pPr>
    </w:p>
    <w:p>
      <w:pPr>
        <w:ind w:left="3460"/>
        <w:spacing w:after="0"/>
        <w:tabs>
          <w:tab w:leader="none" w:pos="45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Mark Robinson</w:t>
      </w:r>
    </w:p>
    <w:p>
      <w:pPr>
        <w:spacing w:after="0" w:line="44"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color w:val="auto"/>
        </w:rPr>
        <w:t>Name/Title: Mark Robinson/Manager</w:t>
      </w:r>
    </w:p>
    <w:p>
      <w:pPr>
        <w:spacing w:after="0" w:line="44" w:lineRule="exact"/>
        <w:rPr>
          <w:sz w:val="20"/>
          <w:szCs w:val="20"/>
          <w:color w:val="auto"/>
        </w:rPr>
      </w:pPr>
    </w:p>
    <w:p>
      <w:pPr>
        <w:ind w:left="3460"/>
        <w:spacing w:after="0"/>
        <w:tabs>
          <w:tab w:leader="none" w:pos="45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06/26/2026</w:t>
      </w:r>
    </w:p>
    <w:p>
      <w:pPr>
        <w:spacing w:after="0" w:line="152"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color w:val="auto"/>
        </w:rPr>
        <w:t>WAVE AAC/LIO Co-Invest III, LLC</w:t>
      </w:r>
    </w:p>
    <w:p>
      <w:pPr>
        <w:spacing w:after="0" w:line="152" w:lineRule="exact"/>
        <w:rPr>
          <w:sz w:val="20"/>
          <w:szCs w:val="20"/>
          <w:color w:val="auto"/>
        </w:rPr>
      </w:pPr>
    </w:p>
    <w:p>
      <w:pPr>
        <w:ind w:left="3460"/>
        <w:spacing w:after="0"/>
        <w:tabs>
          <w:tab w:leader="none" w:pos="45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Mark Robinson</w:t>
      </w:r>
    </w:p>
    <w:p>
      <w:pPr>
        <w:spacing w:after="0" w:line="44"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color w:val="auto"/>
        </w:rPr>
        <w:t>Name/Title: Mark Robinson/Manager</w:t>
      </w:r>
    </w:p>
    <w:p>
      <w:pPr>
        <w:spacing w:after="0" w:line="44" w:lineRule="exact"/>
        <w:rPr>
          <w:sz w:val="20"/>
          <w:szCs w:val="20"/>
          <w:color w:val="auto"/>
        </w:rPr>
      </w:pPr>
    </w:p>
    <w:p>
      <w:pPr>
        <w:ind w:left="3460"/>
        <w:spacing w:after="0"/>
        <w:tabs>
          <w:tab w:leader="none" w:pos="45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06/26/2026</w:t>
      </w:r>
    </w:p>
    <w:p>
      <w:pPr>
        <w:spacing w:after="0" w:line="152"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22"/>
          <w:szCs w:val="22"/>
          <w:color w:val="auto"/>
        </w:rPr>
        <w:t>WAVE Equity GP LP</w:t>
      </w:r>
    </w:p>
    <w:p>
      <w:pPr>
        <w:spacing w:after="0" w:line="152" w:lineRule="exact"/>
        <w:rPr>
          <w:sz w:val="20"/>
          <w:szCs w:val="20"/>
          <w:color w:val="auto"/>
        </w:rPr>
      </w:pPr>
    </w:p>
    <w:p>
      <w:pPr>
        <w:ind w:left="3460"/>
        <w:spacing w:after="0"/>
        <w:tabs>
          <w:tab w:leader="none" w:pos="45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Mark Robinson</w:t>
      </w:r>
    </w:p>
    <w:p>
      <w:pPr>
        <w:spacing w:after="0" w:line="44"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color w:val="auto"/>
        </w:rPr>
        <w:t>Name/Title: Mark Robinson/Manager</w:t>
      </w:r>
    </w:p>
    <w:p>
      <w:pPr>
        <w:spacing w:after="0" w:line="44" w:lineRule="exact"/>
        <w:rPr>
          <w:sz w:val="20"/>
          <w:szCs w:val="20"/>
          <w:color w:val="auto"/>
        </w:rPr>
      </w:pPr>
    </w:p>
    <w:p>
      <w:pPr>
        <w:ind w:left="3460"/>
        <w:spacing w:after="0"/>
        <w:tabs>
          <w:tab w:leader="none" w:pos="45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06/26/2026</w:t>
      </w:r>
    </w:p>
    <w:p>
      <w:pPr>
        <w:spacing w:after="0" w:line="152"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2"/>
          <w:szCs w:val="22"/>
          <w:color w:val="auto"/>
        </w:rPr>
        <w:t>WAVE Equity LLC</w:t>
      </w:r>
    </w:p>
    <w:p>
      <w:pPr>
        <w:spacing w:after="0" w:line="152" w:lineRule="exact"/>
        <w:rPr>
          <w:sz w:val="20"/>
          <w:szCs w:val="20"/>
          <w:color w:val="auto"/>
        </w:rPr>
      </w:pPr>
    </w:p>
    <w:p>
      <w:pPr>
        <w:ind w:left="3460"/>
        <w:spacing w:after="0"/>
        <w:tabs>
          <w:tab w:leader="none" w:pos="45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Mark Robinson</w:t>
      </w:r>
    </w:p>
    <w:p>
      <w:pPr>
        <w:spacing w:after="0" w:line="44"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color w:val="auto"/>
        </w:rPr>
        <w:t>Name/Title: Mark Robinson/Manager</w:t>
      </w:r>
    </w:p>
    <w:p>
      <w:pPr>
        <w:spacing w:after="0" w:line="44" w:lineRule="exact"/>
        <w:rPr>
          <w:sz w:val="20"/>
          <w:szCs w:val="20"/>
          <w:color w:val="auto"/>
        </w:rPr>
      </w:pPr>
    </w:p>
    <w:p>
      <w:pPr>
        <w:ind w:left="3460"/>
        <w:spacing w:after="0"/>
        <w:tabs>
          <w:tab w:leader="none" w:pos="45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06/26/2026</w:t>
      </w:r>
    </w:p>
    <w:p>
      <w:pPr>
        <w:spacing w:after="0" w:line="152"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22"/>
          <w:szCs w:val="22"/>
          <w:color w:val="auto"/>
        </w:rPr>
        <w:t>Mark Robinson</w:t>
      </w:r>
    </w:p>
    <w:p>
      <w:pPr>
        <w:spacing w:after="0" w:line="152"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Mark Robinson</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Managing Director</w:t>
      </w:r>
    </w:p>
    <w:p>
      <w:pPr>
        <w:spacing w:after="0" w:line="44"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06/26/2026</w:t>
      </w:r>
    </w:p>
    <w:p>
      <w:pPr>
        <w:spacing w:after="0" w:line="152"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color w:val="auto"/>
        </w:rPr>
        <w:t>Praveen Sahay</w:t>
      </w:r>
    </w:p>
    <w:p>
      <w:pPr>
        <w:spacing w:after="0" w:line="152"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Praveen Sahay</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Managing Director</w:t>
      </w:r>
    </w:p>
    <w:p>
      <w:pPr>
        <w:spacing w:after="0" w:line="44"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06/26/2026</w:t>
      </w:r>
    </w:p>
    <w:p>
      <w:pPr>
        <w:spacing w:after="0" w:line="152"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22"/>
          <w:szCs w:val="22"/>
          <w:color w:val="auto"/>
        </w:rPr>
        <w:t>U. Haskell Crocker</w:t>
      </w:r>
    </w:p>
    <w:p>
      <w:pPr>
        <w:spacing w:after="0" w:line="152" w:lineRule="exact"/>
        <w:rPr>
          <w:sz w:val="20"/>
          <w:szCs w:val="20"/>
          <w:color w:val="auto"/>
        </w:rPr>
      </w:pPr>
    </w:p>
    <w:p>
      <w:pPr>
        <w:ind w:left="296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Haskell Crocker</w:t>
      </w:r>
    </w:p>
    <w:p>
      <w:pPr>
        <w:spacing w:after="0" w:line="4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Name/Title: Managing Director</w:t>
      </w:r>
    </w:p>
    <w:p>
      <w:pPr>
        <w:spacing w:after="0" w:line="44" w:lineRule="exact"/>
        <w:rPr>
          <w:sz w:val="20"/>
          <w:szCs w:val="20"/>
          <w:color w:val="auto"/>
        </w:rPr>
      </w:pPr>
    </w:p>
    <w:p>
      <w:pPr>
        <w:ind w:left="296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06/26/2026</w:t>
      </w:r>
    </w:p>
    <w:p>
      <w:pPr>
        <w:sectPr>
          <w:pgSz w:w="11900" w:h="16838" w:orient="portrait"/>
          <w:cols w:equalWidth="0" w:num="1">
            <w:col w:w="11140"/>
          </w:cols>
          <w:pgMar w:left="360" w:top="111" w:right="399" w:bottom="0" w:gutter="0" w:footer="0" w:header="0"/>
        </w:sectPr>
      </w:pPr>
    </w:p>
    <w:bookmarkStart w:id="10" w:name="page11"/>
    <w:bookmarkEnd w:id="10"/>
    <w:p>
      <w:pPr>
        <w:ind w:left="10400"/>
        <w:spacing w:after="0"/>
        <w:rPr>
          <w:sz w:val="20"/>
          <w:szCs w:val="20"/>
          <w:color w:val="auto"/>
        </w:rPr>
      </w:pPr>
      <w:r>
        <w:rPr>
          <w:rFonts w:ascii="Times New Roman" w:cs="Times New Roman" w:eastAsia="Times New Roman" w:hAnsi="Times New Roman"/>
          <w:sz w:val="21"/>
          <w:szCs w:val="21"/>
          <w:b w:val="1"/>
          <w:bCs w:val="1"/>
          <w:color w:val="auto"/>
        </w:rPr>
        <w:t>Exhibit 1</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Joint Filing Agreement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accordance with Rule 13d-1(k) under the Securities Exchange Act of 1934, as amended, the undersigned hereby agree to the joint filing on behalf of each of them of a statement on Schedule 13D (including all amendments thereto) with respect to the Class A common stock, par value $0.00001 per share, of Factorial Energy Inc., a Delaware corporation, and that this Joint Filing Agreement shall be included as an Exhibit to such joint filing and may, as required, be included as an exhibit to subsequent amendments thereto.</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of the undersigned agrees and acknowledges that each party hereto is (i) individually eligible to use such Schedule 13D and (ii) responsible for the timely filing of such Schedule 13D and any and all amendments thereto, and for the completeness and accuracy of the information concerning such party contained therein; provided that no party is responsible for the completeness and accuracy of the information concerning any other party unless such party knows or has reason to believe that such information is inaccurate.</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Joint Filing Agreement may be executed in any number of counterparts, all of which taken together shall constitute one and the same instrument. A facsimile, telecopy or other reproduction of this Joint Filing Agreement may be executed by one or more parties hereto, and an executed copy of this Joint Filing Agreement may be delivered by one or more parties hereto by facsimile or similar instantaneous electronic transmission device pursuant to which the signature of or on behalf of such party can be seen, and such execution and delivery shall be considered valid, binding and effective for all purposes as of the date hereof.</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to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color w:val="auto"/>
        </w:rPr>
        <w:t>IN WITNESS WHEREOF, the undersigned hereby execute this Joint Filing Agreement as of June 26, 2026.</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WAVE Equity Fund, L.P.</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WAVE Equity GP LP, its general partner</w:t>
            </w:r>
          </w:p>
        </w:tc>
      </w:tr>
      <w:tr>
        <w:trPr>
          <w:trHeight w:val="241"/>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Mark Robinson</w:t>
            </w:r>
          </w:p>
        </w:tc>
      </w:tr>
      <w:tr>
        <w:trPr>
          <w:trHeight w:val="198"/>
        </w:trPr>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Mark Robinson</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Manager</w:t>
            </w:r>
          </w:p>
        </w:tc>
      </w:tr>
      <w:tr>
        <w:trPr>
          <w:trHeight w:val="432"/>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WAVE AAC/LIO Co-Invest III, LLC</w:t>
            </w:r>
          </w:p>
        </w:tc>
      </w:tr>
      <w:tr>
        <w:trPr>
          <w:trHeight w:val="41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WAVE Equity GP LP, its general partner</w:t>
            </w:r>
          </w:p>
        </w:tc>
      </w:tr>
      <w:tr>
        <w:trPr>
          <w:trHeight w:val="241"/>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Mark Robinson</w:t>
            </w:r>
          </w:p>
        </w:tc>
      </w:tr>
      <w:tr>
        <w:trPr>
          <w:trHeight w:val="198"/>
        </w:trPr>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Mark Robinson</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Manager</w:t>
            </w:r>
          </w:p>
        </w:tc>
      </w:tr>
      <w:tr>
        <w:trPr>
          <w:trHeight w:val="432"/>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WAVE Factorial Energy I, LLC</w:t>
            </w:r>
          </w:p>
        </w:tc>
      </w:tr>
      <w:tr>
        <w:trPr>
          <w:trHeight w:val="41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WAVE Equity LLC, its general partner</w:t>
            </w:r>
          </w:p>
        </w:tc>
      </w:tr>
      <w:tr>
        <w:trPr>
          <w:trHeight w:val="241"/>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Mark Robinson</w:t>
            </w:r>
          </w:p>
        </w:tc>
      </w:tr>
      <w:tr>
        <w:trPr>
          <w:trHeight w:val="198"/>
        </w:trPr>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Mark Robinson</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Manager</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WAVE Equity GP LP</w:t>
      </w:r>
    </w:p>
    <w:p>
      <w:pPr>
        <w:spacing w:after="0" w:line="22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Mark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249428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Mark Robinson</w:t>
      </w:r>
    </w:p>
    <w:p>
      <w:pPr>
        <w:spacing w:after="0" w:line="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tab/>
        <w:t>Manager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WAVE Equity LLC</w:t>
      </w:r>
    </w:p>
    <w:p>
      <w:pPr>
        <w:spacing w:after="0" w:line="22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Mark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249428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Mark Robinson</w:t>
      </w:r>
    </w:p>
    <w:p>
      <w:pPr>
        <w:spacing w:after="0" w:line="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tab/>
        <w:t>Manager</w:t>
      </w:r>
    </w:p>
    <w:p>
      <w:pPr>
        <w:spacing w:after="0" w:line="20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Mark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249428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Name: Mark Robinson</w:t>
      </w:r>
    </w:p>
    <w:p>
      <w:pPr>
        <w:spacing w:after="0" w:line="220"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Praveen Sahay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249428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Name: Praveen Sahay</w:t>
      </w:r>
    </w:p>
    <w:p>
      <w:pPr>
        <w:spacing w:after="0" w:line="220"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Haskell Crocker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249428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Name: Haskell Crocker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323215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139"/>
      </w:cols>
      <w:pgMar w:left="320" w:top="90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F16E9E8"/>
    <w:multiLevelType w:val="hybridMultilevel"/>
    <w:lvl w:ilvl="0">
      <w:lvlJc w:val="left"/>
      <w:lvlText w:val="2"/>
      <w:numFmt w:val="bullet"/>
      <w:start w:val="1"/>
    </w:lvl>
  </w:abstractNum>
  <w:abstractNum w:abstractNumId="1">
    <w:nsid w:val="1190CDE7"/>
    <w:multiLevelType w:val="hybridMultilevel"/>
    <w:lvl w:ilvl="0">
      <w:lvlJc w:val="left"/>
      <w:lvlText w:val="3"/>
      <w:numFmt w:val="bullet"/>
      <w:start w:val="1"/>
    </w:lvl>
  </w:abstractNum>
  <w:abstractNum w:abstractNumId="2">
    <w:nsid w:val="66EF438D"/>
    <w:multiLevelType w:val="hybridMultilevel"/>
    <w:lvl w:ilvl="0">
      <w:lvlJc w:val="left"/>
      <w:lvlText w:val="4"/>
      <w:numFmt w:val="bullet"/>
      <w:start w:val="1"/>
    </w:lvl>
  </w:abstractNum>
  <w:abstractNum w:abstractNumId="3">
    <w:nsid w:val="140E0F76"/>
    <w:multiLevelType w:val="hybridMultilevel"/>
    <w:lvl w:ilvl="0">
      <w:lvlJc w:val="left"/>
      <w:lvlText w:val="2"/>
      <w:numFmt w:val="bullet"/>
      <w:start w:val="1"/>
    </w:lvl>
  </w:abstractNum>
  <w:abstractNum w:abstractNumId="4">
    <w:nsid w:val="3352255A"/>
    <w:multiLevelType w:val="hybridMultilevel"/>
    <w:lvl w:ilvl="0">
      <w:lvlJc w:val="left"/>
      <w:lvlText w:val="3"/>
      <w:numFmt w:val="bullet"/>
      <w:start w:val="1"/>
    </w:lvl>
  </w:abstractNum>
  <w:abstractNum w:abstractNumId="5">
    <w:nsid w:val="109CF92E"/>
    <w:multiLevelType w:val="hybridMultilevel"/>
    <w:lvl w:ilvl="0">
      <w:lvlJc w:val="left"/>
      <w:lvlText w:val="7"/>
      <w:numFmt w:val="bullet"/>
      <w:start w:val="1"/>
    </w:lvl>
  </w:abstractNum>
  <w:abstractNum w:abstractNumId="6">
    <w:nsid w:val="DED7263"/>
    <w:multiLevelType w:val="hybridMultilevel"/>
    <w:lvl w:ilvl="0">
      <w:lvlJc w:val="left"/>
      <w:lvlText w:val="2"/>
      <w:numFmt w:val="bullet"/>
      <w:start w:val="1"/>
    </w:lvl>
  </w:abstractNum>
  <w:abstractNum w:abstractNumId="7">
    <w:nsid w:val="7FDCC233"/>
    <w:multiLevelType w:val="hybridMultilevel"/>
    <w:lvl w:ilvl="0">
      <w:lvlJc w:val="left"/>
      <w:lvlText w:val="3"/>
      <w:numFmt w:val="bullet"/>
      <w:start w:val="1"/>
    </w:lvl>
  </w:abstractNum>
  <w:abstractNum w:abstractNumId="8">
    <w:nsid w:val="1BEFD79F"/>
    <w:multiLevelType w:val="hybridMultilevel"/>
    <w:lvl w:ilvl="0">
      <w:lvlJc w:val="left"/>
      <w:lvlText w:val="2"/>
      <w:numFmt w:val="bullet"/>
      <w:start w:val="1"/>
    </w:lvl>
  </w:abstractNum>
  <w:abstractNum w:abstractNumId="9">
    <w:nsid w:val="41A7C4C9"/>
    <w:multiLevelType w:val="hybridMultilevel"/>
    <w:lvl w:ilvl="0">
      <w:lvlJc w:val="left"/>
      <w:lvlText w:val="%1"/>
      <w:numFmt w:val="decimal"/>
      <w:start w:val="13"/>
    </w:lvl>
  </w:abstractNum>
  <w:abstractNum w:abstractNumId="10">
    <w:nsid w:val="6B68079A"/>
    <w:multiLevelType w:val="hybridMultilevel"/>
    <w:lvl w:ilvl="0">
      <w:lvlJc w:val="left"/>
      <w:lvlText w:val="2"/>
      <w:numFmt w:val="bullet"/>
      <w:start w:val="1"/>
    </w:lvl>
  </w:abstractNum>
  <w:abstractNum w:abstractNumId="11">
    <w:nsid w:val="4E6AFB66"/>
    <w:multiLevelType w:val="hybridMultilevel"/>
    <w:lvl w:ilvl="0">
      <w:lvlJc w:val="left"/>
      <w:lvlText w:val="2"/>
      <w:numFmt w:val="bullet"/>
      <w:start w:val="1"/>
    </w:lvl>
  </w:abstractNum>
  <w:abstractNum w:abstractNumId="12">
    <w:nsid w:val="25E45D32"/>
    <w:multiLevelType w:val="hybridMultilevel"/>
    <w:lvl w:ilvl="0">
      <w:lvlJc w:val="left"/>
      <w:lvlText w:val="3"/>
      <w:numFmt w:val="bullet"/>
      <w:start w:val="1"/>
    </w:lvl>
  </w:abstractNum>
  <w:abstractNum w:abstractNumId="13">
    <w:nsid w:val="519B500D"/>
    <w:multiLevelType w:val="hybridMultilevel"/>
    <w:lvl w:ilvl="0">
      <w:lvlJc w:val="left"/>
      <w:lvlText w:val="2"/>
      <w:numFmt w:val="bullet"/>
      <w:start w:val="1"/>
    </w:lvl>
  </w:abstractNum>
  <w:abstractNum w:abstractNumId="14">
    <w:nsid w:val="431BD7B7"/>
    <w:multiLevelType w:val="hybridMultilevel"/>
    <w:lvl w:ilvl="0">
      <w:lvlJc w:val="left"/>
      <w:lvlText w:val="3"/>
      <w:numFmt w:val="bullet"/>
      <w:start w:val="1"/>
    </w:lvl>
  </w:abstractNum>
  <w:abstractNum w:abstractNumId="15">
    <w:nsid w:val="3F2DBA31"/>
    <w:multiLevelType w:val="hybridMultilevel"/>
    <w:lvl w:ilvl="0">
      <w:lvlJc w:val="left"/>
      <w:lvlText w:val="2"/>
      <w:numFmt w:val="bullet"/>
      <w:start w:val="1"/>
    </w:lvl>
  </w:abstractNum>
  <w:abstractNum w:abstractNumId="16">
    <w:nsid w:val="7C83E458"/>
    <w:multiLevelType w:val="hybridMultilevel"/>
    <w:lvl w:ilvl="0">
      <w:lvlJc w:val="left"/>
      <w:lvlText w:val="3"/>
      <w:numFmt w:val="bullet"/>
      <w:start w:val="1"/>
    </w:lvl>
  </w:abstractNum>
  <w:abstractNum w:abstractNumId="17">
    <w:nsid w:val="257130A3"/>
    <w:multiLevelType w:val="hybridMultilevel"/>
    <w:lvl w:ilvl="0">
      <w:lvlJc w:val="left"/>
      <w:lvlText w:val="(%1)"/>
      <w:numFmt w:val="lowerLetter"/>
      <w:start w:val="1"/>
    </w:lvl>
  </w:abstractNum>
  <w:abstractNum w:abstractNumId="18">
    <w:nsid w:val="62BBD95A"/>
    <w:multiLevelType w:val="hybridMultilevel"/>
    <w:lvl w:ilvl="0">
      <w:lvlJc w:val="left"/>
      <w:lvlText w:val="(%1)"/>
      <w:numFmt w:val="lowerLetter"/>
      <w:start w:val="2"/>
    </w:lvl>
  </w:abstractNum>
  <w:abstractNum w:abstractNumId="19">
    <w:nsid w:val="436C6125"/>
    <w:multiLevelType w:val="hybridMultilevel"/>
    <w:lvl w:ilvl="0">
      <w:lvlJc w:val="left"/>
      <w:lvlText w:val="(%1)"/>
      <w:numFmt w:val="lowerLetter"/>
      <w:start w:val="1"/>
    </w:lvl>
  </w:abstractNum>
  <w:abstractNum w:abstractNumId="20">
    <w:nsid w:val="628C895D"/>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2026-06-26T16:31:08Z</dcterms:created>
  <dcterms:modified xsi:type="dcterms:W3CDTF">2026-06-26T16:31:08Z</dcterms:modified>
</cp:coreProperties>
</file>