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5217795</wp:posOffset>
            </wp:positionH>
            <wp:positionV relativeFrom="paragraph">
              <wp:posOffset>-615315</wp:posOffset>
            </wp:positionV>
            <wp:extent cx="57785" cy="628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65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-615315</wp:posOffset>
            </wp:positionV>
            <wp:extent cx="57785" cy="628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65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728345</wp:posOffset>
            </wp:positionV>
            <wp:extent cx="6995795" cy="8712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8712200"/>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40"/>
          </w:cols>
          <w:pgMar w:left="460" w:top="216" w:right="359" w:bottom="0"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CGC III Sponsor LLC</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505 FIFTH AVENUE, 15TH FLOOR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225"/>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Cartesian Growth Corp III</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CGCT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04/06/2026</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5" w:right="680" w:firstLine="5"/>
        <w:spacing w:after="0" w:line="251" w:lineRule="auto"/>
        <w:tabs>
          <w:tab w:leader="none" w:pos="13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5"/>
        <w:spacing w:after="0"/>
        <w:tabs>
          <w:tab w:leader="none" w:pos="1727"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065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065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33" w:lineRule="exact"/>
        <w:rPr>
          <w:sz w:val="24"/>
          <w:szCs w:val="24"/>
          <w:color w:val="auto"/>
        </w:rPr>
      </w:pPr>
    </w:p>
    <w:p>
      <w:pPr>
        <w:sectPr>
          <w:pgSz w:w="11900" w:h="16838" w:orient="portrait"/>
          <w:cols w:equalWidth="0" w:num="3">
            <w:col w:w="3180" w:space="720"/>
            <w:col w:w="3105" w:space="720"/>
            <w:col w:w="3355"/>
          </w:cols>
          <w:pgMar w:left="460" w:top="216" w:right="359" w:bottom="0" w:gutter="0" w:footer="0" w:header="0"/>
          <w:type w:val="continuous"/>
        </w:sectPr>
      </w:pPr>
    </w:p>
    <w:p>
      <w:pPr>
        <w:spacing w:after="0" w:line="190"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10017</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1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4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00" w:h="16838" w:orient="portrait"/>
          <w:cols w:equalWidth="0" w:num="2">
            <w:col w:w="3740" w:space="160"/>
            <w:col w:w="718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760"/>
              <w:spacing w:after="0"/>
              <w:rPr>
                <w:sz w:val="20"/>
                <w:szCs w:val="20"/>
                <w:color w:val="auto"/>
              </w:rPr>
            </w:pPr>
            <w:r>
              <w:rPr>
                <w:rFonts w:ascii="Arial" w:cs="Arial" w:eastAsia="Arial" w:hAnsi="Arial"/>
                <w:sz w:val="11"/>
                <w:szCs w:val="11"/>
                <w:b w:val="1"/>
                <w:bCs w:val="1"/>
                <w:color w:val="auto"/>
                <w:w w:val="99"/>
              </w:rPr>
              <w:t>2. Transaction</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4"/>
          </w:tcPr>
          <w:p>
            <w:pPr>
              <w:ind w:left="40"/>
              <w:spacing w:after="0"/>
              <w:rPr>
                <w:sz w:val="20"/>
                <w:szCs w:val="20"/>
                <w:color w:val="auto"/>
              </w:rPr>
            </w:pPr>
            <w:r>
              <w:rPr>
                <w:rFonts w:ascii="Arial" w:cs="Arial" w:eastAsia="Arial" w:hAnsi="Arial"/>
                <w:sz w:val="11"/>
                <w:szCs w:val="11"/>
                <w:b w:val="1"/>
                <w:bCs w:val="1"/>
                <w:color w:val="auto"/>
              </w:rPr>
              <w:t>2A. Deemed</w:t>
            </w:r>
          </w:p>
        </w:tc>
        <w:tc>
          <w:tcPr>
            <w:tcW w:w="5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360" w:type="dxa"/>
            <w:vAlign w:val="bottom"/>
          </w:tcPr>
          <w:p>
            <w:pPr>
              <w:spacing w:after="0"/>
              <w:rPr>
                <w:sz w:val="13"/>
                <w:szCs w:val="13"/>
                <w:color w:val="auto"/>
              </w:rPr>
            </w:pPr>
          </w:p>
        </w:tc>
        <w:tc>
          <w:tcPr>
            <w:tcW w:w="1940" w:type="dxa"/>
            <w:vAlign w:val="bottom"/>
            <w:gridSpan w:val="6"/>
          </w:tcPr>
          <w:p>
            <w:pPr>
              <w:jc w:val="center"/>
              <w:ind w:right="32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tcPr>
          <w:p>
            <w:pPr>
              <w:ind w:left="76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4"/>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6"/>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80" w:type="dxa"/>
            <w:vAlign w:val="bottom"/>
            <w:gridSpan w:val="4"/>
          </w:tcPr>
          <w:p>
            <w:pPr>
              <w:ind w:left="7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3"/>
          </w:tcPr>
          <w:p>
            <w:pPr>
              <w:ind w:left="40"/>
              <w:spacing w:after="0"/>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60" w:type="dxa"/>
            <w:vAlign w:val="bottom"/>
            <w:gridSpan w:val="6"/>
          </w:tcPr>
          <w:p>
            <w:pPr>
              <w:ind w:left="40"/>
              <w:spacing w:after="0"/>
              <w:rPr>
                <w:sz w:val="20"/>
                <w:szCs w:val="20"/>
                <w:color w:val="auto"/>
              </w:rPr>
            </w:pPr>
            <w:r>
              <w:rPr>
                <w:rFonts w:ascii="Arial" w:cs="Arial" w:eastAsia="Arial" w:hAnsi="Arial"/>
                <w:sz w:val="11"/>
                <w:szCs w:val="11"/>
                <w:b w:val="1"/>
                <w:bCs w:val="1"/>
                <w:color w:val="auto"/>
              </w:rPr>
              <w:t>(Month/Day/Year)  8)</w:t>
            </w: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V</w:t>
            </w:r>
          </w:p>
        </w:tc>
        <w:tc>
          <w:tcPr>
            <w:tcW w:w="5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40" w:type="dxa"/>
            <w:vAlign w:val="bottom"/>
            <w:gridSpan w:val="2"/>
          </w:tcPr>
          <w:p>
            <w:pPr>
              <w:ind w:left="220"/>
              <w:spacing w:after="0"/>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6"/>
                <w:szCs w:val="16"/>
                <w:color w:val="0000FF"/>
              </w:rPr>
              <w:t>Class A ordinary shares</w:t>
            </w:r>
          </w:p>
        </w:tc>
        <w:tc>
          <w:tcPr>
            <w:tcW w:w="1740" w:type="dxa"/>
            <w:vAlign w:val="bottom"/>
            <w:tcBorders>
              <w:bottom w:val="single" w:sz="8" w:color="2C2C2C"/>
            </w:tcBorders>
            <w:gridSpan w:val="3"/>
          </w:tcPr>
          <w:p>
            <w:pPr>
              <w:jc w:val="right"/>
              <w:ind w:right="80"/>
              <w:spacing w:after="0"/>
              <w:rPr>
                <w:sz w:val="20"/>
                <w:szCs w:val="20"/>
                <w:color w:val="auto"/>
              </w:rPr>
            </w:pPr>
            <w:r>
              <w:rPr>
                <w:rFonts w:ascii="Times New Roman" w:cs="Times New Roman" w:eastAsia="Times New Roman" w:hAnsi="Times New Roman"/>
                <w:sz w:val="16"/>
                <w:szCs w:val="16"/>
                <w:color w:val="0000FF"/>
              </w:rPr>
              <w:t>04/06/2026</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6"/>
                <w:szCs w:val="16"/>
                <w:color w:val="0000FF"/>
                <w:w w:val="99"/>
              </w:rPr>
              <w:t>100,000</w:t>
            </w:r>
          </w:p>
        </w:tc>
        <w:tc>
          <w:tcPr>
            <w:tcW w:w="4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16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10.306</w:t>
            </w:r>
          </w:p>
        </w:tc>
        <w:tc>
          <w:tcPr>
            <w:tcW w:w="1240" w:type="dxa"/>
            <w:vAlign w:val="bottom"/>
            <w:tcBorders>
              <w:bottom w:val="single" w:sz="8" w:color="2C2C2C"/>
            </w:tcBorders>
            <w:gridSpan w:val="3"/>
          </w:tcPr>
          <w:p>
            <w:pPr>
              <w:ind w:left="280"/>
              <w:spacing w:after="0"/>
              <w:rPr>
                <w:sz w:val="20"/>
                <w:szCs w:val="20"/>
                <w:color w:val="auto"/>
              </w:rPr>
            </w:pPr>
            <w:r>
              <w:rPr>
                <w:rFonts w:ascii="Times New Roman" w:cs="Times New Roman" w:eastAsia="Times New Roman" w:hAnsi="Times New Roman"/>
                <w:sz w:val="16"/>
                <w:szCs w:val="16"/>
                <w:color w:val="0000FF"/>
              </w:rPr>
              <w:t>1,071,000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40"/>
              <w:spacing w:after="0" w:line="304" w:lineRule="exact"/>
              <w:rPr>
                <w:sz w:val="20"/>
                <w:szCs w:val="20"/>
                <w:color w:val="auto"/>
              </w:rPr>
            </w:pPr>
            <w:r>
              <w:rPr>
                <w:rFonts w:ascii="Times New Roman" w:cs="Times New Roman" w:eastAsia="Times New Roman" w:hAnsi="Times New Roman"/>
                <w:sz w:val="32"/>
                <w:szCs w:val="32"/>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6"/>
                <w:szCs w:val="16"/>
                <w:color w:val="0000FF"/>
              </w:rPr>
              <w:t>Class A ordinary shares</w:t>
            </w:r>
          </w:p>
        </w:tc>
        <w:tc>
          <w:tcPr>
            <w:tcW w:w="1740" w:type="dxa"/>
            <w:vAlign w:val="bottom"/>
            <w:tcBorders>
              <w:bottom w:val="single" w:sz="8" w:color="2C2C2C"/>
            </w:tcBorders>
            <w:gridSpan w:val="3"/>
          </w:tcPr>
          <w:p>
            <w:pPr>
              <w:jc w:val="right"/>
              <w:ind w:right="80"/>
              <w:spacing w:after="0"/>
              <w:rPr>
                <w:sz w:val="20"/>
                <w:szCs w:val="20"/>
                <w:color w:val="auto"/>
              </w:rPr>
            </w:pPr>
            <w:r>
              <w:rPr>
                <w:rFonts w:ascii="Times New Roman" w:cs="Times New Roman" w:eastAsia="Times New Roman" w:hAnsi="Times New Roman"/>
                <w:sz w:val="16"/>
                <w:szCs w:val="16"/>
                <w:color w:val="0000FF"/>
              </w:rPr>
              <w:t>04/07/2026</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V</w:t>
            </w:r>
          </w:p>
        </w:tc>
        <w:tc>
          <w:tcPr>
            <w:tcW w:w="66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6"/>
                <w:szCs w:val="16"/>
                <w:color w:val="0000FF"/>
                <w:w w:val="99"/>
              </w:rPr>
              <w:t>100,000</w:t>
            </w:r>
          </w:p>
        </w:tc>
        <w:tc>
          <w:tcPr>
            <w:tcW w:w="4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16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10.305</w:t>
            </w:r>
          </w:p>
        </w:tc>
        <w:tc>
          <w:tcPr>
            <w:tcW w:w="1240" w:type="dxa"/>
            <w:vAlign w:val="bottom"/>
            <w:tcBorders>
              <w:bottom w:val="single" w:sz="8" w:color="2C2C2C"/>
            </w:tcBorders>
            <w:gridSpan w:val="3"/>
          </w:tcPr>
          <w:p>
            <w:pPr>
              <w:ind w:left="280"/>
              <w:spacing w:after="0"/>
              <w:rPr>
                <w:sz w:val="20"/>
                <w:szCs w:val="20"/>
                <w:color w:val="auto"/>
              </w:rPr>
            </w:pPr>
            <w:r>
              <w:rPr>
                <w:rFonts w:ascii="Times New Roman" w:cs="Times New Roman" w:eastAsia="Times New Roman" w:hAnsi="Times New Roman"/>
                <w:sz w:val="16"/>
                <w:szCs w:val="16"/>
                <w:color w:val="0000FF"/>
              </w:rPr>
              <w:t>1,171,000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40"/>
              <w:spacing w:after="0" w:line="304" w:lineRule="exact"/>
              <w:rPr>
                <w:sz w:val="20"/>
                <w:szCs w:val="20"/>
                <w:color w:val="auto"/>
              </w:rPr>
            </w:pPr>
            <w:r>
              <w:rPr>
                <w:rFonts w:ascii="Times New Roman" w:cs="Times New Roman" w:eastAsia="Times New Roman" w:hAnsi="Times New Roman"/>
                <w:sz w:val="32"/>
                <w:szCs w:val="32"/>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6"/>
                <w:szCs w:val="16"/>
                <w:color w:val="0000FF"/>
              </w:rPr>
              <w:t>Class A ordinary shares</w:t>
            </w:r>
          </w:p>
        </w:tc>
        <w:tc>
          <w:tcPr>
            <w:tcW w:w="1740" w:type="dxa"/>
            <w:vAlign w:val="bottom"/>
            <w:tcBorders>
              <w:bottom w:val="single" w:sz="8" w:color="2C2C2C"/>
            </w:tcBorders>
            <w:gridSpan w:val="3"/>
          </w:tcPr>
          <w:p>
            <w:pPr>
              <w:jc w:val="right"/>
              <w:ind w:right="80"/>
              <w:spacing w:after="0"/>
              <w:rPr>
                <w:sz w:val="20"/>
                <w:szCs w:val="20"/>
                <w:color w:val="auto"/>
              </w:rPr>
            </w:pPr>
            <w:r>
              <w:rPr>
                <w:rFonts w:ascii="Times New Roman" w:cs="Times New Roman" w:eastAsia="Times New Roman" w:hAnsi="Times New Roman"/>
                <w:sz w:val="16"/>
                <w:szCs w:val="16"/>
                <w:color w:val="0000FF"/>
              </w:rPr>
              <w:t>04/08/2026</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V</w:t>
            </w:r>
          </w:p>
        </w:tc>
        <w:tc>
          <w:tcPr>
            <w:tcW w:w="66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6"/>
                <w:szCs w:val="16"/>
                <w:color w:val="0000FF"/>
                <w:w w:val="99"/>
              </w:rPr>
              <w:t>100,000</w:t>
            </w:r>
          </w:p>
        </w:tc>
        <w:tc>
          <w:tcPr>
            <w:tcW w:w="4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16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10.303</w:t>
            </w:r>
          </w:p>
        </w:tc>
        <w:tc>
          <w:tcPr>
            <w:tcW w:w="1240" w:type="dxa"/>
            <w:vAlign w:val="bottom"/>
            <w:tcBorders>
              <w:bottom w:val="single" w:sz="8" w:color="2C2C2C"/>
            </w:tcBorders>
            <w:gridSpan w:val="3"/>
          </w:tcPr>
          <w:p>
            <w:pPr>
              <w:ind w:left="280"/>
              <w:spacing w:after="0"/>
              <w:rPr>
                <w:sz w:val="20"/>
                <w:szCs w:val="20"/>
                <w:color w:val="auto"/>
              </w:rPr>
            </w:pPr>
            <w:r>
              <w:rPr>
                <w:rFonts w:ascii="Times New Roman" w:cs="Times New Roman" w:eastAsia="Times New Roman" w:hAnsi="Times New Roman"/>
                <w:sz w:val="16"/>
                <w:szCs w:val="16"/>
                <w:color w:val="0000FF"/>
              </w:rPr>
              <w:t>1,271,000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40"/>
              <w:spacing w:after="0" w:line="304" w:lineRule="exact"/>
              <w:rPr>
                <w:sz w:val="20"/>
                <w:szCs w:val="20"/>
                <w:color w:val="auto"/>
              </w:rPr>
            </w:pPr>
            <w:r>
              <w:rPr>
                <w:rFonts w:ascii="Times New Roman" w:cs="Times New Roman" w:eastAsia="Times New Roman" w:hAnsi="Times New Roman"/>
                <w:sz w:val="32"/>
                <w:szCs w:val="32"/>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9"/>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540" w:type="dxa"/>
            <w:vAlign w:val="bottom"/>
            <w:gridSpan w:val="17"/>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2.</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240" w:type="dxa"/>
            <w:vAlign w:val="bottom"/>
          </w:tcPr>
          <w:p>
            <w:pPr>
              <w:spacing w:after="0"/>
              <w:rPr>
                <w:sz w:val="11"/>
                <w:szCs w:val="11"/>
                <w:color w:val="auto"/>
              </w:rPr>
            </w:pPr>
          </w:p>
        </w:tc>
        <w:tc>
          <w:tcPr>
            <w:tcW w:w="90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540" w:type="dxa"/>
            <w:vAlign w:val="bottom"/>
          </w:tcPr>
          <w:p>
            <w:pPr>
              <w:spacing w:after="0"/>
              <w:rPr>
                <w:sz w:val="11"/>
                <w:szCs w:val="11"/>
                <w:color w:val="auto"/>
              </w:rPr>
            </w:pPr>
          </w:p>
        </w:tc>
        <w:tc>
          <w:tcPr>
            <w:tcW w:w="1400" w:type="dxa"/>
            <w:vAlign w:val="bottom"/>
            <w:gridSpan w:val="5"/>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500" w:type="dxa"/>
            <w:vAlign w:val="bottom"/>
            <w:tcBorders>
              <w:right w:val="single" w:sz="8" w:color="2C2C2C"/>
            </w:tcBorders>
            <w:gridSpan w:val="4"/>
          </w:tcPr>
          <w:p>
            <w:pPr>
              <w:ind w:left="10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1"/>
                <w:szCs w:val="11"/>
                <w:color w:val="auto"/>
              </w:rPr>
            </w:pP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1400" w:type="dxa"/>
            <w:vAlign w:val="bottom"/>
            <w:gridSpan w:val="5"/>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Price of</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0" w:type="dxa"/>
            <w:vAlign w:val="bottom"/>
            <w:gridSpan w:val="5"/>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1500" w:type="dxa"/>
            <w:vAlign w:val="bottom"/>
            <w:tcBorders>
              <w:right w:val="single" w:sz="8" w:color="2C2C2C"/>
            </w:tcBorders>
            <w:gridSpan w:val="4"/>
          </w:tcPr>
          <w:p>
            <w:pPr>
              <w:ind w:left="10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900" w:type="dxa"/>
            <w:vAlign w:val="bottom"/>
            <w:gridSpan w:val="2"/>
          </w:tcPr>
          <w:p>
            <w:pPr>
              <w:ind w:left="28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26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81"/>
              </w:rPr>
              <w:t>V</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240" w:type="dxa"/>
            <w:vAlign w:val="bottom"/>
          </w:tcPr>
          <w:p>
            <w:pPr>
              <w:spacing w:after="0"/>
              <w:rPr>
                <w:sz w:val="20"/>
                <w:szCs w:val="20"/>
                <w:color w:val="auto"/>
              </w:rPr>
            </w:pPr>
            <w:r>
              <w:rPr>
                <w:rFonts w:ascii="Arial" w:cs="Arial" w:eastAsia="Arial" w:hAnsi="Arial"/>
                <w:sz w:val="11"/>
                <w:szCs w:val="11"/>
                <w:b w:val="1"/>
                <w:bCs w:val="1"/>
                <w:color w:val="auto"/>
              </w:rPr>
              <w:t>(D)</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Exercisable  Date</w:t>
            </w:r>
          </w:p>
        </w:tc>
        <w:tc>
          <w:tcPr>
            <w:tcW w:w="60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360" w:type="dxa"/>
            <w:vAlign w:val="bottom"/>
          </w:tcPr>
          <w:p>
            <w:pPr>
              <w:spacing w:after="0"/>
              <w:rPr>
                <w:sz w:val="15"/>
                <w:szCs w:val="15"/>
                <w:color w:val="auto"/>
              </w:rPr>
            </w:pP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008000"/>
              </w:rPr>
              <w:t>(2)</w:t>
            </w: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6,800,000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restart"/>
          </w:tcPr>
          <w:p>
            <w:pPr>
              <w:jc w:val="center"/>
              <w:ind w:left="84"/>
              <w:spacing w:after="0"/>
              <w:rPr>
                <w:sz w:val="20"/>
                <w:szCs w:val="20"/>
                <w:color w:val="auto"/>
              </w:rPr>
            </w:pPr>
            <w:r>
              <w:rPr>
                <w:rFonts w:ascii="Times New Roman" w:cs="Times New Roman" w:eastAsia="Times New Roman" w:hAnsi="Times New Roman"/>
                <w:sz w:val="25"/>
                <w:szCs w:val="25"/>
                <w:color w:val="0000FF"/>
                <w:w w:val="88"/>
                <w:vertAlign w:val="subscript"/>
              </w:rPr>
              <w:t>D</w:t>
            </w:r>
            <w:r>
              <w:rPr>
                <w:rFonts w:ascii="Times New Roman" w:cs="Times New Roman" w:eastAsia="Times New Roman" w:hAnsi="Times New Roman"/>
                <w:sz w:val="11"/>
                <w:szCs w:val="11"/>
                <w:color w:val="008000"/>
                <w:w w:val="88"/>
              </w:rPr>
              <w:t>(3)</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ordinary</w:t>
            </w:r>
          </w:p>
        </w:tc>
        <w:tc>
          <w:tcPr>
            <w:tcW w:w="74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00" w:type="dxa"/>
            <w:vAlign w:val="bottom"/>
            <w:gridSpan w:val="2"/>
          </w:tcPr>
          <w:p>
            <w:pPr>
              <w:ind w:left="80"/>
              <w:spacing w:after="0" w:line="139" w:lineRule="exact"/>
              <w:rPr>
                <w:sz w:val="20"/>
                <w:szCs w:val="20"/>
                <w:color w:val="auto"/>
              </w:rPr>
            </w:pPr>
            <w:r>
              <w:rPr>
                <w:rFonts w:ascii="Times New Roman" w:cs="Times New Roman" w:eastAsia="Times New Roman" w:hAnsi="Times New Roman"/>
                <w:sz w:val="13"/>
                <w:szCs w:val="13"/>
                <w:color w:val="0000FF"/>
              </w:rPr>
              <w:t>ordinary</w:t>
            </w:r>
          </w:p>
        </w:tc>
        <w:tc>
          <w:tcPr>
            <w:tcW w:w="7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6"/>
              </w:rPr>
              <w:t>6,800,000</w:t>
            </w: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center"/>
              <w:ind w:right="92"/>
              <w:spacing w:after="0"/>
              <w:rPr>
                <w:sz w:val="20"/>
                <w:szCs w:val="20"/>
                <w:color w:val="auto"/>
              </w:rPr>
            </w:pPr>
            <w:r>
              <w:rPr>
                <w:rFonts w:ascii="Times New Roman" w:cs="Times New Roman" w:eastAsia="Times New Roman" w:hAnsi="Times New Roman"/>
                <w:sz w:val="13"/>
                <w:szCs w:val="13"/>
                <w:color w:val="0000FF"/>
                <w:w w:val="98"/>
              </w:rPr>
              <w:t>shares</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360" w:type="dxa"/>
            <w:vAlign w:val="bottom"/>
          </w:tcPr>
          <w:p>
            <w:pPr>
              <w:spacing w:after="0"/>
              <w:rPr>
                <w:sz w:val="15"/>
                <w:szCs w:val="15"/>
                <w:color w:val="auto"/>
              </w:rPr>
            </w:pP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008000"/>
              </w:rPr>
              <w:t>(2)</w:t>
            </w: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60" w:type="dxa"/>
            <w:vAlign w:val="bottom"/>
          </w:tcPr>
          <w:p>
            <w:pPr>
              <w:spacing w:after="0"/>
              <w:rPr>
                <w:sz w:val="15"/>
                <w:szCs w:val="15"/>
                <w:color w:val="auto"/>
              </w:rPr>
            </w:pPr>
          </w:p>
        </w:tc>
        <w:tc>
          <w:tcPr>
            <w:tcW w:w="680" w:type="dxa"/>
            <w:vAlign w:val="bottom"/>
            <w:vMerge w:val="restart"/>
          </w:tcPr>
          <w:p>
            <w:pPr>
              <w:jc w:val="center"/>
              <w:ind w:right="22"/>
              <w:spacing w:after="0"/>
              <w:rPr>
                <w:sz w:val="20"/>
                <w:szCs w:val="20"/>
                <w:color w:val="auto"/>
              </w:rPr>
            </w:pPr>
            <w:r>
              <w:rPr>
                <w:rFonts w:ascii="Times New Roman" w:cs="Times New Roman" w:eastAsia="Times New Roman" w:hAnsi="Times New Roman"/>
                <w:sz w:val="16"/>
                <w:szCs w:val="16"/>
                <w:color w:val="0000FF"/>
              </w:rPr>
              <w:t>100,000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74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100,000</w:t>
            </w:r>
          </w:p>
        </w:tc>
        <w:tc>
          <w:tcPr>
            <w:tcW w:w="680" w:type="dxa"/>
            <w:vAlign w:val="bottom"/>
            <w:vMerge w:val="restart"/>
          </w:tcPr>
          <w:p>
            <w:pPr>
              <w:jc w:val="center"/>
              <w:ind w:left="64"/>
              <w:spacing w:after="0"/>
              <w:rPr>
                <w:sz w:val="20"/>
                <w:szCs w:val="20"/>
                <w:color w:val="auto"/>
              </w:rPr>
            </w:pPr>
            <w:r>
              <w:rPr>
                <w:rFonts w:ascii="Times New Roman" w:cs="Times New Roman" w:eastAsia="Times New Roman" w:hAnsi="Times New Roman"/>
                <w:sz w:val="13"/>
                <w:szCs w:val="13"/>
                <w:color w:val="0000FF"/>
                <w:w w:val="91"/>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820" w:type="dxa"/>
            <w:vAlign w:val="bottom"/>
            <w:tcBorders>
              <w:right w:val="single" w:sz="8" w:color="2C2C2C"/>
            </w:tcBorders>
            <w:gridSpan w:val="3"/>
            <w:vMerge w:val="restart"/>
          </w:tcPr>
          <w:p>
            <w:pPr>
              <w:ind w:left="140"/>
              <w:spacing w:after="0" w:line="157"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(3)</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tcBorders>
              <w:bottom w:val="single" w:sz="8" w:color="2C2C2C"/>
            </w:tcBorders>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shares</w:t>
            </w:r>
          </w:p>
        </w:tc>
        <w:tc>
          <w:tcPr>
            <w:tcW w:w="1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jc w:val="center"/>
              <w:ind w:right="92"/>
              <w:spacing w:after="0" w:line="139" w:lineRule="exact"/>
              <w:rPr>
                <w:sz w:val="20"/>
                <w:szCs w:val="20"/>
                <w:color w:val="auto"/>
              </w:rPr>
            </w:pPr>
            <w:r>
              <w:rPr>
                <w:rFonts w:ascii="Times New Roman" w:cs="Times New Roman" w:eastAsia="Times New Roman" w:hAnsi="Times New Roman"/>
                <w:sz w:val="13"/>
                <w:szCs w:val="13"/>
                <w:color w:val="0000FF"/>
                <w:w w:val="98"/>
              </w:rPr>
              <w:t>shares</w:t>
            </w:r>
          </w:p>
        </w:tc>
        <w:tc>
          <w:tcPr>
            <w:tcW w:w="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360" w:type="dxa"/>
            <w:vAlign w:val="bottom"/>
          </w:tcPr>
          <w:p>
            <w:pPr>
              <w:spacing w:after="0"/>
              <w:rPr>
                <w:sz w:val="15"/>
                <w:szCs w:val="15"/>
                <w:color w:val="auto"/>
              </w:rPr>
            </w:pP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008000"/>
              </w:rPr>
              <w:t>(4)</w:t>
            </w: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60" w:type="dxa"/>
            <w:vAlign w:val="bottom"/>
          </w:tcPr>
          <w:p>
            <w:pPr>
              <w:spacing w:after="0"/>
              <w:rPr>
                <w:sz w:val="15"/>
                <w:szCs w:val="15"/>
                <w:color w:val="auto"/>
              </w:rPr>
            </w:pPr>
          </w:p>
        </w:tc>
        <w:tc>
          <w:tcPr>
            <w:tcW w:w="680" w:type="dxa"/>
            <w:vAlign w:val="bottom"/>
            <w:vMerge w:val="restart"/>
          </w:tcPr>
          <w:p>
            <w:pPr>
              <w:jc w:val="center"/>
              <w:ind w:right="22"/>
              <w:spacing w:after="0"/>
              <w:rPr>
                <w:sz w:val="20"/>
                <w:szCs w:val="20"/>
                <w:color w:val="auto"/>
              </w:rPr>
            </w:pPr>
            <w:r>
              <w:rPr>
                <w:rFonts w:ascii="Times New Roman" w:cs="Times New Roman" w:eastAsia="Times New Roman" w:hAnsi="Times New Roman"/>
                <w:sz w:val="16"/>
                <w:szCs w:val="16"/>
                <w:color w:val="0000FF"/>
              </w:rPr>
              <w:t>108,535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restart"/>
          </w:tcPr>
          <w:p>
            <w:pPr>
              <w:jc w:val="center"/>
              <w:ind w:left="84"/>
              <w:spacing w:after="0"/>
              <w:rPr>
                <w:sz w:val="20"/>
                <w:szCs w:val="20"/>
                <w:color w:val="auto"/>
              </w:rPr>
            </w:pPr>
            <w:r>
              <w:rPr>
                <w:rFonts w:ascii="Times New Roman" w:cs="Times New Roman" w:eastAsia="Times New Roman" w:hAnsi="Times New Roman"/>
                <w:sz w:val="25"/>
                <w:szCs w:val="25"/>
                <w:color w:val="0000FF"/>
                <w:w w:val="88"/>
                <w:vertAlign w:val="subscript"/>
              </w:rPr>
              <w:t>D</w:t>
            </w:r>
            <w:r>
              <w:rPr>
                <w:rFonts w:ascii="Times New Roman" w:cs="Times New Roman" w:eastAsia="Times New Roman" w:hAnsi="Times New Roman"/>
                <w:sz w:val="11"/>
                <w:szCs w:val="11"/>
                <w:color w:val="008000"/>
                <w:w w:val="88"/>
              </w:rPr>
              <w:t>(5)</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Warrants</w:t>
            </w:r>
          </w:p>
        </w:tc>
        <w:tc>
          <w:tcPr>
            <w:tcW w:w="74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11.5</w:t>
            </w:r>
          </w:p>
        </w:tc>
        <w:tc>
          <w:tcPr>
            <w:tcW w:w="1100" w:type="dxa"/>
            <w:vAlign w:val="bottom"/>
            <w:gridSpan w:val="2"/>
          </w:tcPr>
          <w:p>
            <w:pPr>
              <w:ind w:left="260"/>
              <w:spacing w:after="0" w:line="139" w:lineRule="exact"/>
              <w:rPr>
                <w:sz w:val="20"/>
                <w:szCs w:val="20"/>
                <w:color w:val="auto"/>
              </w:rPr>
            </w:pPr>
            <w:r>
              <w:rPr>
                <w:rFonts w:ascii="Times New Roman" w:cs="Times New Roman" w:eastAsia="Times New Roman" w:hAnsi="Times New Roman"/>
                <w:sz w:val="13"/>
                <w:szCs w:val="13"/>
                <w:color w:val="0000FF"/>
              </w:rPr>
              <w:t>04/08/2026</w:t>
            </w:r>
          </w:p>
        </w:tc>
        <w:tc>
          <w:tcPr>
            <w:tcW w:w="1040" w:type="dxa"/>
            <w:vAlign w:val="bottom"/>
          </w:tcPr>
          <w:p>
            <w:pPr>
              <w:spacing w:after="0"/>
              <w:rPr>
                <w:sz w:val="12"/>
                <w:szCs w:val="12"/>
                <w:color w:val="auto"/>
              </w:rPr>
            </w:pPr>
          </w:p>
        </w:tc>
        <w:tc>
          <w:tcPr>
            <w:tcW w:w="480" w:type="dxa"/>
            <w:vAlign w:val="bottom"/>
          </w:tcPr>
          <w:p>
            <w:pPr>
              <w:ind w:left="180"/>
              <w:spacing w:after="0" w:line="139" w:lineRule="exact"/>
              <w:rPr>
                <w:sz w:val="20"/>
                <w:szCs w:val="20"/>
                <w:color w:val="auto"/>
              </w:rPr>
            </w:pPr>
            <w:r>
              <w:rPr>
                <w:rFonts w:ascii="Times New Roman" w:cs="Times New Roman" w:eastAsia="Times New Roman" w:hAnsi="Times New Roman"/>
                <w:sz w:val="13"/>
                <w:szCs w:val="13"/>
                <w:color w:val="0000FF"/>
              </w:rPr>
              <w:t>P</w:t>
            </w:r>
          </w:p>
        </w:tc>
        <w:tc>
          <w:tcPr>
            <w:tcW w:w="260" w:type="dxa"/>
            <w:vAlign w:val="bottom"/>
            <w:gridSpan w:val="2"/>
          </w:tcPr>
          <w:p>
            <w:pPr>
              <w:ind w:left="80"/>
              <w:spacing w:after="0" w:line="139" w:lineRule="exact"/>
              <w:rPr>
                <w:sz w:val="20"/>
                <w:szCs w:val="20"/>
                <w:color w:val="auto"/>
              </w:rPr>
            </w:pPr>
            <w:r>
              <w:rPr>
                <w:rFonts w:ascii="Times New Roman" w:cs="Times New Roman" w:eastAsia="Times New Roman" w:hAnsi="Times New Roman"/>
                <w:sz w:val="13"/>
                <w:szCs w:val="13"/>
                <w:color w:val="0000FF"/>
              </w:rPr>
              <w:t>V</w:t>
            </w:r>
          </w:p>
        </w:tc>
        <w:tc>
          <w:tcPr>
            <w:tcW w:w="680" w:type="dxa"/>
            <w:vAlign w:val="bottom"/>
            <w:gridSpan w:val="3"/>
          </w:tcPr>
          <w:p>
            <w:pPr>
              <w:ind w:left="120"/>
              <w:spacing w:after="0" w:line="139" w:lineRule="exact"/>
              <w:rPr>
                <w:sz w:val="20"/>
                <w:szCs w:val="20"/>
                <w:color w:val="auto"/>
              </w:rPr>
            </w:pPr>
            <w:r>
              <w:rPr>
                <w:rFonts w:ascii="Times New Roman" w:cs="Times New Roman" w:eastAsia="Times New Roman" w:hAnsi="Times New Roman"/>
                <w:sz w:val="13"/>
                <w:szCs w:val="13"/>
                <w:color w:val="0000FF"/>
              </w:rPr>
              <w:t>108,535</w:t>
            </w:r>
          </w:p>
        </w:tc>
        <w:tc>
          <w:tcPr>
            <w:tcW w:w="2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00" w:type="dxa"/>
            <w:vAlign w:val="bottom"/>
            <w:gridSpan w:val="2"/>
          </w:tcPr>
          <w:p>
            <w:pPr>
              <w:ind w:left="80"/>
              <w:spacing w:after="0" w:line="139" w:lineRule="exact"/>
              <w:rPr>
                <w:sz w:val="20"/>
                <w:szCs w:val="20"/>
                <w:color w:val="auto"/>
              </w:rPr>
            </w:pPr>
            <w:r>
              <w:rPr>
                <w:rFonts w:ascii="Times New Roman" w:cs="Times New Roman" w:eastAsia="Times New Roman" w:hAnsi="Times New Roman"/>
                <w:sz w:val="13"/>
                <w:szCs w:val="13"/>
                <w:color w:val="0000FF"/>
              </w:rPr>
              <w:t>ordinary</w:t>
            </w: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0.69</w:t>
            </w:r>
          </w:p>
        </w:tc>
        <w:tc>
          <w:tcPr>
            <w:tcW w:w="82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108,535</w:t>
            </w: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center"/>
              <w:ind w:right="92"/>
              <w:spacing w:after="0"/>
              <w:rPr>
                <w:sz w:val="20"/>
                <w:szCs w:val="20"/>
                <w:color w:val="auto"/>
              </w:rPr>
            </w:pPr>
            <w:r>
              <w:rPr>
                <w:rFonts w:ascii="Times New Roman" w:cs="Times New Roman" w:eastAsia="Times New Roman" w:hAnsi="Times New Roman"/>
                <w:sz w:val="13"/>
                <w:szCs w:val="13"/>
                <w:color w:val="0000FF"/>
                <w:w w:val="98"/>
              </w:rPr>
              <w:t>shares</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360" w:type="dxa"/>
            <w:vAlign w:val="bottom"/>
          </w:tcPr>
          <w:p>
            <w:pPr>
              <w:spacing w:after="0"/>
              <w:rPr>
                <w:sz w:val="15"/>
                <w:szCs w:val="15"/>
                <w:color w:val="auto"/>
              </w:rPr>
            </w:pP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008000"/>
              </w:rPr>
              <w:t>(4)</w:t>
            </w: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4,400,000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restart"/>
          </w:tcPr>
          <w:p>
            <w:pPr>
              <w:jc w:val="center"/>
              <w:ind w:left="84"/>
              <w:spacing w:after="0"/>
              <w:rPr>
                <w:sz w:val="20"/>
                <w:szCs w:val="20"/>
                <w:color w:val="auto"/>
              </w:rPr>
            </w:pPr>
            <w:r>
              <w:rPr>
                <w:rFonts w:ascii="Times New Roman" w:cs="Times New Roman" w:eastAsia="Times New Roman" w:hAnsi="Times New Roman"/>
                <w:sz w:val="25"/>
                <w:szCs w:val="25"/>
                <w:color w:val="0000FF"/>
                <w:w w:val="88"/>
                <w:vertAlign w:val="subscript"/>
              </w:rPr>
              <w:t>D</w:t>
            </w:r>
            <w:r>
              <w:rPr>
                <w:rFonts w:ascii="Times New Roman" w:cs="Times New Roman" w:eastAsia="Times New Roman" w:hAnsi="Times New Roman"/>
                <w:sz w:val="11"/>
                <w:szCs w:val="11"/>
                <w:color w:val="008000"/>
                <w:w w:val="88"/>
              </w:rPr>
              <w:t>(6)</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Warrants</w:t>
            </w:r>
          </w:p>
        </w:tc>
        <w:tc>
          <w:tcPr>
            <w:tcW w:w="74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11.5</w:t>
            </w: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00" w:type="dxa"/>
            <w:vAlign w:val="bottom"/>
            <w:gridSpan w:val="2"/>
          </w:tcPr>
          <w:p>
            <w:pPr>
              <w:ind w:left="80"/>
              <w:spacing w:after="0" w:line="139" w:lineRule="exact"/>
              <w:rPr>
                <w:sz w:val="20"/>
                <w:szCs w:val="20"/>
                <w:color w:val="auto"/>
              </w:rPr>
            </w:pPr>
            <w:r>
              <w:rPr>
                <w:rFonts w:ascii="Times New Roman" w:cs="Times New Roman" w:eastAsia="Times New Roman" w:hAnsi="Times New Roman"/>
                <w:sz w:val="13"/>
                <w:szCs w:val="13"/>
                <w:color w:val="0000FF"/>
              </w:rPr>
              <w:t>ordinary</w:t>
            </w:r>
          </w:p>
        </w:tc>
        <w:tc>
          <w:tcPr>
            <w:tcW w:w="7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6"/>
              </w:rPr>
              <w:t>4,400,000</w:t>
            </w: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center"/>
              <w:ind w:right="92"/>
              <w:spacing w:after="0"/>
              <w:rPr>
                <w:sz w:val="20"/>
                <w:szCs w:val="20"/>
                <w:color w:val="auto"/>
              </w:rPr>
            </w:pPr>
            <w:r>
              <w:rPr>
                <w:rFonts w:ascii="Times New Roman" w:cs="Times New Roman" w:eastAsia="Times New Roman" w:hAnsi="Times New Roman"/>
                <w:sz w:val="13"/>
                <w:szCs w:val="13"/>
                <w:color w:val="0000FF"/>
                <w:w w:val="98"/>
              </w:rPr>
              <w:t>shares</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7"/>
          </w:tcPr>
          <w:p>
            <w:pPr>
              <w:ind w:left="60"/>
              <w:spacing w:after="0" w:line="226"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6"/>
          </w:tcPr>
          <w:p>
            <w:pPr>
              <w:ind w:left="20"/>
              <w:spacing w:after="0" w:line="215"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CGC III Sponsor LLC</w:t>
              </w:r>
            </w:hyperlink>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500" w:type="dxa"/>
            <w:vAlign w:val="bottom"/>
            <w:tcBorders>
              <w:top w:val="single" w:sz="8" w:color="0000EE"/>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40" w:type="dxa"/>
            <w:vAlign w:val="bottom"/>
          </w:tcPr>
          <w:p>
            <w:pPr>
              <w:ind w:left="380"/>
              <w:spacing w:after="0"/>
              <w:rPr>
                <w:sz w:val="20"/>
                <w:szCs w:val="20"/>
                <w:color w:val="auto"/>
              </w:rPr>
            </w:pPr>
            <w:r>
              <w:rPr>
                <w:rFonts w:ascii="Arial" w:cs="Arial" w:eastAsia="Arial" w:hAnsi="Arial"/>
                <w:sz w:val="13"/>
                <w:szCs w:val="13"/>
                <w:color w:val="auto"/>
              </w:rPr>
              <w:t>(Middle)</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8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0000FF"/>
              </w:rPr>
              <w:t>505 FIFTH AVENUE, 15TH FLOOR</w:t>
            </w: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NY</w:t>
            </w:r>
          </w:p>
        </w:tc>
        <w:tc>
          <w:tcPr>
            <w:tcW w:w="104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10017</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40" w:type="dxa"/>
            <w:vAlign w:val="bottom"/>
          </w:tcPr>
          <w:p>
            <w:pPr>
              <w:ind w:left="380"/>
              <w:spacing w:after="0"/>
              <w:rPr>
                <w:sz w:val="20"/>
                <w:szCs w:val="20"/>
                <w:color w:val="auto"/>
              </w:rPr>
            </w:pPr>
            <w:r>
              <w:rPr>
                <w:rFonts w:ascii="Arial" w:cs="Arial" w:eastAsia="Arial" w:hAnsi="Arial"/>
                <w:sz w:val="13"/>
                <w:szCs w:val="13"/>
                <w:color w:val="auto"/>
              </w:rPr>
              <w:t>(Zip)</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gridSpan w:val="2"/>
          </w:tcPr>
          <w:p>
            <w:pPr>
              <w:spacing w:after="0"/>
              <w:rPr>
                <w:sz w:val="6"/>
                <w:szCs w:val="6"/>
                <w:color w:val="auto"/>
              </w:rPr>
            </w:pPr>
          </w:p>
        </w:tc>
        <w:tc>
          <w:tcPr>
            <w:tcW w:w="1140" w:type="dxa"/>
            <w:vAlign w:val="bottom"/>
            <w:tcBorders>
              <w:bottom w:val="single" w:sz="8" w:color="2C2C2C"/>
            </w:tcBorders>
            <w:gridSpan w:val="2"/>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4"/>
          </w:tcPr>
          <w:p>
            <w:pPr>
              <w:ind w:left="20"/>
              <w:spacing w:after="0" w:line="215"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Yu Peter</w:t>
              </w:r>
            </w:hyperlink>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40" w:type="dxa"/>
            <w:vAlign w:val="bottom"/>
          </w:tcPr>
          <w:p>
            <w:pPr>
              <w:ind w:left="380"/>
              <w:spacing w:after="0"/>
              <w:rPr>
                <w:sz w:val="20"/>
                <w:szCs w:val="20"/>
                <w:color w:val="auto"/>
              </w:rPr>
            </w:pPr>
            <w:r>
              <w:rPr>
                <w:rFonts w:ascii="Arial" w:cs="Arial" w:eastAsia="Arial" w:hAnsi="Arial"/>
                <w:sz w:val="13"/>
                <w:szCs w:val="13"/>
                <w:color w:val="auto"/>
              </w:rPr>
              <w:t>(Middle)</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-4877435</wp:posOffset>
            </wp:positionV>
            <wp:extent cx="28575" cy="2694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575" cy="2694940"/>
                    </a:xfrm>
                    <a:prstGeom prst="rect">
                      <a:avLst/>
                    </a:prstGeom>
                    <a:noFill/>
                  </pic:spPr>
                </pic:pic>
              </a:graphicData>
            </a:graphic>
          </wp:anchor>
        </w:drawing>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505 FIFTH AVENUE, 15TH FLOOR</w:t>
      </w:r>
    </w:p>
    <w:p>
      <w:pPr>
        <w:spacing w:after="0" w:line="33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6" w:right="359" w:bottom="0" w:gutter="0" w:footer="0" w:header="0"/>
          <w:type w:val="continuous"/>
        </w:sectPr>
      </w:pPr>
    </w:p>
    <w:p>
      <w:pPr>
        <w:spacing w:after="0" w:line="28" w:lineRule="exact"/>
        <w:rPr>
          <w:sz w:val="20"/>
          <w:szCs w:val="20"/>
          <w:color w:val="auto"/>
        </w:rPr>
      </w:pPr>
    </w:p>
    <w:p>
      <w:pPr>
        <w:ind w:left="120"/>
        <w:spacing w:after="0"/>
        <w:tabs>
          <w:tab w:leader="none" w:pos="1480" w:val="left"/>
          <w:tab w:leader="none" w:pos="2900" w:val="left"/>
        </w:tabs>
        <w:rPr>
          <w:sz w:val="20"/>
          <w:szCs w:val="20"/>
          <w:color w:val="auto"/>
        </w:rPr>
      </w:pPr>
      <w:r>
        <w:rPr>
          <w:rFonts w:ascii="Times New Roman" w:cs="Times New Roman" w:eastAsia="Times New Roman" w:hAnsi="Times New Roman"/>
          <w:sz w:val="16"/>
          <w:szCs w:val="16"/>
          <w:color w:val="0000FF"/>
        </w:rPr>
        <w:t>NEW YORK</w:t>
      </w:r>
      <w:r>
        <w:rPr>
          <w:sz w:val="20"/>
          <w:szCs w:val="20"/>
          <w:color w:val="auto"/>
        </w:rPr>
        <w:tab/>
      </w:r>
      <w:r>
        <w:rPr>
          <w:rFonts w:ascii="Times New Roman" w:cs="Times New Roman" w:eastAsia="Times New Roman" w:hAnsi="Times New Roman"/>
          <w:sz w:val="16"/>
          <w:szCs w:val="16"/>
          <w:color w:val="0000FF"/>
        </w:rPr>
        <w:t>NY</w:t>
      </w:r>
      <w:r>
        <w:rPr>
          <w:sz w:val="20"/>
          <w:szCs w:val="20"/>
          <w:color w:val="auto"/>
        </w:rPr>
        <w:tab/>
      </w:r>
      <w:r>
        <w:rPr>
          <w:rFonts w:ascii="Times New Roman" w:cs="Times New Roman" w:eastAsia="Times New Roman" w:hAnsi="Times New Roman"/>
          <w:sz w:val="16"/>
          <w:szCs w:val="16"/>
          <w:color w:val="0000FF"/>
        </w:rPr>
        <w:t>10017</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tabs>
          <w:tab w:leader="none" w:pos="1500" w:val="left"/>
          <w:tab w:leader="none" w:pos="2920" w:val="left"/>
        </w:tabs>
        <w:rPr>
          <w:sz w:val="20"/>
          <w:szCs w:val="20"/>
          <w:color w:val="auto"/>
        </w:rPr>
      </w:pPr>
      <w:r>
        <w:rPr>
          <w:sz w:val="1"/>
          <w:szCs w:val="1"/>
          <w:color w:val="auto"/>
        </w:rPr>
        <w:drawing>
          <wp:anchor simplePos="0" relativeHeight="251657728" behindDoc="1" locked="0" layoutInCell="0" allowOverlap="1">
            <wp:simplePos x="0" y="0"/>
            <wp:positionH relativeFrom="page">
              <wp:posOffset>292735</wp:posOffset>
            </wp:positionH>
            <wp:positionV relativeFrom="page">
              <wp:posOffset>88900</wp:posOffset>
            </wp:positionV>
            <wp:extent cx="2794635" cy="197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794635" cy="197485"/>
                    </a:xfrm>
                    <a:prstGeom prst="rect">
                      <a:avLst/>
                    </a:prstGeom>
                    <a:noFill/>
                  </pic:spPr>
                </pic:pic>
              </a:graphicData>
            </a:graphic>
          </wp:anchor>
        </w:drawing>
        <w:drawing>
          <wp:inline distT="0" distB="0" distL="0" distR="0">
            <wp:extent cx="41275" cy="19748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41275" cy="197485"/>
                    </a:xfrm>
                    <a:prstGeom prst="rect">
                      <a:avLst/>
                    </a:prstGeom>
                    <a:noFill/>
                    <a:ln>
                      <a:noFill/>
                    </a:ln>
                  </pic:spPr>
                </pic:pic>
              </a:graphicData>
            </a:graphic>
          </wp:inline>
        </w:drawing>
      </w:r>
      <w:r>
        <w:rPr>
          <w:rFonts w:ascii="Arial" w:cs="Arial" w:eastAsia="Arial" w:hAnsi="Arial"/>
          <w:sz w:val="13"/>
          <w:szCs w:val="13"/>
          <w:color w:val="auto"/>
        </w:rPr>
        <w:t xml:space="preserve"> (City)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60" w:right="40" w:hanging="1"/>
        <w:spacing w:after="0" w:line="237" w:lineRule="auto"/>
        <w:tabs>
          <w:tab w:leader="none" w:pos="18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Class A ordinary shares of Cartesian Growth Corporation III (the "Issuer") held directly by Pangaea Three-B, LP ("Pangaea"). Pangaea is controlled by Peter Yu. Consequently, Mr. Yu may be deemed to share voting and dispositive control over the securities held by Pangaea, and thus to share beneficial ownership of such securities. Mr. Yu disclaims beneficial ownership of such securities except to the extent of its or his pecuniary interest therein.</w:t>
      </w:r>
    </w:p>
    <w:p>
      <w:pPr>
        <w:spacing w:after="0" w:line="25" w:lineRule="exact"/>
        <w:rPr>
          <w:rFonts w:ascii="Times New Roman" w:cs="Times New Roman" w:eastAsia="Times New Roman" w:hAnsi="Times New Roman"/>
          <w:sz w:val="13"/>
          <w:szCs w:val="13"/>
          <w:color w:val="008000"/>
        </w:rPr>
      </w:pPr>
    </w:p>
    <w:p>
      <w:pPr>
        <w:ind w:left="60" w:hanging="1"/>
        <w:spacing w:after="0" w:line="237" w:lineRule="auto"/>
        <w:tabs>
          <w:tab w:leader="none" w:pos="18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Class B ordinary shares of the Issuer have no expiration date and will automatically convert into Class A ordinary shares concurrently with or immediately following the consummation of the Issuer's initial business combination, or earlier at the option of the holder, on a one-for-one basis, subject to adjustment, as described in the Registration Statement on Form S-1 (File No. 333-284565) (the "Registration Statement") related to the Issuer's initial public offering (the "IPO").</w:t>
      </w:r>
    </w:p>
    <w:p>
      <w:pPr>
        <w:spacing w:after="0" w:line="25" w:lineRule="exact"/>
        <w:rPr>
          <w:rFonts w:ascii="Times New Roman" w:cs="Times New Roman" w:eastAsia="Times New Roman" w:hAnsi="Times New Roman"/>
          <w:sz w:val="13"/>
          <w:szCs w:val="13"/>
          <w:color w:val="008000"/>
        </w:rPr>
      </w:pPr>
    </w:p>
    <w:p>
      <w:pPr>
        <w:jc w:val="both"/>
        <w:ind w:left="60" w:right="20" w:hanging="1"/>
        <w:spacing w:after="0" w:line="233" w:lineRule="auto"/>
        <w:tabs>
          <w:tab w:leader="none" w:pos="18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6,800,000 Class B ordinary shares held directly by the Sponsor and 100,000 Class B ordinary shares held directly by CGC III Sponsor DirectorCo LLC ("DirectorCo") (of which 90,000 shares are held by DirectorCo for the benefit of the Issuer's independent directors). The Sponsor is the sole managing member of DirectorCo. Pangaea is the sole member of the Sponsor and is controlled by Peter Yu. Consequently, each of Pangaea and Mr. Yu may be deemed to share voting and dispositive control over the securities held by the Sponsor and DirectorCo, and thus to share beneficial ownership of such securities. Each of Pangaea and Mr. Yu disclaims beneficial ownership of such securities except to the extent of its or his pecuniary interest therein.</w:t>
      </w:r>
    </w:p>
    <w:p>
      <w:pPr>
        <w:spacing w:after="0" w:line="27" w:lineRule="exact"/>
        <w:rPr>
          <w:rFonts w:ascii="Times New Roman" w:cs="Times New Roman" w:eastAsia="Times New Roman" w:hAnsi="Times New Roman"/>
          <w:sz w:val="13"/>
          <w:szCs w:val="13"/>
          <w:color w:val="008000"/>
        </w:rPr>
      </w:pPr>
    </w:p>
    <w:p>
      <w:pPr>
        <w:ind w:left="60" w:right="140" w:hanging="1"/>
        <w:spacing w:after="0" w:line="237" w:lineRule="auto"/>
        <w:tabs>
          <w:tab w:leader="none" w:pos="18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warrant becomes exercisable on the later of one year after the closing of the Issuer's initial public offering or 30 days after the completion of an initial business combination, as described in the Issuer's prospectus filed with the SEC. The warrants expire five years after the completion of an initial business combination, or earlier upon redemption or liquidation, as described in the Issuer's prospectus filed with the SEC.</w:t>
      </w:r>
    </w:p>
    <w:p>
      <w:pPr>
        <w:spacing w:after="0" w:line="25" w:lineRule="exact"/>
        <w:rPr>
          <w:rFonts w:ascii="Times New Roman" w:cs="Times New Roman" w:eastAsia="Times New Roman" w:hAnsi="Times New Roman"/>
          <w:sz w:val="13"/>
          <w:szCs w:val="13"/>
          <w:color w:val="008000"/>
        </w:rPr>
      </w:pPr>
    </w:p>
    <w:p>
      <w:pPr>
        <w:ind w:left="60" w:right="220" w:hanging="1"/>
        <w:spacing w:after="0" w:line="248" w:lineRule="auto"/>
        <w:tabs>
          <w:tab w:leader="none" w:pos="18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108,535 warrants held directly by Pangaea. Pangaea is controlled by Peter Yu. Consequently, Mr. Yu may be deemed to share voting and dispositive control over the securities held by Pangaea, and thus to share beneficial ownership of such securities. Mr. Yu disclaims beneficial ownership of such securities except to the extent of his pecuniary interest therein.</w:t>
      </w:r>
    </w:p>
    <w:p>
      <w:pPr>
        <w:spacing w:after="0" w:line="20" w:lineRule="exact"/>
        <w:rPr>
          <w:rFonts w:ascii="Times New Roman" w:cs="Times New Roman" w:eastAsia="Times New Roman" w:hAnsi="Times New Roman"/>
          <w:sz w:val="13"/>
          <w:szCs w:val="13"/>
          <w:color w:val="008000"/>
        </w:rPr>
      </w:pPr>
    </w:p>
    <w:p>
      <w:pPr>
        <w:jc w:val="both"/>
        <w:ind w:left="60" w:hanging="1"/>
        <w:spacing w:after="0" w:line="237" w:lineRule="auto"/>
        <w:tabs>
          <w:tab w:leader="none" w:pos="18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4,400,000 private placement warrants held directly by the Sponsor. Pangaea is the sole member of the Sponsor and is controlled by Peter Yu. Consequently, each of Pangaea and Mr. Yu may be deemed to share voting and dispositive control over the securities held by the Sponsor, and thus to share beneficial ownership of such securities. Each of Pangaea and Mr. Yu disclaims beneficial ownership of such securities except to the extent of its or his pecuniary interest therein.</w:t>
      </w:r>
    </w:p>
    <w:p>
      <w:pPr>
        <w:ind w:left="6620"/>
        <w:spacing w:after="0" w:line="182" w:lineRule="auto"/>
        <w:rPr>
          <w:sz w:val="20"/>
          <w:szCs w:val="20"/>
          <w:color w:val="auto"/>
        </w:rPr>
      </w:pPr>
      <w:r>
        <w:rPr>
          <w:rFonts w:ascii="Times New Roman" w:cs="Times New Roman" w:eastAsia="Times New Roman" w:hAnsi="Times New Roman"/>
          <w:sz w:val="16"/>
          <w:szCs w:val="16"/>
          <w:color w:val="0000FF"/>
        </w:rPr>
        <w:t xml:space="preserve">/s/ Thomas Martin, Attorney-in- </w:t>
      </w:r>
      <w:r>
        <w:rPr>
          <w:rFonts w:ascii="Times New Roman" w:cs="Times New Roman" w:eastAsia="Times New Roman" w:hAnsi="Times New Roman"/>
          <w:sz w:val="31"/>
          <w:szCs w:val="31"/>
          <w:color w:val="0000FF"/>
          <w:vertAlign w:val="subscript"/>
        </w:rPr>
        <w:t>04/08/2026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-26035</wp:posOffset>
            </wp:positionV>
            <wp:extent cx="13468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-15240</wp:posOffset>
            </wp:positionV>
            <wp:extent cx="1797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5601335</wp:posOffset>
            </wp:positionH>
            <wp:positionV relativeFrom="paragraph">
              <wp:posOffset>-79375</wp:posOffset>
            </wp:positionV>
            <wp:extent cx="4762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31" w:lineRule="exact"/>
        <w:rPr>
          <w:sz w:val="20"/>
          <w:szCs w:val="20"/>
          <w:color w:val="auto"/>
        </w:rPr>
      </w:pPr>
    </w:p>
    <w:p>
      <w:pPr>
        <w:ind w:left="6620"/>
        <w:spacing w:after="0"/>
        <w:tabs>
          <w:tab w:leader="none" w:pos="88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0"/>
          <w:szCs w:val="20"/>
          <w:color w:val="auto"/>
        </w:rPr>
      </w:pPr>
    </w:p>
    <w:p>
      <w:pPr>
        <w:ind w:left="6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6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60" w:right="3580" w:hanging="1"/>
        <w:spacing w:after="0" w:line="330" w:lineRule="auto"/>
        <w:tabs>
          <w:tab w:leader="none" w:pos="19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6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40" w:top="112"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13" Type="http://schemas.openxmlformats.org/officeDocument/2006/relationships/hyperlink" Target="http://www.sec.gov/cgi-bin/browse-edgar?action=getcompany&amp;CIK=0002049612" TargetMode="External"/><Relationship Id="rId14" Type="http://schemas.openxmlformats.org/officeDocument/2006/relationships/hyperlink" Target="http://www.sec.gov/cgi-bin/browse-edgar?action=getcompany&amp;CIK=0002049662" TargetMode="External"/><Relationship Id="rId16" Type="http://schemas.openxmlformats.org/officeDocument/2006/relationships/hyperlink" Target="http://www.sec.gov/cgi-bin/browse-edgar?action=getcompany&amp;CIK=00014268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2026-04-08T20:02:20Z</dcterms:created>
  <dcterms:modified xsi:type="dcterms:W3CDTF">2026-04-08T20:02:20Z</dcterms:modified>
</cp:coreProperties>
</file>