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Commission file number 001-42629</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Factorial Energy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w:t>
      </w:r>
    </w:p>
    <w:tbl>
      <w:tblPr>
        <w:tblW w:w="8648"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42-2967285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805 Middlesex Turnpike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Billerica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01821</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315-9733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175"/>
        <w:gridCol w:w="1716"/>
        <w:gridCol w:w="1737"/>
        <w:gridCol w:w="109"/>
        <w:gridCol w:w="109"/>
        <w:gridCol w:w="109"/>
        <w:gridCol w:w="449"/>
        <w:gridCol w:w="436"/>
        <w:gridCol w:w="437"/>
        <w:gridCol w:w="109"/>
        <w:gridCol w:w="109"/>
        <w:gridCol w:w="109"/>
        <w:gridCol w:w="759"/>
        <w:gridCol w:w="759"/>
        <w:gridCol w:w="1083"/>
      </w:tblGrid>
      <w:tr>
        <w:trPr/>
        <w:tc>
          <w:tcPr>
            <w:tcW w:w="217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5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Name of each exchange on which registered</w:t>
            </w:r>
          </w:p>
        </w:tc>
      </w:tr>
      <w:tr>
        <w:trPr/>
        <w:tc>
          <w:tcPr>
            <w:tcW w:w="5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Series A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FAC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 xml:space="preserve">The Nasdaq Global Market </w:t>
            </w:r>
          </w:p>
        </w:tc>
      </w:tr>
      <w:tr>
        <w:trPr/>
        <w:tc>
          <w:tcPr>
            <w:tcW w:w="5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Warrants, each whole warrant exercisable for one share of Series A Common Stock at an exercise price of $11.50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31F20"/>
                <w:sz w:val="20"/>
              </w:rPr>
            </w:pPr>
            <w:r>
              <w:rPr>
                <w:rFonts w:ascii="Times New Roman;serif" w:hAnsi="Times New Roman;serif"/>
                <w:b w:val="false"/>
                <w:color w:val="231F20"/>
                <w:sz w:val="20"/>
              </w:rPr>
              <w:t>FACWW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31F20"/>
                <w:sz w:val="20"/>
              </w:rPr>
            </w:pPr>
            <w:r>
              <w:rPr>
                <w:rFonts w:ascii="Times New Roman;serif" w:hAnsi="Times New Roman;serif"/>
                <w:b w:val="false"/>
                <w:color w:val="231F20"/>
                <w:sz w:val="20"/>
              </w:rPr>
              <w:t xml:space="preserve">The Nasdaq Global Market </w:t>
            </w:r>
          </w:p>
        </w:tc>
      </w:tr>
    </w:tbl>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200"/>
        <w:jc w:val="both"/>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200"/>
        <w:jc w:val="both"/>
        <w:rPr/>
      </w:pP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200"/>
        <w:jc w:val="both"/>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16"/>
        </w:rPr>
        <w:t>x</w:t>
      </w:r>
    </w:p>
    <w:p>
      <w:pPr>
        <w:pStyle w:val="TextBody"/>
        <w:bidi w:val="0"/>
        <w:spacing w:lineRule="auto" w:line="230" w:before="0" w:after="0"/>
        <w:jc w:val="both"/>
        <w:rPr/>
      </w:pPr>
      <w:r>
        <w:rPr>
          <w:rFonts w:ascii="Times New Roman;serif" w:hAnsi="Times New Roman;serif"/>
          <w:b w:val="false"/>
          <w:color w:val="000000"/>
          <w:sz w:val="17"/>
        </w:rPr>
        <w:t>Indicate</w:t>
      </w:r>
      <w:r>
        <w:rPr>
          <w:color w:val="000000"/>
        </w:rPr>
        <w:t xml:space="preserve"> </w:t>
      </w:r>
      <w:r>
        <w:rPr>
          <w:rFonts w:ascii="Times New Roman;serif" w:hAnsi="Times New Roman;serif"/>
          <w:b w:val="false"/>
          <w:color w:val="000000"/>
          <w:sz w:val="20"/>
        </w:rPr>
        <w:t>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August 7, 2026, the registrant had 91,510,501 shares of Series A Common Stock, $0.00001 par value per share, and 15,512,744 shares of Series B Common Stock, $0.00001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included in this Quarterly Report on Form 10-Q (this “Quarterly Report”)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statements regarding estimates and forecasts of other financial and performance metrics and projections of market opportunity;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expectations and timing related to the success, cost and timing of product development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financing and other business milestones;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realize the anticipated benefits of the Merger (as defined herein);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expectations relating to the Merger, including Factorial Energy’s expected cash runway.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statements are based on various assumptions and on the current expectations of management and are not predictions of actual performance. 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may differ from such assumptions. Many actual events and circumstances are beyond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and uncertainties,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domestic and foreign business, market, financial, political, and legal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to realize the anticipated benefits of the Merger;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ability to maintain the listing of the Company’s Series A common stock, par value $0.00001 per share (the “Series A Common Stock”) on the Nasdaq Global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financial performance of Factorial Energy;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international trade disputes, including threatened or implemented tariffs by the U.S. and threatened or implemented tariffs by foreign countries in retaliation;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effects of competition on Factorial Energy’s future business; 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risks related to Factorial Energy’s business include, but are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limited operating history;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associated with Factorial Energy’s efforts to commercialize its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ability to maintain its existing agreements with third parties and to negotiate and enter into new definitive agreements on favorable terms, if at all;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competing products on Factorial Energy’s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intellectual property-related claims;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Factorial Energy’s dependence upon its key personnel and ability to attract and retain such personnel and additional qualified personnel;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 associated with Factorial Energy's international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ability to source the raw materials for its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risks materialize or Factorial Energy’s assumptions prove incorrect, actual results could differ materially from the results implied by these forward-looking statements. There may be additional risks that Factorial Energy does not presently know or that Factorial Energy currently believes are immaterial that could also cause actual results to differ from those contained in the forward-looking statements. In addition, forward-looking statements reflect Factorial Energy’s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expectations, plans, or forecasts of future events and views as of the date of this Quarterly Report and are qualified in their entirety by reference to the cautionary statements herein. Factorial Energy anticipates that subsequent events and developments will cause Factorial Energy’s assessments to change. These forward-looking statements should not be relied upon as representing Factorial Energy’s assessments as of any date subsequent to the date of this Quarterly Report. Accordingly, undue reliance should not be placed upon the forward-looking statements. Neither Factorial Energy, nor any of its affiliates undertake any obligation to update these forward-looking statements, except as required by law.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COMPANY REFERENCES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Throughout this Quarterly Report, the “Company,” “we”, “us”, “our”, “Factorial Energy” and “Factorial” refer to Factorial Energy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TRADEMARKS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Solely for convenience, we refer to trademarks in this Quarterly Report without the ® or the ™ or symbols, but such references are not intended to indicate that we will not assert, to the fullest extent under applicable law, our rights to our own trademarks. Other service marks, trademarks and trade names referred to in this Quarterly Report, if any, are the property of their respective owners, although for presentational convenience we may not use the ® or the ™ symbols to identify such trademarks.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03"/>
        <w:gridCol w:w="266"/>
        <w:gridCol w:w="268"/>
        <w:gridCol w:w="2929"/>
        <w:gridCol w:w="2929"/>
        <w:gridCol w:w="2936"/>
        <w:gridCol w:w="167"/>
        <w:gridCol w:w="167"/>
        <w:gridCol w:w="240"/>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3">
              <w:r>
                <w:rPr>
                  <w:rStyle w:val="InternetLink"/>
                  <w:rFonts w:ascii="Times New Roman;serif" w:hAnsi="Times New Roman;serif"/>
                  <w:b w:val="false"/>
                  <w:color w:val="0000FF"/>
                  <w:sz w:val="20"/>
                  <w:u w:val="single"/>
                </w:rPr>
                <w:t>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3">
              <w:r>
                <w:rPr>
                  <w:rStyle w:val="InternetLink"/>
                  <w:rFonts w:ascii="Times New Roman;serif" w:hAnsi="Times New Roman;serif"/>
                  <w:b w:val="false"/>
                  <w:strike w:val="false"/>
                  <w:dstrike w:val="false"/>
                  <w:color w:val="000000"/>
                  <w:sz w:val="20"/>
                  <w:u w:val="none"/>
                  <w:effect w:val="none"/>
                </w:rPr>
                <w:t>5</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9">
              <w:r>
                <w:rPr>
                  <w:rStyle w:val="InternetLink"/>
                  <w:rFonts w:ascii="Times New Roman;serif" w:hAnsi="Times New Roman;serif"/>
                  <w:b w:val="false"/>
                  <w:color w:val="0000FF"/>
                  <w:sz w:val="20"/>
                  <w:u w:val="single"/>
                </w:rPr>
                <w:t>Condensed Consolidated Balance Sheets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9">
              <w:r>
                <w:rPr>
                  <w:rStyle w:val="InternetLink"/>
                  <w:rFonts w:ascii="Times New Roman;serif" w:hAnsi="Times New Roman;serif"/>
                  <w:b w:val="false"/>
                  <w:strike w:val="false"/>
                  <w:dstrike w:val="false"/>
                  <w:color w:val="000000"/>
                  <w:sz w:val="20"/>
                  <w:u w:val="none"/>
                  <w:effect w:val="none"/>
                </w:rPr>
                <w:t>6</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22">
              <w:r>
                <w:rPr>
                  <w:rStyle w:val="InternetLink"/>
                  <w:rFonts w:ascii="Times New Roman;serif" w:hAnsi="Times New Roman;serif"/>
                  <w:b w:val="false"/>
                  <w:color w:val="0000FF"/>
                  <w:sz w:val="20"/>
                  <w:u w:val="single"/>
                </w:rPr>
                <w:t>Condensed Consolidated Statements of Operations and Comprehensive Loss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22">
              <w:r>
                <w:rPr>
                  <w:rStyle w:val="InternetLink"/>
                  <w:rFonts w:ascii="Times New Roman;serif" w:hAnsi="Times New Roman;serif"/>
                  <w:b w:val="false"/>
                  <w:strike w:val="false"/>
                  <w:dstrike w:val="false"/>
                  <w:color w:val="000000"/>
                  <w:sz w:val="20"/>
                  <w:u w:val="none"/>
                  <w:effect w:val="none"/>
                </w:rPr>
                <w:t>8</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28">
              <w:r>
                <w:rPr>
                  <w:rStyle w:val="InternetLink"/>
                  <w:rFonts w:ascii="Times New Roman;serif" w:hAnsi="Times New Roman;serif"/>
                  <w:b w:val="false"/>
                  <w:color w:val="0000FF"/>
                  <w:sz w:val="20"/>
                  <w:u w:val="single"/>
                </w:rPr>
                <w:t>Condensed Consolidated Statements of Redeemable Convertible Preferred Stock and Stockholders’ Equity (Deficit)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28">
              <w:r>
                <w:rPr>
                  <w:rStyle w:val="InternetLink"/>
                  <w:rFonts w:ascii="Times New Roman;serif" w:hAnsi="Times New Roman;serif"/>
                  <w:b w:val="false"/>
                  <w:strike w:val="false"/>
                  <w:dstrike w:val="false"/>
                  <w:color w:val="000000"/>
                  <w:sz w:val="20"/>
                  <w:u w:val="none"/>
                  <w:effect w:val="none"/>
                </w:rPr>
                <w:t>9</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31">
              <w:r>
                <w:rPr>
                  <w:rStyle w:val="InternetLink"/>
                  <w:rFonts w:ascii="Times New Roman;serif" w:hAnsi="Times New Roman;serif"/>
                  <w:b w:val="false"/>
                  <w:color w:val="0000FF"/>
                  <w:sz w:val="20"/>
                  <w:u w:val="single"/>
                </w:rPr>
                <w:t>Condensed Consolidated Statements of Cash Flows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31">
              <w:r>
                <w:rPr>
                  <w:rStyle w:val="InternetLink"/>
                  <w:rFonts w:ascii="Times New Roman;serif" w:hAnsi="Times New Roman;serif"/>
                  <w:b w:val="false"/>
                  <w:strike w:val="false"/>
                  <w:dstrike w:val="false"/>
                  <w:color w:val="000000"/>
                  <w:sz w:val="20"/>
                  <w:u w:val="none"/>
                  <w:effect w:val="none"/>
                </w:rPr>
                <w:t>10</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34">
              <w:r>
                <w:rPr>
                  <w:rStyle w:val="InternetLink"/>
                  <w:rFonts w:ascii="Times New Roman;serif" w:hAnsi="Times New Roman;serif"/>
                  <w:b w:val="false"/>
                  <w:color w:val="0000FF"/>
                  <w:sz w:val="20"/>
                  <w:u w:val="single"/>
                </w:rPr>
                <w:t>Notes to the Condensed Consolidated 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34">
              <w:r>
                <w:rPr>
                  <w:rStyle w:val="InternetLink"/>
                  <w:rFonts w:ascii="Times New Roman;serif" w:hAnsi="Times New Roman;serif"/>
                  <w:b w:val="false"/>
                  <w:strike w:val="false"/>
                  <w:dstrike w:val="false"/>
                  <w:color w:val="000000"/>
                  <w:sz w:val="20"/>
                  <w:u w:val="none"/>
                  <w:effect w:val="none"/>
                </w:rPr>
                <w:t>11</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85">
              <w:r>
                <w:rPr>
                  <w:rStyle w:val="InternetLink"/>
                  <w:rFonts w:ascii="Times New Roman;serif" w:hAnsi="Times New Roman;serif"/>
                  <w:b w:val="false"/>
                  <w:strike w:val="false"/>
                  <w:dstrike w:val="false"/>
                  <w:color w:val="000000"/>
                  <w:sz w:val="20"/>
                  <w:u w:val="none"/>
                  <w:effect w:val="none"/>
                </w:rPr>
                <w:t>31</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36">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36">
              <w:r>
                <w:rPr>
                  <w:rStyle w:val="InternetLink"/>
                  <w:rFonts w:ascii="Times New Roman;serif" w:hAnsi="Times New Roman;serif"/>
                  <w:b w:val="false"/>
                  <w:strike w:val="false"/>
                  <w:dstrike w:val="false"/>
                  <w:color w:val="000000"/>
                  <w:sz w:val="20"/>
                  <w:u w:val="none"/>
                  <w:effect w:val="none"/>
                </w:rPr>
                <w:t>38</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39">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39">
              <w:r>
                <w:rPr>
                  <w:rStyle w:val="InternetLink"/>
                  <w:rFonts w:ascii="Times New Roman;serif" w:hAnsi="Times New Roman;serif"/>
                  <w:b w:val="false"/>
                  <w:strike w:val="false"/>
                  <w:dstrike w:val="false"/>
                  <w:color w:val="000000"/>
                  <w:sz w:val="20"/>
                  <w:u w:val="none"/>
                  <w:effect w:val="none"/>
                </w:rPr>
                <w:t>39</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45">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45">
              <w:r>
                <w:rPr>
                  <w:rStyle w:val="InternetLink"/>
                  <w:rFonts w:ascii="Times New Roman;serif" w:hAnsi="Times New Roman;serif"/>
                  <w:b w:val="false"/>
                  <w:strike w:val="false"/>
                  <w:dstrike w:val="false"/>
                  <w:color w:val="000000"/>
                  <w:sz w:val="20"/>
                  <w:u w:val="none"/>
                  <w:effect w:val="none"/>
                </w:rPr>
                <w:t>41</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48">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48">
              <w:r>
                <w:rPr>
                  <w:rStyle w:val="InternetLink"/>
                  <w:rFonts w:ascii="Times New Roman;serif" w:hAnsi="Times New Roman;serif"/>
                  <w:b w:val="false"/>
                  <w:strike w:val="false"/>
                  <w:dstrike w:val="false"/>
                  <w:color w:val="000000"/>
                  <w:sz w:val="20"/>
                  <w:u w:val="none"/>
                  <w:effect w:val="none"/>
                </w:rPr>
                <w:t>41</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51">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51">
              <w:r>
                <w:rPr>
                  <w:rStyle w:val="InternetLink"/>
                  <w:rFonts w:ascii="Times New Roman;serif" w:hAnsi="Times New Roman;serif"/>
                  <w:b w:val="false"/>
                  <w:strike w:val="false"/>
                  <w:dstrike w:val="false"/>
                  <w:color w:val="000000"/>
                  <w:sz w:val="20"/>
                  <w:u w:val="none"/>
                  <w:effect w:val="none"/>
                </w:rPr>
                <w:t>69</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54">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54">
              <w:r>
                <w:rPr>
                  <w:rStyle w:val="InternetLink"/>
                  <w:rFonts w:ascii="Times New Roman;serif" w:hAnsi="Times New Roman;serif"/>
                  <w:b w:val="false"/>
                  <w:strike w:val="false"/>
                  <w:dstrike w:val="false"/>
                  <w:color w:val="000000"/>
                  <w:sz w:val="20"/>
                  <w:u w:val="none"/>
                  <w:effect w:val="none"/>
                </w:rPr>
                <w:t>69</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57">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57">
              <w:r>
                <w:rPr>
                  <w:rStyle w:val="InternetLink"/>
                  <w:rFonts w:ascii="Times New Roman;serif" w:hAnsi="Times New Roman;serif"/>
                  <w:b w:val="false"/>
                  <w:strike w:val="false"/>
                  <w:dstrike w:val="false"/>
                  <w:color w:val="000000"/>
                  <w:sz w:val="20"/>
                  <w:u w:val="none"/>
                  <w:effect w:val="none"/>
                </w:rPr>
                <w:t>69</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60">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60">
              <w:r>
                <w:rPr>
                  <w:rStyle w:val="InternetLink"/>
                  <w:rFonts w:ascii="Times New Roman;serif" w:hAnsi="Times New Roman;serif"/>
                  <w:b w:val="false"/>
                  <w:strike w:val="false"/>
                  <w:dstrike w:val="false"/>
                  <w:color w:val="000000"/>
                  <w:sz w:val="20"/>
                  <w:u w:val="none"/>
                  <w:effect w:val="none"/>
                </w:rPr>
                <w:t>69</w:t>
              </w:r>
            </w:hyperlink>
          </w:p>
        </w:tc>
      </w:tr>
      <w:tr>
        <w:trPr/>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63">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63">
              <w:r>
                <w:rPr>
                  <w:rStyle w:val="InternetLink"/>
                  <w:rFonts w:ascii="Times New Roman;serif" w:hAnsi="Times New Roman;serif"/>
                  <w:b w:val="false"/>
                  <w:strike w:val="false"/>
                  <w:dstrike w:val="false"/>
                  <w:color w:val="000000"/>
                  <w:sz w:val="20"/>
                  <w:u w:val="none"/>
                  <w:effect w:val="none"/>
                </w:rPr>
                <w:t>70</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e000375de34f2cbcd7f3342f4c65d8_166">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e000375de34f2cbcd7f3342f4c65d8_166">
              <w:r>
                <w:rPr>
                  <w:rStyle w:val="InternetLink"/>
                  <w:rFonts w:ascii="Times New Roman;serif" w:hAnsi="Times New Roman;serif"/>
                  <w:b w:val="false"/>
                  <w:strike w:val="false"/>
                  <w:dstrike w:val="false"/>
                  <w:color w:val="000000"/>
                  <w:sz w:val="20"/>
                  <w:u w:val="none"/>
                  <w:effect w:val="none"/>
                </w:rPr>
                <w:t>73</w:t>
              </w:r>
            </w:hyperlink>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42"/>
        <w:gridCol w:w="2261"/>
        <w:gridCol w:w="2251"/>
        <w:gridCol w:w="211"/>
        <w:gridCol w:w="841"/>
        <w:gridCol w:w="109"/>
        <w:gridCol w:w="109"/>
        <w:gridCol w:w="109"/>
        <w:gridCol w:w="109"/>
        <w:gridCol w:w="241"/>
        <w:gridCol w:w="844"/>
        <w:gridCol w:w="178"/>
      </w:tblGrid>
      <w:tr>
        <w:trPr/>
        <w:tc>
          <w:tcPr>
            <w:tcW w:w="2942"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Receivables under collaboration agreements (includes $0 and $1,000 as related party as of June 30, 2026 and December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transaction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(includes $720 and $1,110 as related party as of June 30, 2026, and December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115,601 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32,891 </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21,276 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7,576 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(related party)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142,654</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62,784</w:t>
            </w:r>
            <w:r>
              <w:rPr>
                <w:color w:val="000000"/>
              </w:rPr>
              <w:t>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Redeemable Convertible Preferred Stock &amp; Stockholders’ Equity (Deficit)</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Accounts payable (includes $2 and $190 as related party, as of June 30, 2026, and December 31, 2025,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2,981 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6,600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5,079</w:t>
            </w: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 – related parties, at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Warrant liabilities for Series B-1 and Series D redeemable convertible preferred stock (includes $2,770 to related parties as of December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78"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for Series A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57,655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34,526</w:t>
            </w:r>
            <w:r>
              <w:rPr>
                <w:color w:val="000000"/>
              </w:rPr>
              <w:t> </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Commitments and contingencies (Note 9) </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 (Note 10):</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color w:val="000000"/>
              </w:rPr>
            </w:pPr>
            <w:r>
              <w:rPr>
                <w:color w:val="000000"/>
              </w:rPr>
              <w:t> </w:t>
            </w:r>
            <w:r>
              <w:rPr>
                <w:rFonts w:ascii="Times New Roman;serif" w:hAnsi="Times New Roman;serif"/>
                <w:b w:val="false"/>
                <w:color w:val="000000"/>
                <w:sz w:val="20"/>
              </w:rPr>
              <w:t>Series A-1 redeemable convertible preferred stock, $0.00001 par value; 4,528,900 shares authorized, issued and outstanding as of December 31, 2025. Liquidation preference of $3,000 as of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A-2 redeemable convertible preferred stock, $0.00001 par value; 8,665,524 shares authorized, issued and outstanding as of December 31, 2025. Liquidation preference of $6,000 as of December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B-1 redeemable convertible preferred stock, $0.00001 par value; 10,045,799 shares authorized; 9,972,682 shares issued and outstanding as of December 31, 2025, and 2025 Liquidation preference of $22,166 as of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C-1 redeemable convertible preferred stock, $0.00001 par value; 13,098,851 shares authorized, issued and outstanding as of December 31, 2025. Liquidation preference of $28,423 as of December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C-2 redeemable convertible preferred stock, $0.00001 par value; 9,221,245 shares authorized, issued and outstanding as of December 31, 2025, and 2025. Liquidation preference of $26,857 as of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87"/>
        <w:gridCol w:w="2288"/>
        <w:gridCol w:w="2295"/>
        <w:gridCol w:w="211"/>
        <w:gridCol w:w="841"/>
        <w:gridCol w:w="109"/>
        <w:gridCol w:w="109"/>
        <w:gridCol w:w="109"/>
        <w:gridCol w:w="109"/>
        <w:gridCol w:w="238"/>
        <w:gridCol w:w="832"/>
        <w:gridCol w:w="177"/>
      </w:tblGrid>
      <w:tr>
        <w:trPr/>
        <w:tc>
          <w:tcPr>
            <w:tcW w:w="2887"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D redeemable convertible preferred stock, $0.00001 par value; 27,974,242 shares authorized; 21,827,755 shares issued and outstanding as of December 31, 2025. Liquidation preference of $202,385 as of December 31, 2025.</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192,185 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redeemable convertible preferred stock</w:t>
            </w:r>
          </w:p>
        </w:tc>
        <w:tc>
          <w:tcPr>
            <w:tcW w:w="10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249,652</w:t>
            </w:r>
            <w:r>
              <w:rPr>
                <w:color w:val="000000"/>
              </w:rPr>
              <w:t> </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Stockholders’ equity (deficit):</w:t>
            </w:r>
          </w:p>
        </w:tc>
        <w:tc>
          <w:tcPr>
            <w:tcW w:w="116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100,000,000 shares authorized, and no shares issued or outstanding as of June 30, 2026. No shares were authorized, issued, or outstanding as of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A Common Stock, $0.00001 par value; 600,000,000 and 32,000,000 shares authorized as of June 30, 2026 and December 31, 2025, respectively. 91,510,501 and 18,486,699 shares issued and outstanding as of June 30, 2026 and December 31,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Series B Common Stock, $0.00001 par value; 50,000,000 shares authorized as of June 30, 2026. 15,512,742 shares issued and outstanding as of June 30, 2026 and December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34,625 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(255,576)</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stockholders’ equity (deficit)</w:t>
            </w:r>
          </w:p>
        </w:tc>
        <w:tc>
          <w:tcPr>
            <w:tcW w:w="10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84,999</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(221,394)</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 Redeemable Convertible Preferred Stock &amp; Stockholders’ Equity (Deficit)</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142,654</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62,784</w:t>
            </w:r>
            <w:r>
              <w:rPr>
                <w:color w:val="000000"/>
              </w:rPr>
              <w:t> </w:t>
            </w:r>
          </w:p>
        </w:tc>
        <w:tc>
          <w:tcPr>
            <w:tcW w:w="17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107"/>
        <w:gridCol w:w="1400"/>
        <w:gridCol w:w="1407"/>
        <w:gridCol w:w="211"/>
        <w:gridCol w:w="746"/>
        <w:gridCol w:w="109"/>
        <w:gridCol w:w="109"/>
        <w:gridCol w:w="109"/>
        <w:gridCol w:w="109"/>
        <w:gridCol w:w="211"/>
        <w:gridCol w:w="746"/>
        <w:gridCol w:w="109"/>
        <w:gridCol w:w="109"/>
        <w:gridCol w:w="109"/>
        <w:gridCol w:w="109"/>
        <w:gridCol w:w="211"/>
        <w:gridCol w:w="746"/>
        <w:gridCol w:w="109"/>
        <w:gridCol w:w="109"/>
        <w:gridCol w:w="109"/>
        <w:gridCol w:w="109"/>
        <w:gridCol w:w="211"/>
        <w:gridCol w:w="746"/>
        <w:gridCol w:w="155"/>
      </w:tblGrid>
      <w:tr>
        <w:trPr/>
        <w:tc>
          <w:tcPr>
            <w:tcW w:w="210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net (includes $10 and $140 for the three months ended June 30, 2026 and 2025, respectively; and $10 and $165 for the six months ended June 30, 2026 and 2025, respectively, of related party research and development reimbursement)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(includes $65 and $44 for the three months ended June 30, 2026 and 2025, respectively; and $153 and $88 for the six months ended June 30, 2026 and 2025, respectively, of related party expenses)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(12,961)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(11,402)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(19,452)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(24,524)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(11,402)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(24,524)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 related to issuance of convertible promissory notes – related parties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 related parties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Change in fair value of Series B-1 and Series D warrant liabilities (includes related party loss of $229 and $0 for the three months ended June 30, 2026 and 2025, respectively; and $262 and $0 for the six months ended June 30, 2026 and 2025, respectively)</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 for Series A Common Stock</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other income (expenses), net</w:t>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(11,341)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(10,569)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(19,916)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(23,439)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(11,341)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(10,569)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(19,916)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(23,439)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(23,439)</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(16,079)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(23,439)</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 - basic</w:t>
            </w:r>
          </w:p>
        </w:tc>
        <w:tc>
          <w:tcPr>
            <w:tcW w:w="10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18,594,006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18,423,699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44"/>
              <w:jc w:val="right"/>
              <w:rPr>
                <w:rFonts w:ascii="Times New Roman;serif" w:hAnsi="Times New Roman;serif"/>
                <w:b w:val="false"/>
                <w:color w:val="000000"/>
                <w:sz w:val="20"/>
              </w:rPr>
            </w:pPr>
            <w:r>
              <w:rPr>
                <w:rFonts w:ascii="Times New Roman;serif" w:hAnsi="Times New Roman;serif"/>
                <w:b w:val="false"/>
                <w:color w:val="000000"/>
                <w:sz w:val="20"/>
              </w:rPr>
              <w:t>18,486,699</w:t>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 - diluted</w:t>
            </w:r>
          </w:p>
        </w:tc>
        <w:tc>
          <w:tcPr>
            <w:tcW w:w="10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18,934,279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18,423,699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18,742,761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18,486,699</w:t>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comprehensive loss:</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9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(11,417)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(10,751)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(20,290)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(23,613)</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120" w:after="283"/>
        <w:jc w:val="center"/>
        <w:rPr/>
      </w:pPr>
      <w:r>
        <w:rPr>
          <w:rFonts w:ascii="Times New Roman;serif" w:hAnsi="Times New Roman;serif"/>
          <w:b/>
          <w:color w:val="000000"/>
          <w:sz w:val="20"/>
        </w:rPr>
        <w:t xml:space="preserve">CONDENSED CONSOLIDATED STATEMENTS OF REDEEMABLE CONVERTIBLE PREFERRED STOCK AND STOCKHOLDERS’ EQUITY (DEFICIT) </w:t>
      </w:r>
      <w:r>
        <w:rPr>
          <w:rFonts w:ascii="Times New Roman;serif" w:hAnsi="Times New Roman;serif"/>
          <w:b w:val="false"/>
          <w:color w:val="000000"/>
          <w:sz w:val="20"/>
        </w:rPr>
        <w:t>(</w:t>
      </w:r>
      <w:r>
        <w:rPr>
          <w:rFonts w:ascii="Times New Roman;serif" w:hAnsi="Times New Roman;serif"/>
          <w:b/>
          <w:color w:val="000000"/>
          <w:sz w:val="20"/>
        </w:rPr>
        <w:t>UNAUDITED</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3159" w:type="dxa"/>
        <w:jc w:val="center"/>
        <w:tblInd w:w="0" w:type="dxa"/>
        <w:tblLayout w:type="fixed"/>
        <w:tblCellMar>
          <w:top w:w="28" w:type="dxa"/>
          <w:left w:w="28" w:type="dxa"/>
          <w:bottom w:w="28" w:type="dxa"/>
          <w:right w:w="28" w:type="dxa"/>
        </w:tblCellMar>
      </w:tblPr>
      <w:tblGrid>
        <w:gridCol w:w="400"/>
        <w:gridCol w:w="325"/>
        <w:gridCol w:w="326"/>
        <w:gridCol w:w="405"/>
        <w:gridCol w:w="406"/>
        <w:gridCol w:w="171"/>
        <w:gridCol w:w="109"/>
        <w:gridCol w:w="109"/>
        <w:gridCol w:w="109"/>
        <w:gridCol w:w="181"/>
        <w:gridCol w:w="616"/>
        <w:gridCol w:w="109"/>
        <w:gridCol w:w="109"/>
        <w:gridCol w:w="109"/>
        <w:gridCol w:w="109"/>
        <w:gridCol w:w="109"/>
        <w:gridCol w:w="109"/>
        <w:gridCol w:w="109"/>
        <w:gridCol w:w="360"/>
        <w:gridCol w:w="361"/>
        <w:gridCol w:w="171"/>
        <w:gridCol w:w="109"/>
        <w:gridCol w:w="109"/>
        <w:gridCol w:w="109"/>
        <w:gridCol w:w="181"/>
        <w:gridCol w:w="406"/>
        <w:gridCol w:w="109"/>
        <w:gridCol w:w="109"/>
        <w:gridCol w:w="109"/>
        <w:gridCol w:w="109"/>
        <w:gridCol w:w="398"/>
        <w:gridCol w:w="398"/>
        <w:gridCol w:w="171"/>
        <w:gridCol w:w="109"/>
        <w:gridCol w:w="109"/>
        <w:gridCol w:w="109"/>
        <w:gridCol w:w="235"/>
        <w:gridCol w:w="227"/>
        <w:gridCol w:w="109"/>
        <w:gridCol w:w="109"/>
        <w:gridCol w:w="109"/>
        <w:gridCol w:w="109"/>
        <w:gridCol w:w="181"/>
        <w:gridCol w:w="616"/>
        <w:gridCol w:w="109"/>
        <w:gridCol w:w="109"/>
        <w:gridCol w:w="109"/>
        <w:gridCol w:w="109"/>
        <w:gridCol w:w="181"/>
        <w:gridCol w:w="631"/>
        <w:gridCol w:w="109"/>
        <w:gridCol w:w="109"/>
        <w:gridCol w:w="109"/>
        <w:gridCol w:w="109"/>
        <w:gridCol w:w="277"/>
        <w:gridCol w:w="576"/>
        <w:gridCol w:w="168"/>
        <w:gridCol w:w="109"/>
        <w:gridCol w:w="109"/>
        <w:gridCol w:w="109"/>
        <w:gridCol w:w="181"/>
        <w:gridCol w:w="641"/>
        <w:gridCol w:w="154"/>
      </w:tblGrid>
      <w:tr>
        <w:trPr/>
        <w:tc>
          <w:tcPr>
            <w:tcW w:w="4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Redeemable</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Convertible</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Preferred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Series A Common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Series B Common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 (Deficit)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 as recast for the reverse recapitalization</w:t>
            </w:r>
          </w:p>
        </w:tc>
        <w:tc>
          <w:tcPr>
            <w:tcW w:w="8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2,973,957 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(255,576)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(445)</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(221,394)</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from stock option exercises</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107,308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 based compensation</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98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3,081,265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15,512,742 </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(264,151)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(743)</w:t>
            </w:r>
          </w:p>
        </w:tc>
        <w:tc>
          <w:tcPr>
            <w:tcW w:w="16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(228,643)</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4"/>
              </w:rPr>
              <w:t xml:space="preserve">Conversion of redeemable convertible preferred stock into Series A Common Stock </w:t>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Issuance of common stock in connection with reverse recapitalization and PIPE Financing, net of issuance costs </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21,114,279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123,723 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of warrant liability for Series A Common Stock from equity</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(49,354)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 based compensation</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(11,341)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982"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91,510,501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15,512,742 </w:t>
            </w:r>
          </w:p>
        </w:tc>
        <w:tc>
          <w:tcPr>
            <w:tcW w:w="1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361,299 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(275,492)</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(819)</w:t>
            </w:r>
          </w:p>
        </w:tc>
        <w:tc>
          <w:tcPr>
            <w:tcW w:w="16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84,999 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436" w:type="dxa"/>
        <w:jc w:val="center"/>
        <w:tblInd w:w="0" w:type="dxa"/>
        <w:tblLayout w:type="fixed"/>
        <w:tblCellMar>
          <w:top w:w="28" w:type="dxa"/>
          <w:left w:w="28" w:type="dxa"/>
          <w:bottom w:w="28" w:type="dxa"/>
          <w:right w:w="28" w:type="dxa"/>
        </w:tblCellMar>
      </w:tblPr>
      <w:tblGrid>
        <w:gridCol w:w="370"/>
        <w:gridCol w:w="325"/>
        <w:gridCol w:w="326"/>
        <w:gridCol w:w="254"/>
        <w:gridCol w:w="254"/>
        <w:gridCol w:w="258"/>
        <w:gridCol w:w="109"/>
        <w:gridCol w:w="109"/>
        <w:gridCol w:w="109"/>
        <w:gridCol w:w="181"/>
        <w:gridCol w:w="616"/>
        <w:gridCol w:w="109"/>
        <w:gridCol w:w="109"/>
        <w:gridCol w:w="109"/>
        <w:gridCol w:w="109"/>
        <w:gridCol w:w="109"/>
        <w:gridCol w:w="109"/>
        <w:gridCol w:w="109"/>
        <w:gridCol w:w="229"/>
        <w:gridCol w:w="229"/>
        <w:gridCol w:w="233"/>
        <w:gridCol w:w="109"/>
        <w:gridCol w:w="109"/>
        <w:gridCol w:w="109"/>
        <w:gridCol w:w="181"/>
        <w:gridCol w:w="406"/>
        <w:gridCol w:w="109"/>
        <w:gridCol w:w="109"/>
        <w:gridCol w:w="109"/>
        <w:gridCol w:w="109"/>
        <w:gridCol w:w="254"/>
        <w:gridCol w:w="254"/>
        <w:gridCol w:w="258"/>
        <w:gridCol w:w="109"/>
        <w:gridCol w:w="109"/>
        <w:gridCol w:w="109"/>
        <w:gridCol w:w="235"/>
        <w:gridCol w:w="227"/>
        <w:gridCol w:w="109"/>
        <w:gridCol w:w="109"/>
        <w:gridCol w:w="109"/>
        <w:gridCol w:w="109"/>
        <w:gridCol w:w="181"/>
        <w:gridCol w:w="541"/>
        <w:gridCol w:w="109"/>
        <w:gridCol w:w="109"/>
        <w:gridCol w:w="109"/>
        <w:gridCol w:w="109"/>
        <w:gridCol w:w="181"/>
        <w:gridCol w:w="631"/>
        <w:gridCol w:w="109"/>
        <w:gridCol w:w="109"/>
        <w:gridCol w:w="109"/>
        <w:gridCol w:w="109"/>
        <w:gridCol w:w="312"/>
        <w:gridCol w:w="520"/>
        <w:gridCol w:w="189"/>
        <w:gridCol w:w="109"/>
        <w:gridCol w:w="109"/>
        <w:gridCol w:w="109"/>
        <w:gridCol w:w="181"/>
        <w:gridCol w:w="641"/>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Redeemable</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Convertible</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Preferred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Series A Common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Series B Common Stock</w:t>
            </w:r>
          </w:p>
          <w:p>
            <w:pPr>
              <w:pStyle w:val="TableContents"/>
              <w:bidi w:val="0"/>
              <w:spacing w:lineRule="auto" w:line="273" w:before="0" w:after="0"/>
              <w:jc w:val="center"/>
              <w:rPr>
                <w:rFonts w:ascii="Times New Roman;serif" w:hAnsi="Times New Roman;serif"/>
                <w:b/>
                <w:color w:val="000000"/>
                <w:sz w:val="14"/>
              </w:rPr>
            </w:pPr>
            <w:r>
              <w:rPr>
                <w:rFonts w:ascii="Times New Roman;serif" w:hAnsi="Times New Roman;serif"/>
                <w:b/>
                <w:color w:val="000000"/>
                <w:sz w:val="14"/>
              </w:rPr>
              <w:t>$0.00001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Deficit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 as recast for the reverse recapitalization</w:t>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2,888,163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(181,731)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8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(156,496)</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from stock option exercises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 based compensation</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3,857 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(12,870)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7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2,889,264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29,016 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(194,601)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8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(165,499)</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Series A Common Stock from stock option exercises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 based compensation</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76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67,314,957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249,652 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2,893,241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15,512,742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2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30,769 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(205,170)</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(174,497)</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939"/>
        <w:gridCol w:w="2512"/>
        <w:gridCol w:w="2531"/>
        <w:gridCol w:w="181"/>
        <w:gridCol w:w="661"/>
        <w:gridCol w:w="109"/>
        <w:gridCol w:w="109"/>
        <w:gridCol w:w="109"/>
        <w:gridCol w:w="109"/>
        <w:gridCol w:w="181"/>
        <w:gridCol w:w="608"/>
        <w:gridCol w:w="156"/>
      </w:tblGrid>
      <w:tr>
        <w:trPr/>
        <w:tc>
          <w:tcPr>
            <w:tcW w:w="2939"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5"/>
              </w:rPr>
            </w:pPr>
            <w:r>
              <w:rPr>
                <w:rFonts w:ascii="Times New Roman;serif" w:hAnsi="Times New Roman;serif"/>
                <w:b/>
                <w:color w:val="231F20"/>
                <w:sz w:val="15"/>
              </w:rPr>
              <w:t>Six Months Ended June 30,</w:t>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31F20"/>
                <w:sz w:val="15"/>
              </w:rPr>
            </w:pPr>
            <w:r>
              <w:rPr>
                <w:rFonts w:ascii="Times New Roman;serif" w:hAnsi="Times New Roman;serif"/>
                <w:b/>
                <w:color w:val="231F20"/>
                <w:sz w:val="15"/>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231F20"/>
                <w:sz w:val="15"/>
              </w:rPr>
            </w:pPr>
            <w:r>
              <w:rPr>
                <w:rFonts w:ascii="Times New Roman;serif" w:hAnsi="Times New Roman;serif"/>
                <w:b/>
                <w:color w:val="231F20"/>
                <w:sz w:val="15"/>
              </w:rPr>
              <w:t>2025</w:t>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Cash flows from operating activities:</w:t>
            </w:r>
          </w:p>
        </w:tc>
        <w:tc>
          <w:tcPr>
            <w:tcW w:w="9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(19,916)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(23,439)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 xml:space="preserve">Depreciation and amortization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4,385 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Non-cash lease expenses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5,606 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 in fair value of convertible promissory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 in fair value of convertible promissory notes – related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 in fair value of warrant liabilities for Series B-1 and Series D redeemable convertible preferred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 in fair value of warrant liability for Series A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Loss (gain) on disposal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Unrealized foreign exchange loss (gain)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(611)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Non-cash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Receivables under collaboration agreements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449 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 xml:space="preserve">Accounts payable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583 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(164)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(590)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Net cash used in operating activities</w:t>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(11,391)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(13,088)</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 xml:space="preserve">Property and equipment expenditures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(185)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Advances on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7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5"/>
              </w:rPr>
            </w:pPr>
            <w:r>
              <w:rPr>
                <w:rFonts w:ascii="Times New Roman;serif" w:hAnsi="Times New Roman;serif"/>
                <w:b/>
                <w:color w:val="000000"/>
                <w:sz w:val="15"/>
              </w:rPr>
              <w:t>(578)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(185)</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231F20"/>
                <w:sz w:val="15"/>
              </w:rPr>
            </w:pPr>
            <w:r>
              <w:rPr>
                <w:rFonts w:ascii="Times New Roman;serif" w:hAnsi="Times New Roman;serif"/>
                <w:b w:val="false"/>
                <w:color w:val="231F20"/>
                <w:sz w:val="15"/>
              </w:rPr>
              <w:t>Proceeds received from reverse recapitalization and PIPE Financing, net of $20,064 of transaction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Issuance of convertible promissory notes,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Proceeds from stock option exercises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Principal paid on finance lease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(414)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Deferred transaction costs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Net cash provided by (used in) financing activities</w:t>
            </w:r>
          </w:p>
        </w:tc>
        <w:tc>
          <w:tcPr>
            <w:tcW w:w="84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231F20"/>
                <w:sz w:val="15"/>
              </w:rPr>
              <w:t>96,091</w:t>
            </w:r>
            <w:r>
              <w:rPr>
                <w:color w:val="231F2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(408)</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Effects of exchange rate change on cash, cash equivalents and restricted cash</w:t>
            </w:r>
          </w:p>
        </w:tc>
        <w:tc>
          <w:tcPr>
            <w:tcW w:w="84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(177)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(4)</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Net change in cash, cash equivalents and 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231F20"/>
                <w:sz w:val="15"/>
              </w:rPr>
              <w:t>83,945</w:t>
            </w: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15"/>
              </w:rPr>
            </w:pPr>
            <w:r>
              <w:rPr>
                <w:rFonts w:ascii="Times New Roman;serif" w:hAnsi="Times New Roman;serif"/>
                <w:b/>
                <w:color w:val="231F20"/>
                <w:sz w:val="15"/>
              </w:rPr>
              <w:t>(13,685)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Beginning cash, cash equivalents and 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51,421 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Ending cash, cash equivalents and restricted cash</w:t>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w:t>
            </w:r>
          </w:p>
        </w:tc>
        <w:tc>
          <w:tcPr>
            <w:tcW w:w="6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231F20"/>
                <w:sz w:val="15"/>
              </w:rPr>
              <w:t>113,717</w:t>
            </w:r>
            <w:r>
              <w:rPr>
                <w:color w:val="231F2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w:t>
            </w:r>
          </w:p>
        </w:tc>
        <w:tc>
          <w:tcPr>
            <w:tcW w:w="60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231F20"/>
                <w:sz w:val="15"/>
              </w:rPr>
              <w:t>37,736</w:t>
            </w:r>
            <w:r>
              <w:rPr>
                <w:color w:val="231F20"/>
              </w:rPr>
              <w:t>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Supplemental disclosures: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during the year for: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146 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Leases</w:t>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975 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Non-cash investing and financing activities:</w:t>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Reclassification of warrant liability for Series A Common Stock from equity</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(49,354)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convertible promissory notes and accrued interest - related parties into Series A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22,681 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convertible promissory notes and accrued interest into Series A Common Stock</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Conversion of warrant liabilities for Series B-1 and Series D into Series A Common Stock</w:t>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transaction costs included in accrued expenses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5"/>
              </w:rPr>
            </w:pPr>
            <w:r>
              <w:rPr>
                <w:rFonts w:ascii="Times New Roman;serif" w:hAnsi="Times New Roman;serif"/>
                <w:b w:val="false"/>
                <w:color w:val="231F20"/>
                <w:sz w:val="15"/>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5"/>
              </w:rPr>
            </w:pPr>
            <w:r>
              <w:rPr>
                <w:rFonts w:ascii="Times New Roman;serif" w:hAnsi="Times New Roman;serif"/>
                <w:b w:val="false"/>
                <w:color w:val="231F20"/>
                <w:sz w:val="15"/>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15"/>
              </w:rPr>
            </w:pPr>
            <w:r>
              <w:rPr>
                <w:rFonts w:ascii="Times New Roman;serif" w:hAnsi="Times New Roman;serif"/>
                <w:b/>
                <w:color w:val="231F20"/>
                <w:sz w:val="15"/>
              </w:rPr>
              <w:t>The following table presents the Company’s cash, cash equivalents and restricted cash by category in the Company’s Condensed Consolidated Balance Sheets: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112,831 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34,533 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3,203 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9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5"/>
              </w:rPr>
            </w:pPr>
            <w:r>
              <w:rPr>
                <w:rFonts w:ascii="Times New Roman;serif" w:hAnsi="Times New Roman;serif"/>
                <w:b w:val="false"/>
                <w:color w:val="000000"/>
                <w:sz w:val="15"/>
              </w:rPr>
              <w:t>Total cash, cash equivalents and restricted cash</w:t>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5"/>
              </w:rPr>
              <w:t>113,717</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0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5"/>
              </w:rPr>
              <w:t>37,736</w:t>
            </w:r>
            <w:r>
              <w:rPr>
                <w:color w:val="000000"/>
              </w:rPr>
              <w:t> </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 — THE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Nature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Energy Inc. (“Factorial”, the “Company”, or “we”), formerly known as Cartesian Growth Corporation III (“CGC”),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de-SPAC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17, 2025, CGC, Fenway MS, Inc., a Delaware corporation (“Merger Sub”), and Factorial Inc. (“Legacy Factorial”), entered into a Business Combination Agreement (as amended, the “BCA”). CGC, a publicly traded special purpose acquisition company (“SPAC”) was listed on the Nasdaq Capital Market under the ticker symbol “CGCT”.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2026 (the "Closing Date"), the Merger Sub, a wholly-owned subsidiary of CGC, merged with and into Legacy Factorial, with Legacy Factorial surviving the merger as a wholly-owned subsidiary of CGC (the “Merger”). In connection with the Merger, CGC was renamed Factorial Energy Inc. The Company became listed on the Nasdaq Capital Market under the new ticker symbol “FAC” (“de-SPAC Transaction”) and subsequently upgraded to the Nasdaq Global Market (together with the Nasdaq Capital Market, “Nasdaq”). The Company received gross proceeds of approximately $112.1 million in connection with the de-SPAC Transaction and the sale of a private placement (the “PIPE Financing”) of Class A ordinary shares of CGC, par value $0.0001 per share (the “CGC Class A Shares”), prior to the payment of transaction expenses (“de-SPAC and PIPE Proceeds”) of $20.1 million. </w:t>
      </w:r>
    </w:p>
    <w:p>
      <w:pPr>
        <w:pStyle w:val="TextBody"/>
        <w:bidi w:val="0"/>
        <w:spacing w:lineRule="auto" w:line="288" w:before="120" w:after="283"/>
        <w:jc w:val="both"/>
        <w:rPr/>
      </w:pPr>
      <w:r>
        <w:rPr>
          <w:rFonts w:ascii="Times New Roman;serif" w:hAnsi="Times New Roman;serif"/>
          <w:b w:val="false"/>
          <w:color w:val="000000"/>
          <w:sz w:val="20"/>
        </w:rPr>
        <w:t xml:space="preserve">As discussed in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the de-SPAC Transaction was accounted for as a reverse recapitalization with Factorial being the accounting acquirer, and CGC identified as the acquired company for accounting purposes. Accordingly, prior to the Closing Date, all historical financial information presented in the unaudited condensed consolidated financial statements represents the balances and activity of Legacy Factorial.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both"/>
        <w:rPr/>
      </w:pPr>
      <w:r>
        <w:rPr>
          <w:rFonts w:ascii="Times New Roman;serif" w:hAnsi="Times New Roman;serif"/>
          <w:b w:val="false"/>
          <w:color w:val="000000"/>
          <w:sz w:val="20"/>
        </w:rPr>
        <w:t xml:space="preserve">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June 30, 2026, the interim Condensed Consolidated Statements of Operations and Comprehensive Loss, Condensed Consolidated Statements of Redeemable Convertible Preferred Stock and Stockholders’ Equity (Deficit) for the three and six months ended June 30, 2026 and 2025, and the interim Condensed Consolidated Statements of Cash Flows for the six months ended June 30,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excluding the de-SPAC Transaction described in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xml:space="preserve">, necessary for the fair statement of the Company’s financial position as of June 30, 2026 and its result of operations for the three and six months ended June 30, 2026 and 2025 are not necessarily indicative of the results to be expected for the full fiscal year or any other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sufficient to meet its working capital and capital expenditure requirements for a period of at least twelve months from the date of this filing. Accordingly, management has concluded that the substantial doubt 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or permitting developments, among other possible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83"/>
        <w:jc w:val="both"/>
        <w:rPr/>
      </w:pPr>
      <w:r>
        <w:rPr>
          <w:rFonts w:ascii="Times New Roman;serif" w:hAnsi="Times New Roman;serif"/>
          <w:b w:val="false"/>
          <w:color w:val="000000"/>
          <w:sz w:val="20"/>
        </w:rPr>
        <w:t xml:space="preserve">The accompanying condensed consolidated financial statements include the accounts of the Company and its wholly owned subsidiaries. All intercompany accounts and transactions have been eliminated in the preparation of the consolidated financial statements in accordance with the provisions under ASC Topic 810 </w:t>
      </w:r>
      <w:r>
        <w:rPr>
          <w:rFonts w:ascii="Times New Roman;serif" w:hAnsi="Times New Roman;serif"/>
          <w:b w:val="false"/>
          <w:i/>
          <w:color w:val="000000"/>
          <w:sz w:val="20"/>
        </w:rPr>
        <w:t>Consolidation</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Collaboration Arrangements and Partnership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lineRule="auto" w:line="288" w:before="120" w:after="283"/>
        <w:jc w:val="both"/>
        <w:rPr/>
      </w:pPr>
      <w:r>
        <w:rPr>
          <w:rFonts w:ascii="Times New Roman;serif" w:hAnsi="Times New Roman;serif"/>
          <w:b w:val="false"/>
          <w:color w:val="000000"/>
          <w:sz w:val="20"/>
        </w:rPr>
        <w:t xml:space="preserve">The Company assesses each collaborative arrangement to determine whether it is in scope for ASC Topic 808, </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lineRule="auto" w:line="288" w:before="120" w:after="283"/>
        <w:jc w:val="both"/>
        <w:rPr/>
      </w:pPr>
      <w:r>
        <w:rPr>
          <w:rFonts w:ascii="Times New Roman;serif" w:hAnsi="Times New Roman;serif"/>
          <w:b w:val="false"/>
          <w:color w:val="000000"/>
          <w:sz w:val="20"/>
        </w:rPr>
        <w:t xml:space="preserve">The Company assesses each collaborative arrangement to determine whether it is in scope for ASC Topic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(“ASC 606”). In making the determination, the Company considers if some or all aspects of the arrangement represent a transaction with a customer. All of the JDAs entered into by the Company to date have been concluded to be arrangements outside the scope of ASC 606. As a result, no revenue has been recognized by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recognized approximately $0.2 million and $0.2 million, respectively, and for the six months ended June 30, 2026 and 2025, the Company recognized $3.6 million and $0.2 million, respectively, in expense reimbursements from arrangements, which are recorded net within research and development expenses on the unaudited condensed consolidated statements of operations and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pPr>
      <w:r>
        <w:rPr>
          <w:rFonts w:ascii="Times New Roman;serif" w:hAnsi="Times New Roman;serif"/>
          <w:b w:val="false"/>
          <w:color w:val="000000"/>
          <w:sz w:val="20"/>
        </w:rPr>
        <w:t xml:space="preserve">In January 2026, the Company entered into a partnership agreement with a note holder as further described in Note 8- </w:t>
      </w:r>
      <w:r>
        <w:rPr>
          <w:rFonts w:ascii="Times New Roman;serif" w:hAnsi="Times New Roman;serif"/>
          <w:b w:val="false"/>
          <w:i/>
          <w:color w:val="000000"/>
          <w:sz w:val="20"/>
        </w:rPr>
        <w:t>Convertible Promissory Note</w:t>
      </w:r>
      <w:r>
        <w:rPr>
          <w:rFonts w:ascii="Times New Roman;serif" w:hAnsi="Times New Roman;serif"/>
          <w:b w:val="false"/>
          <w:color w:val="000000"/>
          <w:sz w:val="20"/>
        </w:rPr>
        <w:t>. The partnership agreement includes up to $0.9 million of consideration for the performance of research and development services to the note holder.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Deferred Transaction Costs</w:t>
      </w:r>
    </w:p>
    <w:p>
      <w:pPr>
        <w:pStyle w:val="TextBody"/>
        <w:bidi w:val="0"/>
        <w:spacing w:lineRule="auto" w:line="288" w:before="120" w:after="283"/>
        <w:jc w:val="both"/>
        <w:rPr/>
      </w:pPr>
      <w:r>
        <w:rPr>
          <w:rFonts w:ascii="Times New Roman;serif" w:hAnsi="Times New Roman;serif"/>
          <w:b w:val="false"/>
          <w:color w:val="000000"/>
          <w:sz w:val="20"/>
        </w:rPr>
        <w:t xml:space="preserve">The Company complies with the requirements of ASC 340, </w:t>
      </w:r>
      <w:r>
        <w:rPr>
          <w:rFonts w:ascii="Times New Roman;serif" w:hAnsi="Times New Roman;serif"/>
          <w:b w:val="false"/>
          <w:i/>
          <w:color w:val="000000"/>
          <w:sz w:val="20"/>
        </w:rPr>
        <w:t>Other Assets and Deferred Costs</w:t>
      </w:r>
      <w:r>
        <w:rPr>
          <w:rFonts w:ascii="Times New Roman;serif" w:hAnsi="Times New Roman;serif"/>
          <w:b w:val="false"/>
          <w:color w:val="000000"/>
          <w:sz w:val="20"/>
        </w:rPr>
        <w:t>, with regards to transaction costs. Prior to the completion of the transaction (potential business combination with Cartesian Growth Corporation III), direct transaction costs are capitalized as deferred transaction costs. If the transaction is completed, the deferred transaction costs are charged to additional paid-in capital and offset the proceeds received from the potential business combination. As of June 30, 2026, the Company has completed the Merger, and all deferred transaction costs have been recognized.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Convertible Promissory Notes, Fair Value</w:t>
      </w:r>
    </w:p>
    <w:p>
      <w:pPr>
        <w:pStyle w:val="TextBody"/>
        <w:bidi w:val="0"/>
        <w:spacing w:lineRule="auto" w:line="288" w:before="120" w:after="283"/>
        <w:jc w:val="both"/>
        <w:rPr/>
      </w:pPr>
      <w:r>
        <w:rPr>
          <w:rFonts w:ascii="Times New Roman;serif" w:hAnsi="Times New Roman;serif"/>
          <w:b w:val="false"/>
          <w:color w:val="000000"/>
          <w:sz w:val="20"/>
        </w:rPr>
        <w:t xml:space="preserve">In August 2025, the Company entered into Convertible Promissory Note Agreements with existing investors (“August 2025 Notes” or “Convertible Promissory Notes – Related parties”) where they can receive a total of $10.0 million. In January 2026, the Company entered into Note Purchase Agreements and a Convertible Promissory Note Agreement pursuant to which it could receive proceeds up to $5.3 million (the “January 2026 Notes” or “Convertible Promissory Notes”) from new investors. The Company determined that it is eligible for the fair value option election in connection with the Convertible Promissory Notes – Related Parties and the Convertible Promissory Notes. Both the Convertible Promissory Notes – Related Parties and the Convertible Promissory Notes meet the definition of a “recognized financial liability” which is an acceptable financial instrument eligible for the fair value option under ASC Topic 825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(“ASC 825”). At the date of issuance, the fair value of the Convertible Promissory Notes – Related Parties and Convertible Promissory Notes were derived using the scenario-based method (“SBM”) as further described in Note 4 – </w:t>
      </w:r>
      <w:r>
        <w:rPr>
          <w:rFonts w:ascii="Times New Roman;serif" w:hAnsi="Times New Roman;serif"/>
          <w:b w:val="false"/>
          <w:i/>
          <w:color w:val="000000"/>
          <w:sz w:val="20"/>
        </w:rPr>
        <w:t>Fair Value Measurements</w:t>
      </w:r>
      <w:r>
        <w:rPr>
          <w:rFonts w:ascii="Times New Roman;serif" w:hAnsi="Times New Roman;serif"/>
          <w:b w:val="false"/>
          <w:color w:val="000000"/>
          <w:sz w:val="20"/>
        </w:rPr>
        <w:t>. The fair value option election was made to enhance the relevance and transparency of information presented related to the features embedded in the Convertible Promissory Notes.</w:t>
      </w:r>
    </w:p>
    <w:p>
      <w:pPr>
        <w:pStyle w:val="TextBody"/>
        <w:bidi w:val="0"/>
        <w:spacing w:lineRule="auto" w:line="288" w:before="120" w:after="283"/>
        <w:jc w:val="both"/>
        <w:rPr/>
      </w:pPr>
      <w:r>
        <w:rPr>
          <w:rFonts w:ascii="Times New Roman;serif" w:hAnsi="Times New Roman;serif"/>
          <w:b w:val="false"/>
          <w:color w:val="000000"/>
          <w:sz w:val="20"/>
        </w:rPr>
        <w:t xml:space="preserve">Changes in the fair value of the Convertible Promissory Notes – Related Parties and the Convertible Promissory Notes are recorded as gains or losses in the Company’s consolidated statements of operations and comprehensive loss within other (expense) income, net, until the date of the Merger. At the Closing Date, all convertible promissory notes and accrued interest were exchanged as part of the de-SPAC Transaction, see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xml:space="preserve">, Note 4 – </w:t>
      </w:r>
      <w:r>
        <w:rPr>
          <w:rFonts w:ascii="Times New Roman;serif" w:hAnsi="Times New Roman;serif"/>
          <w:b w:val="false"/>
          <w:i/>
          <w:color w:val="000000"/>
          <w:sz w:val="20"/>
        </w:rPr>
        <w:t>Fair Value Measures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Note 7 - </w:t>
      </w:r>
      <w:r>
        <w:rPr>
          <w:rFonts w:ascii="Times New Roman;serif" w:hAnsi="Times New Roman;serif"/>
          <w:b w:val="false"/>
          <w:i/>
          <w:color w:val="000000"/>
          <w:sz w:val="20"/>
        </w:rPr>
        <w:t>Convertible Promissory Notes – Related Parties</w:t>
      </w:r>
      <w:r>
        <w:rPr>
          <w:rFonts w:ascii="Times New Roman;serif" w:hAnsi="Times New Roman;serif"/>
          <w:b w:val="false"/>
          <w:color w:val="000000"/>
          <w:sz w:val="20"/>
        </w:rPr>
        <w:t xml:space="preserve">, and Note 8 - </w:t>
      </w:r>
      <w:r>
        <w:rPr>
          <w:rFonts w:ascii="Times New Roman;serif" w:hAnsi="Times New Roman;serif"/>
          <w:b w:val="false"/>
          <w:i/>
          <w:color w:val="000000"/>
          <w:sz w:val="20"/>
        </w:rPr>
        <w:t>Convertible Promissory Notes</w:t>
      </w:r>
      <w:r>
        <w:rPr>
          <w:rFonts w:ascii="Times New Roman;serif" w:hAnsi="Times New Roman;serif"/>
          <w:b w:val="false"/>
          <w:color w:val="000000"/>
          <w:sz w:val="20"/>
        </w:rPr>
        <w:t xml:space="preserve">, for further details.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accounts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Series A common stock $0.00001 per share (the “Series A Common Stock”) and whether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end-date while the warrants are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issued or modified warrants that meet all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warrants classified as liabilities are recognized as a non-cash gain or loss on Company’s condensed consolidated statements of operations and comprehensive loss within other (expense) income, net.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Series B-1 and Series D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Series B-1 and Series D Warrants for the purchase of shares of redeemable convertible preferred stock are classified as liabilities on the condensed consolidated balance sheets at fair value upon issuance because the underlying shares of redeemable convertible preferred stock are redeemable outside of the control of Company. The initial liability recorded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13"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adjusted for changes in the fair value at each reporting date and recorded as other income/expense in the accompanying Company’s condensed consolidated statements of operations and comprehensive loss. The Company continued to adjust the convertible preferred stock warrant liability for changes in fair value until the exercise of the warrants, at which time the liability was reclassified to redeemable convertible preferred stock, and is reflected in the Company’s condensed consolidated statements of operations and comprehensive loss. The redeemable convertible preferred stock warrant liabilities increased or decreased each period based on the fluctuations of the fair value of the underlying security.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Series B-1 and Series D redeemable convertible preferred stock warrants are estimated using a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Public and Private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the Public Warrants and Private Warrants (as defined below) in accordance with U.S. GAAP, under which the 13,800,000 redeemable public warrants for Series A Common Stock (“Public Warrants) and 6,800,000 redeemable private placement warrants for Series A Common Stock (the “Private Warrants”) were issued by CGC in connection with its initial public offering. Upon completion of the Merger, such warrant agreements were amended and remained outstanding as warrants of the Company. The Company evaluated the amended terms of the Public Warrants and concluded that equity classification remains appropriate. The amended terms of the Private Warrants provide for potential changes to the settlement amounts dependent upon the characteristics of the warrant holder, and, because the holder of a Private Warrant is not an input into the pricing of a fixed-for-fixed option on equity shares, such provision precluded the Private Warrants from being classified in equity. Accordingly, the Company reclassified the Private Warrants from equity to a liability and measured the Private Warrants at fair value. At the end of each reporting period, the Company will adjust the fair value of the Private Warrants using a Black-Scholes option pricing model whereby the expected volatility was estimated based on the historical volatility of a group of comparable publicly traded companies over a period commensurate with the expected remaining term of the warrants, as the Company’s common stock and Public Warrants do not have sufficient trading history to estimate volatility on a stand-alone basis.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jc w:val="both"/>
        <w:rPr/>
      </w:pPr>
      <w:r>
        <w:rPr>
          <w:rFonts w:ascii="Times New Roman;serif" w:hAnsi="Times New Roman;serif"/>
          <w:b w:val="false"/>
          <w:color w:val="000000"/>
          <w:sz w:val="20"/>
        </w:rPr>
        <w:t xml:space="preserve">From time to time, new accounting pronouncements are issued by the FASB or other standard setting bodies and adopted by the Company as of the specified effective date. After the completion of the re-recapitalization described in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the Company is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the guidance effective January 1, 2026. The adoption did not have a material impact on its accounting policies, financial position, results of operations, or cash flows, as the Company has no trade receivables and contract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(Topic 815). The amendments in this ASU update the FASB Accounting Standards Codification for a broad range of Topics arising from technical corrections, unintended application of the Codification, clarifications, and other minor improvements. The amendments in this ASU are effective for all entities for annual periods beginning after December 15, 2026, with early adoption permitted. The Company early adopted ASU 2025-12 and the adoption did not have a material impact on its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1460"/>
                <wp:effectExtent l="0" t="0" r="0" b="0"/>
                <wp:wrapNone/>
                <wp:docPr id="14"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New Accounting Pronouncements — Not Yet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This standard clarifies current interim reporting requirements on Topic 270 and introduces a disclosure principle requiring entities to disclose events since the end of the last annual reporting period that have a material impact on the entity. This standard will be effective for fiscal years beginning after December 15, 2027, with the option to apply it retrospectively. Early adoption is allowed. Currently, the Company is assessing the potential impact of this guidance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 REVERSE RECAPITALIZATION</w:t>
      </w:r>
    </w:p>
    <w:p>
      <w:pPr>
        <w:pStyle w:val="TextBody"/>
        <w:bidi w:val="0"/>
        <w:spacing w:lineRule="auto" w:line="288" w:before="120" w:after="283"/>
        <w:jc w:val="both"/>
        <w:rPr/>
      </w:pPr>
      <w:r>
        <w:rPr>
          <w:rFonts w:ascii="Times New Roman;serif" w:hAnsi="Times New Roman;serif"/>
          <w:b w:val="false"/>
          <w:color w:val="000000"/>
          <w:sz w:val="20"/>
        </w:rPr>
        <w:t xml:space="preserve">Immediately prior to the de-SPAC Transaction described in Note 1 – </w:t>
      </w:r>
      <w:r>
        <w:rPr>
          <w:rFonts w:ascii="Times New Roman;serif" w:hAnsi="Times New Roman;serif"/>
          <w:b w:val="false"/>
          <w:i/>
          <w:color w:val="000000"/>
          <w:sz w:val="20"/>
        </w:rPr>
        <w:t>The Company</w:t>
      </w:r>
      <w:r>
        <w:rPr>
          <w:rFonts w:ascii="Times New Roman;serif" w:hAnsi="Times New Roman;serif"/>
          <w:b w:val="false"/>
          <w:color w:val="000000"/>
          <w:sz w:val="20"/>
        </w:rPr>
        <w:t xml:space="preserve">, CGC issued and sold to investors in the PIPE Financing 7,519,404 shares of its common stock for gross proceeds of $64.7 million. In connection with the de-SPAC Transaction, the Company received a total for $47.4 million in proceeds from the trust account previously held by CGC (the “Trust Account”). The Company incurred $1.3 million in transaction costs paid in cash prior to the Closing Date of the Merger, which are recorded to additional paid-in capital. On the Closing Date of the Merger, the Company incurred de-SPAC Transaction costs of $20.1 million, consisting of legal, accounting, and other professional fees, which were recorded to additional paid-in capital as a reduction of the deemed proceeds from the reverse recapitalization, the PIPE Financing, and the Trust Account. </w:t>
      </w:r>
    </w:p>
    <w:p>
      <w:pPr>
        <w:pStyle w:val="TextBody"/>
        <w:bidi w:val="0"/>
        <w:spacing w:lineRule="auto" w:line="288" w:before="120" w:after="283"/>
        <w:jc w:val="both"/>
        <w:rPr/>
      </w:pPr>
      <w:r>
        <w:rPr>
          <w:rFonts w:ascii="Times New Roman;serif" w:hAnsi="Times New Roman;serif"/>
          <w:b w:val="false"/>
          <w:color w:val="000000"/>
          <w:sz w:val="20"/>
        </w:rPr>
        <w:t xml:space="preserve">The Company accounted for the Merger, described in Note 1 - </w:t>
      </w:r>
      <w:r>
        <w:rPr>
          <w:rFonts w:ascii="Times New Roman;serif" w:hAnsi="Times New Roman;serif"/>
          <w:b w:val="false"/>
          <w:i/>
          <w:color w:val="000000"/>
          <w:sz w:val="20"/>
        </w:rPr>
        <w:t>The Company</w:t>
      </w:r>
      <w:r>
        <w:rPr>
          <w:rFonts w:ascii="Times New Roman;serif" w:hAnsi="Times New Roman;serif"/>
          <w:b w:val="false"/>
          <w:color w:val="000000"/>
          <w:sz w:val="20"/>
        </w:rPr>
        <w:t xml:space="preserve">, under ASC 805, Business Combinations, and related guidance and determined that Legacy Factorial is the accounting acquirer for financial reporting purposes. Accordingly, these unaudited condensed consolidated financial statements of the Company are presented as a continuation of the financial statements of Legacy Factorial, except for the legal capital structure, which was retroactively recast to reflect the equity structure of the Company. The de-SPAC Transaction is presented as the issuance of common stock by the Company for the net assets of CGC and proceeds from the PIPE Financing, accompanied by a recapitalization and a change in the reporting entity. The net assets of CGC were recorded at historical cost as of the Closing date, with no goodwill or other intangible assets recognized. All shares and per-share amounts for periods prior to the Merger have been retroactively recast, where applicable, to reflect the exchange ratio established in the BCA of approximately 3.6684 (“Consideration Ratio”).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effective time of the Merger (“Merger Effective Time”), the following occurred with respect to the equity of Legacy Factorial: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 the Merger Effective Time, each share of common stock of Legacy Factorial (“Legacy Factorial Common Stock”) that was issued and outstanding as of immediately prior to the Merger Effective Time (excluding treasury shares, dissenting shares and shares held by Dr. Siyu Huang, Factorial’s Co-Founder and Chief Executive Officer and Dr. Alex Yu, Factorial’s Co-Founder and Chief Technology Officer (together, the “Legacy Factorial Founders”) was automatically canceled and converted into the right to receive a corresponding number of shares of Series A Common Stock equal to the Consideration Ratio and each share of Legacy Factorial’s capital stock that was issued and outstanding as of immediately prior to the Merger Effective Time held by the Legacy Factorial Founders was automatically canceled and converted into the right to receive a corresponding number of shares of Factorial’s Series B common stock, par value $0.00001 per share (the “Series B Common Stock,” and together with the Series A Common Stock, the “Factorial Energy Common Stock”) equal to the Consideration Ratio;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number of shares of Legacy Factorial Common Stock set forth in the above gave effect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conversion of each outstanding convertible debt instrument including accrued interest (including the Convertible Promissory Notes - Related Parties and Convertible Promissory Notes (together the “Legacy Factorial Convertible Notes”)) into Legacy Factorial Common Stock pursuant to its terms, see Note 7 - </w:t>
      </w:r>
      <w:r>
        <w:rPr>
          <w:rFonts w:ascii="Times New Roman;serif" w:hAnsi="Times New Roman;serif"/>
          <w:b w:val="false"/>
          <w:i/>
          <w:color w:val="000000"/>
          <w:sz w:val="20"/>
        </w:rPr>
        <w:t>Convertible Promissory Notes - Related Parties</w:t>
      </w:r>
      <w:r>
        <w:rPr>
          <w:color w:val="000000"/>
        </w:rPr>
        <w:t xml:space="preserve"> </w:t>
      </w:r>
      <w:r>
        <w:rPr>
          <w:rFonts w:ascii="Times New Roman;serif" w:hAnsi="Times New Roman;serif"/>
          <w:b w:val="false"/>
          <w:color w:val="000000"/>
          <w:sz w:val="20"/>
        </w:rPr>
        <w:t xml:space="preserve">and Note 8 - </w:t>
      </w:r>
      <w:r>
        <w:rPr>
          <w:rFonts w:ascii="Times New Roman;serif" w:hAnsi="Times New Roman;serif"/>
          <w:b w:val="false"/>
          <w:i/>
          <w:color w:val="000000"/>
          <w:sz w:val="20"/>
        </w:rPr>
        <w:t>Convertible Promissory Notes</w:t>
      </w:r>
      <w:r>
        <w:rPr>
          <w:color w:val="000000"/>
        </w:rPr>
        <w:t xml:space="preserve"> </w:t>
      </w:r>
      <w:r>
        <w:rPr>
          <w:rFonts w:ascii="Times New Roman;serif" w:hAnsi="Times New Roman;serif"/>
          <w:b w:val="false"/>
          <w:color w:val="000000"/>
          <w:sz w:val="20"/>
        </w:rPr>
        <w:t>for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1460"/>
                <wp:effectExtent l="0" t="0" r="0" b="0"/>
                <wp:wrapNone/>
                <wp:docPr id="15"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conversion of each issued and outstanding share of Series A-1, Series A-2, Series B-1, Series C-1, Series C-2, and Series D redeemable convertible preferred stock (together the “Legacy Factorial Preferred Stock”) into a number of shares of Legacy Factorial Common Stock in accordance with the terms of Section 5.1 of the Factorial Certificate of Incorporation in effect immediately prior to the Merger Effective Time;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conversion of each issued and outstanding Series B-1 and Series D warrants (together the “Legacy Factorial Warrants”) into a number of shares of Legacy Factorial Common Stock in accordance with the terms of the corresponding warrant agreements, see Note 12 - </w:t>
      </w:r>
      <w:r>
        <w:rPr>
          <w:rFonts w:ascii="Times New Roman;serif" w:hAnsi="Times New Roman;serif"/>
          <w:b w:val="false"/>
          <w:i/>
          <w:color w:val="000000"/>
          <w:sz w:val="20"/>
        </w:rPr>
        <w:t>Warrants</w:t>
      </w:r>
      <w:r>
        <w:rPr>
          <w:color w:val="000000"/>
        </w:rPr>
        <w:t xml:space="preserve"> </w:t>
      </w:r>
      <w:r>
        <w:rPr>
          <w:rFonts w:ascii="Times New Roman;serif" w:hAnsi="Times New Roman;serif"/>
          <w:b w:val="false"/>
          <w:color w:val="000000"/>
          <w:sz w:val="20"/>
        </w:rPr>
        <w:t>for details;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share of Legacy Factorial Common Stock held immediately prior to the Merger Effective Time by Legacy Factorial as treasury stock was automatically cancelled and extinguished, and no consideration was paid with respect thereto;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share of capital stock of Merger Sub issued and outstanding immediately prior to the Merger Effective Time was automatically cancelled and extinguished and converted into one share of Factorial Energy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Each outstanding and unexercised vested and unvested option to purchase shares of Legacy Factorial Common Stock (each, a “Legacy Factorial Option”) to purchase shares of Legacy Factorial Common Stock became a Factorial Option containing the same terms, conditions, vesting and other provisions as were historically applicable to such Legacy Factorial Options and each resulting Factorial Option became exercisable for the number of shares of Series A Common Stock equal to the Consideration Ratio multiplied by the number of shares of Legacy Factorial Common Stock subject to the Legacy Factorial Option as of immediately prior to the Merger Effective Time, rounded down to the nearest whole share, at an exercise price equal to the per share exercise price of the Legacy Factorial Option divided by the Consideration Ratio, rounded up to the nearest whole cent;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Each restricted stock unit award with respect to Legacy Factorial Common Stock (each, a “Legacy Factorial RSU”) that was outstanding was cancelled in exchange for a restricted stock unit award with respect to Series A Common Stock (“Factorial RSU”) under the Factorial Energy Inc. 2026 Equity Incentive Plan (the “2026 Plan”) containing the same terms, conditions, vesting and other provisions as were historically applicable to such Legacy Factorial RSU, and each resulting Factorial RSU will settle into a number of shares of Series A Common Stock equal to a number of shares of Series A Common Stock as set forth on an allocation schedule, rounded down to the nearest whole share.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following shares were issued at the Merger Effective Time, exclusive of Legacy Factorial Common Stock and Legacy Factorial Preferred Stock that were converted into Series A Common Stock and Series B Common Stock were reflected retroactively for all periods presented:</w:t>
      </w:r>
    </w:p>
    <w:tbl>
      <w:tblPr>
        <w:tblW w:w="10205" w:type="dxa"/>
        <w:jc w:val="left"/>
        <w:tblInd w:w="0" w:type="dxa"/>
        <w:tblLayout w:type="fixed"/>
        <w:tblCellMar>
          <w:top w:w="28" w:type="dxa"/>
          <w:left w:w="28" w:type="dxa"/>
          <w:bottom w:w="28" w:type="dxa"/>
          <w:right w:w="28" w:type="dxa"/>
        </w:tblCellMar>
      </w:tblPr>
      <w:tblGrid>
        <w:gridCol w:w="2394"/>
        <w:gridCol w:w="1990"/>
        <w:gridCol w:w="1995"/>
        <w:gridCol w:w="109"/>
        <w:gridCol w:w="109"/>
        <w:gridCol w:w="109"/>
        <w:gridCol w:w="211"/>
        <w:gridCol w:w="826"/>
        <w:gridCol w:w="109"/>
        <w:gridCol w:w="109"/>
        <w:gridCol w:w="109"/>
        <w:gridCol w:w="109"/>
        <w:gridCol w:w="109"/>
        <w:gridCol w:w="109"/>
        <w:gridCol w:w="109"/>
        <w:gridCol w:w="542"/>
        <w:gridCol w:w="476"/>
        <w:gridCol w:w="681"/>
      </w:tblGrid>
      <w:tr>
        <w:trPr/>
        <w:tc>
          <w:tcPr>
            <w:tcW w:w="2394"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6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Common Stock</w:t>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Factorial Convertible Notes and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2,811,447</w:t>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and Series 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362,625</w:t>
            </w:r>
          </w:p>
        </w:tc>
      </w:tr>
      <w:tr>
        <w:trPr/>
        <w:tc>
          <w:tcPr>
            <w:tcW w:w="6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Common Stock in connection with the reverse recapitalization and PIPE Financing,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17,940,207</w:t>
            </w:r>
          </w:p>
        </w:tc>
      </w:tr>
      <w:tr>
        <w:trPr/>
        <w:tc>
          <w:tcPr>
            <w:tcW w:w="6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21,114,279</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Immediately after the Merger, the Company’s outstanding common stock included the following components: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1460"/>
                <wp:effectExtent l="0" t="0" r="0" b="0"/>
                <wp:wrapNone/>
                <wp:docPr id="16"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9843"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699"/>
        <w:gridCol w:w="699"/>
        <w:gridCol w:w="701"/>
        <w:gridCol w:w="109"/>
        <w:gridCol w:w="109"/>
        <w:gridCol w:w="109"/>
        <w:gridCol w:w="109"/>
        <w:gridCol w:w="109"/>
        <w:gridCol w:w="109"/>
        <w:gridCol w:w="709"/>
        <w:gridCol w:w="709"/>
        <w:gridCol w:w="711"/>
        <w:gridCol w:w="635"/>
        <w:gridCol w:w="635"/>
        <w:gridCol w:w="90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Combined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Common Stock</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B Common Stock</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CGC's Public Shareholders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4,548,687</w:t>
            </w:r>
          </w:p>
        </w:tc>
        <w:tc>
          <w:tcPr>
            <w:tcW w:w="2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Sponsor and Director Co</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5,810,000</w:t>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PIPE Institutional Investor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6,340,000</w:t>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PIPE Sponsor Investor</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1,179,404</w:t>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Factorial Shareholders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73,570,292</w:t>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15,512,742</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Cantor Advisory Fee</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62,118</w:t>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107,023,243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91,510,501</w:t>
            </w:r>
          </w:p>
        </w:tc>
        <w:tc>
          <w:tcPr>
            <w:tcW w:w="217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15,512,742</w:t>
            </w:r>
          </w:p>
        </w:tc>
      </w:tr>
    </w:tbl>
    <w:p>
      <w:pPr>
        <w:pStyle w:val="TextBody"/>
        <w:bidi w:val="0"/>
        <w:spacing w:before="120" w:after="283"/>
        <w:jc w:val="both"/>
        <w:rPr/>
      </w:pPr>
      <w:r>
        <w:rPr/>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redemption of 23,051,313 CGC Class A Shares out of the 27,600,000 CGC Class A Shares available for redemption by CGC Public Shareholders prior to the Closing. Note that the 4,548,687 shares presented herein include an aggregate of 3,470,764 CGC Class A Shares (the “NRA Shares”) that a certain institutional investor (the “Institutional Investor”) and an affiliate of CGC III Sponsor LLC, a Cayman Islands limited liability company (the “Sponsor” and such affiliate, the “Sponsor Investor”) purchased prior to the Closing to partially satisfy their PIPE Financing obligations.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(2)Amount includes 5,710,000 Class B ordinary shares of CGC, par value $0.0001 per share (the “Founder Shares”) held by the Sponsor and 100,000 Founder Shares held by CGC III Sponsor DirectorCo LLC, a Cayman limited liability company managed by the Sponsor(in which, each of CGC’s independent directors hold an interest in 30,000 Founder Shares).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(3)Amount includes (i) the Institutional Investor’s subscription for 5,500,000 shares of Series A Common Stock at a subscription price of $10.00 per share; plus (ii) the constructive transfer at the Closing of an aggregate of 750,000 shares of Series A Common Stock from the Sponsor to the Institutional Investor; and plus (iii) an aggregate of 90,000 shares of Series A Common Stock constructively transferred to the Institutional Investor by the Sponsor as part of a certain letter agreement. The effective subscription price of the Institutional Investor is $8.68 per share, taking into account the foregoing transfers from the Sponsor.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(4)Amount includes (i) the Sponsor Investor’s subscription for 929,404 shares of Series A Common Stock at a subscription price equal to the redemption price of $10.42 per share; plus (ii) the constructive transfer at the Closing of an aggregate of 250,000 shares of Series A Common Stock from the Sponsor to the Sponsor Investor. The effective subscription price of the Sponsor Investor is $8.21 per share, taking into account the foregoing transfer from the Sponsor.</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(5)Includes (i) an aggregate of 3,081,263 shares of Series A Common Stock issued to holder of Legacy Factorial Common Stock from conversion of Legacy Factorial Common Stock based upon the Consideration Ratio; (ii) an aggregate of 15,512,742 shares of Series B Common Stock issued to the Factorial Founders from the exchange of shares of Legacy Factorial Common Stock based upon the Consideration Ratio; (iii) an aggregate of 67,314,957 shares of Series A Common Stock issued to holders of Legacy Factorial Preferred Stock from the exchange of shares of Legacy Factorial Preferred Stock; (iv) an aggregate of 2,811,447 shares of Series A Common Stock issued to holders of the Legacy Factorial Convertible Notes from conversion of the Legacy Factorial Convertible Notes along with accrued interest into shares of Legacy Factorial Common Stock immediately before the Merger and the subsequent exchange into shares of Series A Common Stock; and (v) an aggregate of 362,625 shares of Series A Common Stock issued to holders of the Legacy Factorial Warrants from their cashless exercise of the warrants for shares of Legacy Factorial Preferred Stock and converted into shares of Legacy Factorial Common Stock immediately before the Merger and subsequent exchange for Series A Common Stock.</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(6)Amount includes 62,118 shares of Series A Common Stock issued to Cantor pursuant to the financial advisor engagement letter as outlined in the Company’s the S-4 filed on June 11, 2026.</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1460"/>
                <wp:effectExtent l="0" t="0" r="0" b="0"/>
                <wp:wrapNone/>
                <wp:docPr id="17"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4 — FAIR VALUE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are subject to fair value measurements on a recurring basis. The following table presents information about the Company’s financial assets and liabilities measured at fair value and the level of input utilized to determine such fair values (in thousands):</w:t>
      </w:r>
    </w:p>
    <w:tbl>
      <w:tblPr>
        <w:tblW w:w="10205" w:type="dxa"/>
        <w:jc w:val="left"/>
        <w:tblInd w:w="0" w:type="dxa"/>
        <w:tblLayout w:type="fixed"/>
        <w:tblCellMar>
          <w:top w:w="28" w:type="dxa"/>
          <w:left w:w="28" w:type="dxa"/>
          <w:bottom w:w="28" w:type="dxa"/>
          <w:right w:w="28" w:type="dxa"/>
        </w:tblCellMar>
      </w:tblPr>
      <w:tblGrid>
        <w:gridCol w:w="1908"/>
        <w:gridCol w:w="1680"/>
        <w:gridCol w:w="1695"/>
        <w:gridCol w:w="211"/>
        <w:gridCol w:w="736"/>
        <w:gridCol w:w="109"/>
        <w:gridCol w:w="109"/>
        <w:gridCol w:w="109"/>
        <w:gridCol w:w="109"/>
        <w:gridCol w:w="211"/>
        <w:gridCol w:w="736"/>
        <w:gridCol w:w="109"/>
        <w:gridCol w:w="109"/>
        <w:gridCol w:w="109"/>
        <w:gridCol w:w="109"/>
        <w:gridCol w:w="211"/>
        <w:gridCol w:w="406"/>
        <w:gridCol w:w="109"/>
        <w:gridCol w:w="109"/>
        <w:gridCol w:w="109"/>
        <w:gridCol w:w="109"/>
        <w:gridCol w:w="211"/>
        <w:gridCol w:w="736"/>
        <w:gridCol w:w="156"/>
      </w:tblGrid>
      <w:tr>
        <w:trPr/>
        <w:tc>
          <w:tcPr>
            <w:tcW w:w="1908"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Fair value measurements as of June 30, 2026</w:t>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(included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(included in 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96,378</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96,378</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for Series A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private issuance liability (included in accrued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45,725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1,109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44,616</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64" w:type="dxa"/>
        <w:jc w:val="left"/>
        <w:tblInd w:w="0" w:type="dxa"/>
        <w:tblLayout w:type="fixed"/>
        <w:tblCellMar>
          <w:top w:w="28" w:type="dxa"/>
          <w:left w:w="28" w:type="dxa"/>
          <w:bottom w:w="28" w:type="dxa"/>
          <w:right w:w="28" w:type="dxa"/>
        </w:tblCellMar>
      </w:tblPr>
      <w:tblGrid>
        <w:gridCol w:w="1641"/>
        <w:gridCol w:w="1445"/>
        <w:gridCol w:w="1458"/>
        <w:gridCol w:w="211"/>
        <w:gridCol w:w="736"/>
        <w:gridCol w:w="109"/>
        <w:gridCol w:w="109"/>
        <w:gridCol w:w="109"/>
        <w:gridCol w:w="109"/>
        <w:gridCol w:w="211"/>
        <w:gridCol w:w="736"/>
        <w:gridCol w:w="109"/>
        <w:gridCol w:w="109"/>
        <w:gridCol w:w="109"/>
        <w:gridCol w:w="109"/>
        <w:gridCol w:w="211"/>
        <w:gridCol w:w="406"/>
        <w:gridCol w:w="109"/>
        <w:gridCol w:w="109"/>
        <w:gridCol w:w="109"/>
        <w:gridCol w:w="109"/>
        <w:gridCol w:w="211"/>
        <w:gridCol w:w="736"/>
        <w:gridCol w:w="154"/>
      </w:tblGrid>
      <w:tr>
        <w:trPr/>
        <w:tc>
          <w:tcPr>
            <w:tcW w:w="1641"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Fair value measurements as of December 31, 2025</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(included in 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(included in 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15,033</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15,033</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Series B-1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Series 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 – related parties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22,267</w:t>
            </w: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22,267</w:t>
            </w:r>
            <w:r>
              <w:rPr>
                <w:color w:val="000000"/>
              </w:rPr>
              <w:t>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Level 3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estimated fair value of the Company’s warrants for Series A Common Stock, redeemable convertible preferred stock warrants, and convertible promissory note, which represents financial instruments with valuations classified as Level 3. When a determination is made to classify a financial instrument within Level 3, the determination is based upon the significance of the unobservable inputs to the overall fair value measurement. However, Level 3 financial instruments typically include, in addition to the unobservable inputs, observable inputs (that is, components that are actively quoted and can be validated to external sources). Accordingly, the gain or loss in the table below includes changes in fair value due in part to observable factors that are part of the Level 3 methodology recognized in the condensed consolidated statements of operations and comprehensive loss as a component of other income (expense), net as appropriate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1460"/>
                <wp:effectExtent l="0" t="0" r="0" b="0"/>
                <wp:wrapNone/>
                <wp:docPr id="18"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394"/>
        <w:gridCol w:w="1211"/>
        <w:gridCol w:w="1084"/>
        <w:gridCol w:w="219"/>
        <w:gridCol w:w="485"/>
        <w:gridCol w:w="113"/>
        <w:gridCol w:w="109"/>
        <w:gridCol w:w="109"/>
        <w:gridCol w:w="109"/>
        <w:gridCol w:w="211"/>
        <w:gridCol w:w="616"/>
        <w:gridCol w:w="109"/>
        <w:gridCol w:w="109"/>
        <w:gridCol w:w="109"/>
        <w:gridCol w:w="109"/>
        <w:gridCol w:w="271"/>
        <w:gridCol w:w="926"/>
        <w:gridCol w:w="139"/>
        <w:gridCol w:w="109"/>
        <w:gridCol w:w="109"/>
        <w:gridCol w:w="109"/>
        <w:gridCol w:w="257"/>
        <w:gridCol w:w="882"/>
        <w:gridCol w:w="132"/>
        <w:gridCol w:w="114"/>
        <w:gridCol w:w="114"/>
        <w:gridCol w:w="114"/>
        <w:gridCol w:w="231"/>
        <w:gridCol w:w="428"/>
        <w:gridCol w:w="174"/>
      </w:tblGrid>
      <w:tr>
        <w:trPr/>
        <w:tc>
          <w:tcPr>
            <w:tcW w:w="1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Warrant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Convertible Promissory Notes</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8"/>
              </w:rPr>
              <w:br/>
            </w:r>
            <w:r>
              <w:rPr>
                <w:rFonts w:ascii="Times New Roman;serif" w:hAnsi="Times New Roman;serif"/>
                <w:b/>
                <w:color w:val="000000"/>
                <w:sz w:val="18"/>
              </w:rPr>
              <w:t>Series 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pPr>
            <w:r>
              <w:rPr>
                <w:rFonts w:ascii="Times New Roman;serif" w:hAnsi="Times New Roman;serif"/>
                <w:b/>
                <w:sz w:val="18"/>
              </w:rPr>
              <w:br/>
            </w:r>
            <w:r>
              <w:rPr>
                <w:rFonts w:ascii="Times New Roman;serif" w:hAnsi="Times New Roman;serif"/>
                <w:b/>
                <w:color w:val="000000"/>
                <w:sz w:val="18"/>
              </w:rPr>
              <w:t>Series 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Warrants for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Related Party Notes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Notes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Warrant liability for Series A Common Stock from equity to liability</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convertible promissory notes</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 xml:space="preserve">Change in fair value </w:t>
            </w:r>
            <w:r>
              <w:rPr>
                <w:rFonts w:ascii="Times New Roman;serif" w:hAnsi="Times New Roman;serif"/>
                <w:b w:val="false"/>
                <w:color w:val="000000"/>
                <w:sz w:val="13"/>
              </w:rPr>
              <w:t>1</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to shares of Series A Common Stock</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Upon the closing of the Merger, the conversion price and number of shares issuable for the Series B-1 Warrants, Series D Warrants, Convertible Promissory Notes – Related Parties, and Convertible Promissory Notes were determined based on the price per share paid in the Merger, an observable input, rather than the unobservable inputs used in the PWERM for the warrants and the SBM for the convertible promissory notes as of December 31, 2025. Accordingly, no further Level 3 fair value estimate was required at the conversion date; the final fair value was determined directly from the Merger's per-share price applied to the conversion formula set forth in in Note 7 – </w:t>
      </w:r>
      <w:r>
        <w:rPr>
          <w:rFonts w:ascii="Times New Roman;serif" w:hAnsi="Times New Roman;serif"/>
          <w:b w:val="false"/>
          <w:i/>
          <w:color w:val="000000"/>
          <w:sz w:val="20"/>
        </w:rPr>
        <w:t>Convertible Promissory Notes – Related Parties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Upon the completion of the Company’s Merger in June 2026, warrants exercised for redeemable convertible preferred stock and convertible promissory notes were automatically exchanged for shares of Series A Common Stock based on the Consideration Ratio. See Note 7 – </w:t>
      </w:r>
      <w:r>
        <w:rPr>
          <w:rFonts w:ascii="Times New Roman;serif" w:hAnsi="Times New Roman;serif"/>
          <w:b w:val="false"/>
          <w:i/>
          <w:color w:val="000000"/>
          <w:sz w:val="20"/>
        </w:rPr>
        <w:t>Convertible Promissory Notes – Related Parties</w:t>
      </w:r>
      <w:r>
        <w:rPr>
          <w:rFonts w:ascii="Times New Roman;serif" w:hAnsi="Times New Roman;serif"/>
          <w:b w:val="false"/>
          <w:color w:val="000000"/>
          <w:sz w:val="20"/>
        </w:rPr>
        <w:t xml:space="preserve">, Note 8 - </w:t>
      </w:r>
      <w:r>
        <w:rPr>
          <w:rFonts w:ascii="Times New Roman;serif" w:hAnsi="Times New Roman;serif"/>
          <w:b w:val="false"/>
          <w:i/>
          <w:color w:val="000000"/>
          <w:sz w:val="20"/>
        </w:rPr>
        <w:t>Convertible Promissory Notes</w:t>
      </w:r>
      <w:r>
        <w:rPr>
          <w:rFonts w:ascii="Times New Roman;serif" w:hAnsi="Times New Roman;serif"/>
          <w:b w:val="false"/>
          <w:color w:val="000000"/>
          <w:sz w:val="20"/>
        </w:rPr>
        <w:t xml:space="preserve">, and Note 12 – </w:t>
      </w:r>
      <w:r>
        <w:rPr>
          <w:rFonts w:ascii="Times New Roman;serif" w:hAnsi="Times New Roman;serif"/>
          <w:b w:val="false"/>
          <w:i/>
          <w:color w:val="000000"/>
          <w:sz w:val="20"/>
        </w:rPr>
        <w:t>Warrants</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Series B-1 and Series D Warrant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estimate the fair value of the Series B-1 and D Warrant Agreements, the Company applied the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“OPM scenario”). The Company applied a 75% weighting to the SPAC Exit Scenario and 25% to the OPM scenario as of December 31, 2025. As of the Merger date there were no further assumptions and the fair market value was equal to the conversion value per the terms of the agreement based on the SPAC redemption value, adjusted by the Consideration Ratio to a value of $10.42 per converted share of Series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assumptions used in valuing the Series B-1 and D Warrant Agreements in the SPAC Exit scenario, as of December 31, 2025:</w:t>
      </w:r>
    </w:p>
    <w:tbl>
      <w:tblPr>
        <w:tblW w:w="5028" w:type="dxa"/>
        <w:jc w:val="left"/>
        <w:tblInd w:w="0" w:type="dxa"/>
        <w:tblLayout w:type="fixed"/>
        <w:tblCellMar>
          <w:top w:w="28" w:type="dxa"/>
          <w:left w:w="28" w:type="dxa"/>
          <w:bottom w:w="28" w:type="dxa"/>
          <w:right w:w="28" w:type="dxa"/>
        </w:tblCellMar>
      </w:tblPr>
      <w:tblGrid>
        <w:gridCol w:w="966"/>
        <w:gridCol w:w="848"/>
        <w:gridCol w:w="855"/>
        <w:gridCol w:w="471"/>
        <w:gridCol w:w="283"/>
        <w:gridCol w:w="288"/>
        <w:gridCol w:w="109"/>
        <w:gridCol w:w="109"/>
        <w:gridCol w:w="109"/>
        <w:gridCol w:w="374"/>
        <w:gridCol w:w="255"/>
        <w:gridCol w:w="361"/>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Series B-1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Series D</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04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Future projected price per share</w:t>
            </w:r>
          </w:p>
        </w:tc>
        <w:tc>
          <w:tcPr>
            <w:tcW w:w="47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37.76</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Strike price</w:t>
            </w:r>
          </w:p>
        </w:tc>
        <w:tc>
          <w:tcPr>
            <w:tcW w:w="4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27.21</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BCA. The discount rate reflects current market assessments of the time of value of money and the risks specific to the Company given its stage of development.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expected life is based upon the fact that the Warrant Agreements would not persist through a liquidity event, and therefore the expected life is based upon management’s estimated holding period to an exit/liquidity event.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1460"/>
                <wp:effectExtent l="0" t="0" r="0" b="0"/>
                <wp:wrapNone/>
                <wp:docPr id="19"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assumptions used in valuing the Series B-1 and D Warrant Agreements in the OPM scenario, as of December 31, 2025:</w:t>
      </w:r>
    </w:p>
    <w:tbl>
      <w:tblPr>
        <w:tblW w:w="4908" w:type="dxa"/>
        <w:jc w:val="left"/>
        <w:tblInd w:w="0" w:type="dxa"/>
        <w:tblLayout w:type="fixed"/>
        <w:tblCellMar>
          <w:top w:w="28" w:type="dxa"/>
          <w:left w:w="28" w:type="dxa"/>
          <w:bottom w:w="28" w:type="dxa"/>
          <w:right w:w="28" w:type="dxa"/>
        </w:tblCellMar>
      </w:tblPr>
      <w:tblGrid>
        <w:gridCol w:w="925"/>
        <w:gridCol w:w="807"/>
        <w:gridCol w:w="817"/>
        <w:gridCol w:w="471"/>
        <w:gridCol w:w="283"/>
        <w:gridCol w:w="288"/>
        <w:gridCol w:w="109"/>
        <w:gridCol w:w="109"/>
        <w:gridCol w:w="109"/>
        <w:gridCol w:w="374"/>
        <w:gridCol w:w="255"/>
        <w:gridCol w:w="361"/>
      </w:tblGrid>
      <w:tr>
        <w:trPr/>
        <w:tc>
          <w:tcPr>
            <w:tcW w:w="92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Series B-1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Series D</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value</w:t>
            </w:r>
          </w:p>
        </w:tc>
        <w:tc>
          <w:tcPr>
            <w:tcW w:w="4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33.71</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volatility</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risk-free interest rate</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Liability for Series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Private Warrants are valued using a Black-Scholes model, which resulted in a Level 3 fair value measurement. The primary unobservable input utilized in determining the fair value of the Private Warrants is the expected volatility of the Company’s common stock. The expected volatility was estimated based on the historical volatility of a group of comparable publicly traded companies over a period commensurate with the expected remaining term of the warrants, as the Company’s common stock does not have sufficient trading history to estimate volatility on a stand-alone basis.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of outstanding Private Warrants of approximately $44.6 million is recorded as warrant liability. The following table presents the changes in the fair value of warrant liability:</w:t>
      </w:r>
    </w:p>
    <w:tbl>
      <w:tblPr>
        <w:tblW w:w="8535" w:type="dxa"/>
        <w:jc w:val="left"/>
        <w:tblInd w:w="0" w:type="dxa"/>
        <w:tblLayout w:type="fixed"/>
        <w:tblCellMar>
          <w:top w:w="28" w:type="dxa"/>
          <w:left w:w="28" w:type="dxa"/>
          <w:bottom w:w="28" w:type="dxa"/>
          <w:right w:w="28" w:type="dxa"/>
        </w:tblCellMar>
      </w:tblPr>
      <w:tblGrid>
        <w:gridCol w:w="2613"/>
        <w:gridCol w:w="2297"/>
        <w:gridCol w:w="2305"/>
        <w:gridCol w:w="256"/>
        <w:gridCol w:w="877"/>
        <w:gridCol w:w="187"/>
      </w:tblGrid>
      <w:tr>
        <w:trPr/>
        <w:tc>
          <w:tcPr>
            <w:tcW w:w="261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for Private Placement as of December 31, 2025</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Warrant liability for Series A Common Stock from equity to liability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for Private Placement as of June 30, 2026</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44,616 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issuance date, the fair value of the Private Warrants was estimated using the following assumptions:</w:t>
      </w:r>
    </w:p>
    <w:tbl>
      <w:tblPr>
        <w:tblW w:w="3600" w:type="dxa"/>
        <w:jc w:val="left"/>
        <w:tblInd w:w="0" w:type="dxa"/>
        <w:tblLayout w:type="fixed"/>
        <w:tblCellMar>
          <w:top w:w="28" w:type="dxa"/>
          <w:left w:w="28" w:type="dxa"/>
          <w:bottom w:w="28" w:type="dxa"/>
          <w:right w:w="28" w:type="dxa"/>
        </w:tblCellMar>
      </w:tblPr>
      <w:tblGrid>
        <w:gridCol w:w="865"/>
        <w:gridCol w:w="759"/>
        <w:gridCol w:w="761"/>
        <w:gridCol w:w="224"/>
        <w:gridCol w:w="655"/>
        <w:gridCol w:w="336"/>
      </w:tblGrid>
      <w:tr>
        <w:trPr/>
        <w:tc>
          <w:tcPr>
            <w:tcW w:w="86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5,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contractual term</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1460"/>
                <wp:effectExtent l="0" t="0" r="0" b="0"/>
                <wp:wrapNone/>
                <wp:docPr id="20"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 fair value of the Private Warrants was estimated using the following assumptions:</w:t>
      </w:r>
    </w:p>
    <w:tbl>
      <w:tblPr>
        <w:tblW w:w="3704" w:type="dxa"/>
        <w:jc w:val="left"/>
        <w:tblInd w:w="0" w:type="dxa"/>
        <w:tblLayout w:type="fixed"/>
        <w:tblCellMar>
          <w:top w:w="28" w:type="dxa"/>
          <w:left w:w="28" w:type="dxa"/>
          <w:bottom w:w="28" w:type="dxa"/>
          <w:right w:w="28" w:type="dxa"/>
        </w:tblCellMar>
      </w:tblPr>
      <w:tblGrid>
        <w:gridCol w:w="865"/>
        <w:gridCol w:w="759"/>
        <w:gridCol w:w="761"/>
        <w:gridCol w:w="243"/>
        <w:gridCol w:w="711"/>
        <w:gridCol w:w="365"/>
      </w:tblGrid>
      <w:tr>
        <w:trPr/>
        <w:tc>
          <w:tcPr>
            <w:tcW w:w="86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price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contractual term</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Convertible Promissory Notes – Related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estimate the fair value of the August 2025 Notes, the Company applied the SBM.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 As of the Merger date, there were no further assumptions and the fair market value was equal to the conversion value per the terms of the agreement and SPAC redemption value, adjusted by the Consideration Ratio to a value of $10.42.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assumptions used in determining the fair value of the August 2025 Notes under the SBM as of December 31, 2025, were as follows:</w:t>
      </w:r>
    </w:p>
    <w:tbl>
      <w:tblPr>
        <w:tblW w:w="4319" w:type="dxa"/>
        <w:jc w:val="left"/>
        <w:tblInd w:w="0" w:type="dxa"/>
        <w:tblLayout w:type="fixed"/>
        <w:tblCellMar>
          <w:top w:w="28" w:type="dxa"/>
          <w:left w:w="28" w:type="dxa"/>
          <w:bottom w:w="28" w:type="dxa"/>
          <w:right w:w="28" w:type="dxa"/>
        </w:tblCellMar>
      </w:tblPr>
      <w:tblGrid>
        <w:gridCol w:w="924"/>
        <w:gridCol w:w="811"/>
        <w:gridCol w:w="815"/>
        <w:gridCol w:w="586"/>
        <w:gridCol w:w="302"/>
        <w:gridCol w:w="88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Series D </w:t>
              <w:br/>
              <w:t>December 31, 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SPAC Exit Scenario</w:t>
            </w:r>
          </w:p>
        </w:tc>
        <w:tc>
          <w:tcPr>
            <w:tcW w:w="88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8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Financing Scenario</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8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Dissolution Scenario</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8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volatility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8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risk-free interest rate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8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discount rate</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8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 value</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estimate the share value of the Series D redeemable convertible preferred stock at December 31, 2025, we used a PWERM. The two scenarios used in the estimation of the Series D redeemable convertible preferred stock are a SPAC Exit scenario and Option Pricing Method scenario.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Convertible Promissory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estimate the fair value of the January 2026 Notes, the Company applied the SBM. The fair value of the January 2026 Notes includes an estimate of the value of accrued interest. The significant unobservable inputs used in the fair value measurement of the January 2026 Notes are the expected life, assumed discount rate, and the probability of scenarios. As of the Merger date there were no further assumptions and the fair market value was equal to the conversion value per the terms of the agreement and weighted average PIPE investment price, adjusted by the Consideration Ratio to a value of $10.06.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assumptions used in determining the fair value of the January 2026 Notes under the SBM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1460"/>
                <wp:effectExtent l="0" t="0" r="0" b="0"/>
                <wp:wrapNone/>
                <wp:docPr id="21"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4139" w:type="dxa"/>
        <w:jc w:val="left"/>
        <w:tblInd w:w="0" w:type="dxa"/>
        <w:tblLayout w:type="fixed"/>
        <w:tblCellMar>
          <w:top w:w="28" w:type="dxa"/>
          <w:left w:w="28" w:type="dxa"/>
          <w:bottom w:w="28" w:type="dxa"/>
          <w:right w:w="28" w:type="dxa"/>
        </w:tblCellMar>
      </w:tblPr>
      <w:tblGrid>
        <w:gridCol w:w="907"/>
        <w:gridCol w:w="797"/>
        <w:gridCol w:w="800"/>
        <w:gridCol w:w="332"/>
        <w:gridCol w:w="332"/>
        <w:gridCol w:w="971"/>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26, 2026</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SPAC Exit Scenario</w:t>
            </w:r>
          </w:p>
        </w:tc>
        <w:tc>
          <w:tcPr>
            <w:tcW w:w="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Financing Scenario</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Dissolution Scenario</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w:t>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Assumed discount rate</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PROPERTY AND EQUIPMENT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 (in thousands):</w:t>
      </w:r>
    </w:p>
    <w:tbl>
      <w:tblPr>
        <w:tblW w:w="7690" w:type="dxa"/>
        <w:jc w:val="left"/>
        <w:tblInd w:w="0" w:type="dxa"/>
        <w:tblLayout w:type="fixed"/>
        <w:tblCellMar>
          <w:top w:w="28" w:type="dxa"/>
          <w:left w:w="28" w:type="dxa"/>
          <w:bottom w:w="28" w:type="dxa"/>
          <w:right w:w="28" w:type="dxa"/>
        </w:tblCellMar>
      </w:tblPr>
      <w:tblGrid>
        <w:gridCol w:w="1564"/>
        <w:gridCol w:w="1375"/>
        <w:gridCol w:w="1381"/>
        <w:gridCol w:w="254"/>
        <w:gridCol w:w="889"/>
        <w:gridCol w:w="131"/>
        <w:gridCol w:w="109"/>
        <w:gridCol w:w="109"/>
        <w:gridCol w:w="109"/>
        <w:gridCol w:w="339"/>
        <w:gridCol w:w="1183"/>
        <w:gridCol w:w="247"/>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 xml:space="preserve">As of </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June 30,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December 31, 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10,151 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10,680 </w:t>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software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Fixtures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on purchases of property and equipment*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34,077 </w:t>
            </w:r>
          </w:p>
        </w:tc>
        <w:tc>
          <w:tcPr>
            <w:tcW w:w="24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19,218</w:t>
            </w:r>
            <w:r>
              <w:rPr>
                <w:color w:val="000000"/>
              </w:rPr>
              <w:t> </w:t>
            </w:r>
          </w:p>
        </w:tc>
        <w:tc>
          <w:tcPr>
            <w:tcW w:w="13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21,276</w:t>
            </w:r>
            <w:r>
              <w:rPr>
                <w:color w:val="000000"/>
              </w:rPr>
              <w:t> </w:t>
            </w:r>
          </w:p>
        </w:tc>
        <w:tc>
          <w:tcPr>
            <w:tcW w:w="24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*Advances on purchases of property and equipment are payments made before the related asset (such as machinery and equipment) are delivered and are not depreciated until the asset is placed in service.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is as follows:</w:t>
      </w:r>
    </w:p>
    <w:tbl>
      <w:tblPr>
        <w:tblW w:w="5632" w:type="dxa"/>
        <w:jc w:val="left"/>
        <w:tblInd w:w="0" w:type="dxa"/>
        <w:tblLayout w:type="fixed"/>
        <w:tblCellMar>
          <w:top w:w="28" w:type="dxa"/>
          <w:left w:w="28" w:type="dxa"/>
          <w:bottom w:w="28" w:type="dxa"/>
          <w:right w:w="28" w:type="dxa"/>
        </w:tblCellMar>
      </w:tblPr>
      <w:tblGrid>
        <w:gridCol w:w="212"/>
        <w:gridCol w:w="186"/>
        <w:gridCol w:w="188"/>
        <w:gridCol w:w="248"/>
        <w:gridCol w:w="565"/>
        <w:gridCol w:w="128"/>
        <w:gridCol w:w="128"/>
        <w:gridCol w:w="128"/>
        <w:gridCol w:w="128"/>
        <w:gridCol w:w="248"/>
        <w:gridCol w:w="742"/>
        <w:gridCol w:w="128"/>
        <w:gridCol w:w="109"/>
        <w:gridCol w:w="109"/>
        <w:gridCol w:w="109"/>
        <w:gridCol w:w="211"/>
        <w:gridCol w:w="632"/>
        <w:gridCol w:w="109"/>
        <w:gridCol w:w="109"/>
        <w:gridCol w:w="109"/>
        <w:gridCol w:w="109"/>
        <w:gridCol w:w="211"/>
        <w:gridCol w:w="632"/>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920</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1,987</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3,971</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ACCRUED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(in thousands):</w:t>
      </w:r>
    </w:p>
    <w:tbl>
      <w:tblPr>
        <w:tblW w:w="6386" w:type="dxa"/>
        <w:jc w:val="left"/>
        <w:tblInd w:w="0" w:type="dxa"/>
        <w:tblLayout w:type="fixed"/>
        <w:tblCellMar>
          <w:top w:w="28" w:type="dxa"/>
          <w:left w:w="28" w:type="dxa"/>
          <w:bottom w:w="28" w:type="dxa"/>
          <w:right w:w="28" w:type="dxa"/>
        </w:tblCellMar>
      </w:tblPr>
      <w:tblGrid>
        <w:gridCol w:w="1093"/>
        <w:gridCol w:w="959"/>
        <w:gridCol w:w="963"/>
        <w:gridCol w:w="283"/>
        <w:gridCol w:w="846"/>
        <w:gridCol w:w="146"/>
        <w:gridCol w:w="109"/>
        <w:gridCol w:w="109"/>
        <w:gridCol w:w="109"/>
        <w:gridCol w:w="374"/>
        <w:gridCol w:w="1121"/>
        <w:gridCol w:w="274"/>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 xml:space="preserve">As of </w:t>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and professional</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private issuance liability</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transaction costs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accrued expenses</w:t>
            </w:r>
          </w:p>
        </w:tc>
        <w:tc>
          <w:tcPr>
            <w:tcW w:w="28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4,435</w:t>
            </w:r>
            <w:r>
              <w:rPr>
                <w:color w:val="000000"/>
              </w:rPr>
              <w:t> </w:t>
            </w:r>
          </w:p>
        </w:tc>
        <w:tc>
          <w:tcPr>
            <w:tcW w:w="1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2,981</w:t>
            </w:r>
            <w:r>
              <w:rPr>
                <w:color w:val="000000"/>
              </w:rPr>
              <w:t> </w:t>
            </w:r>
          </w:p>
        </w:tc>
        <w:tc>
          <w:tcPr>
            <w:tcW w:w="27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CONVERTIBLE PROMISSORY NOTES — RELATED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the Company entered into the August 2025 Notes where they can receive a total of $10.0 million. The August 2025 Notes, were issued to related parties with initial principal balances as follows, Stellantis $2.0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1460"/>
                <wp:effectExtent l="0" t="0" r="0" b="0"/>
                <wp:wrapNone/>
                <wp:docPr id="22"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Mercedes-Benz $2.0 million, and Gatemore Capital Management controlled entities $6.0 million. The August 2025 Notes bore interest of 15% per annum, compounded monthly, and had a maturity date of August 1, 2028. The accrued interest balance was included in the fair value estimate of the August 2025 Notes liability. No payments were due until maturity. The August 2025 Notes principal and interest were convertible into the most senior preferred security at the time of conversion. The August 2025 Notes provided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August 2025 Notes included an automatic conversion event in connection with a qualified financing event. The principal amount and any unpaid interest on the August 2025 Notes would automatically be converted into shares of the same class and type of securities issued in the qualified financing. The number of shares issued would be calculated by dividing the greater of either i) 110% of the original August 2025 Note or ii) the total outstanding principal and accrued interest of the August 2025 Note, by 50% of the cash price per share paid by investors in the qualified financing (excluding conversions of August 2025 Notes or other convertible instruments). This resulting share total would be rounded down to the nearest whole number of shares, and the conversion price per share would not exceed $34.0131.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“qualified financing” means the issuance and sale, in a single transaction or series of related transactions, of the Company’s equity securities resulting in aggregate proceeds to the Company of equal to or more than $20.0 million (including the conversion of the August 2025 Notes, less any Interest) in exchange for cash. The mandatory conversion feature upon a qualified financing event would automatically convert into stock of the same class and series (the “New Equity”) of the Company’s securities that is issued by the Company in the qualified financing. A “non-qualified financing” means the issuance and sale, in a single transaction or series of related transactions of the Company’s equity securities resulting in aggregate proceeds to the Company of less than $20.0 million (including the conversion of the August 2025 Notes, less any Interest) in exchange for cash. An “acquisition event” means a Deemed Liquidation Event as defined in the Company’s Certificate of Incorporation, as amended from time to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Merger, all principal and accrued interest of $1.3 million in respect to the August 2025 Notes was automatically converted into 2,177,459 shares of Series A Common Stock at price of $10.42 per share for a value of $22.7 million (share figure was 593,574 shares prior to the application of the merger exchange ratio in the Merger, which was closed on June 5,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NOTE 8</w:t>
      </w:r>
      <w:r>
        <w:rPr>
          <w:color w:val="000000"/>
        </w:rPr>
        <w:t xml:space="preserve"> — </w:t>
      </w:r>
      <w:r>
        <w:rPr>
          <w:rFonts w:ascii="Times New Roman;serif" w:hAnsi="Times New Roman;serif"/>
          <w:b/>
          <w:color w:val="000000"/>
          <w:sz w:val="20"/>
        </w:rPr>
        <w:t xml:space="preserve">CONVERTIBLE 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January 2026, the Company issued the January 2026 Notes pursuant to which it could receive proceeds up to $5.3 million. The January 2026 Notes bore interest of 5% per annum and had a maturity dates of either August 1, 2028 or January 1, 2029. The January 2026 Notes provided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Concurrently with the issuance of the January 2026 Notes, the Company entered into a partnership agreement with a note holder. Pursuant to the partnership agreement, the Company could receive up to $2.2 million in total consideration. The deliverables of the partnership agreement coincided with payments to the Company on the convertible note. Deliverables under the partnership agreement were aligned with, and contingent upon, funding milestones under the convertible note, which provided for up to $1.3 million in aggregate principal funding to the Company of which $1.3 million of proceeds have been received as of June 30, 2026. The note holder had the option to request funding in part or in full. In addition, the partnership agreement includes up to $0.9 million of consideration for the performance of research and development services to the note holder.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Merger, all principal and accrued interest in respect to the January 2026 Notes was automatically converted into 633,988 shares of Series A Common Stock at price of $10.06 per share for a value of $6.6 million (share figure was 172,823 shares prior to the application of the merger exchange ratio in the Merger, which was closed on June 5,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1460"/>
                <wp:effectExtent l="0" t="0" r="0" b="0"/>
                <wp:wrapNone/>
                <wp:docPr id="23"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jc w:val="both"/>
        <w:rPr/>
      </w:pPr>
      <w:r>
        <w:rPr>
          <w:rFonts w:ascii="Times New Roman;serif" w:hAnsi="Times New Roman;serif"/>
          <w:b w:val="false"/>
          <w:color w:val="000000"/>
          <w:sz w:val="20"/>
        </w:rPr>
        <w:t xml:space="preserve">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 For additional information, please read Note 8,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the audited financial statements included in the Company’s audited annual consolidated financial statements for the year ended December 31, 2025, included in the proxy statement/prospectus filed by CGC on May 6,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Private Issuance</w:t>
      </w:r>
    </w:p>
    <w:p>
      <w:pPr>
        <w:pStyle w:val="TextBody"/>
        <w:bidi w:val="0"/>
        <w:spacing w:lineRule="auto" w:line="288" w:before="120" w:after="283"/>
        <w:jc w:val="both"/>
        <w:rPr/>
      </w:pPr>
      <w:r>
        <w:rPr>
          <w:rFonts w:ascii="Times New Roman;serif" w:hAnsi="Times New Roman;serif"/>
          <w:b w:val="false"/>
          <w:color w:val="000000"/>
          <w:sz w:val="20"/>
        </w:rPr>
        <w:t xml:space="preserve">The Company entered into an agreement with Clear Street LLC (“Clear Street”) in June 2026, pursuant to which Clear Street agreed to act as capital markets advisor to the Company for a term of twelve months. As consideration for these services, the agreement provides for the issuance to Clear Street of 100,000 shares of the Company’s Series A Common Stock. As of June 30, 2026, certain awards covering 100,000 shares of common stock remained subject to pending authorization of the underlying shares. Because the grant-date criteria under ASC Topic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 had not been satisfied, the awards were accounted for as liability-classified awards and remeasured to fair value at June 30, 2026. As of June 30, 2026, the Company has recorded a $1.1 million liability within accrued expenses on the Company’s condensed consolidated balance sheet. The liability is subject to remeasurement under ASC 718 until the shares are authorized and issued.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an arbitration, initiated on March 14, 2025, before the International Centre for Dispute Resolution. A hearing was conducted in June 2026, and post-hearing submissions were made in July 2026. The hearing is regarding a contractual dispute in which a vendor is seeking $4.9 million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REDEEMABLE CONVERTIBLE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Merger (see Note 3 — Reverse Recapitalization), Legacy Factorial had outstanding shares of redeemable convertible preferred stock across four series: Series A, Series B-1, Series C, and Series D (collectively, the "Preferred Stock"). The rights, preferences, and privileges of the Preferred Stock, including dividend, liquidation, conversion, voting, and redemption features, are described in the Company's annual report for the year ended December 31, 2025 included in the Company’s Registration Statement on Form S-4/A.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Immediately prior to the closing of the Merger, all outstanding shares of Preferred Stock automatically converted into an equivalent number of shares of Legacy Factorial common stock on a one-to-one basis. As the conversion occurred pursuant to the Preferred Stock's original terms rather than as a result of a deemed liquidation event, no accretion to redemption value was recognized in connection with the conversion, and the Company recognized no gain or loss upon conversion. The aggregate carrying value was $249.7 million, which was unchanged from December 31, 2025 was reclassified into stockholders’ deficit on our condensed consolidated balance sheet.</w:t>
      </w:r>
    </w:p>
    <w:p>
      <w:pPr>
        <w:pStyle w:val="TextBody"/>
        <w:bidi w:val="0"/>
        <w:spacing w:lineRule="auto" w:line="288" w:before="120" w:after="283"/>
        <w:jc w:val="both"/>
        <w:rPr/>
      </w:pPr>
      <w:r>
        <w:rPr>
          <w:rFonts w:ascii="Times New Roman;serif" w:hAnsi="Times New Roman;serif"/>
          <w:b w:val="false"/>
          <w:color w:val="000000"/>
          <w:sz w:val="20"/>
        </w:rPr>
        <w:t xml:space="preserve">Following the conversion, and in connection with the Merger, the converted shares of Legacy Factorial common stock were converted into shares of the Series A Common Stock at the Exchange Ratio (as defined in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As a result, no shares of Preferred Stock remain authorized, issued, or outstanding as of June 30, 2026, and the Company has no shares of preferred stock designated or outstanding as of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1460"/>
                <wp:effectExtent l="0" t="0" r="0" b="0"/>
                <wp:wrapNone/>
                <wp:docPr id="24"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the Preferred Stock for the six months ended June 30, 2026:</w:t>
      </w:r>
    </w:p>
    <w:p>
      <w:pPr>
        <w:pStyle w:val="TextBody"/>
        <w:bidi w:val="0"/>
        <w:spacing w:before="0" w:after="0"/>
        <w:jc w:val="both"/>
        <w:rPr/>
      </w:pPr>
      <w:r>
        <w:rPr/>
      </w:r>
    </w:p>
    <w:tbl>
      <w:tblPr>
        <w:tblW w:w="6203" w:type="dxa"/>
        <w:jc w:val="left"/>
        <w:tblInd w:w="0" w:type="dxa"/>
        <w:tblLayout w:type="fixed"/>
        <w:tblCellMar>
          <w:top w:w="28" w:type="dxa"/>
          <w:left w:w="28" w:type="dxa"/>
          <w:bottom w:w="28" w:type="dxa"/>
          <w:right w:w="28" w:type="dxa"/>
        </w:tblCellMar>
      </w:tblPr>
      <w:tblGrid>
        <w:gridCol w:w="357"/>
        <w:gridCol w:w="314"/>
        <w:gridCol w:w="318"/>
        <w:gridCol w:w="729"/>
        <w:gridCol w:w="729"/>
        <w:gridCol w:w="731"/>
        <w:gridCol w:w="109"/>
        <w:gridCol w:w="109"/>
        <w:gridCol w:w="109"/>
        <w:gridCol w:w="360"/>
        <w:gridCol w:w="360"/>
        <w:gridCol w:w="361"/>
        <w:gridCol w:w="109"/>
        <w:gridCol w:w="109"/>
        <w:gridCol w:w="109"/>
        <w:gridCol w:w="378"/>
        <w:gridCol w:w="378"/>
        <w:gridCol w:w="534"/>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 Outstanding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Factorial</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Issued</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A-1 </w:t>
            </w:r>
          </w:p>
        </w:tc>
        <w:tc>
          <w:tcPr>
            <w:tcW w:w="21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4,528,900</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A-2 </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8,665,524</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B-1 </w:t>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9,972,682</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C-1 </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13,098,851</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C-2 </w:t>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9,221,245</w:t>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Series D </w:t>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5,950,204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21,827,755</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8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18,349,937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67,314,957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 STOCKHOLDERS' EQUITY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May 2026, in connection with the de-SPAC Transaction, the Company filed a new certificate of incorporation, which authorized the issuance of up to 750,000,000, which shall consist of two classes as follows: 650,000,000 shares designated as common stock, par value $0.00001 per share, which is subdivided into two series consisting of 600,000,000 shares designated as Series A Common Stock and 50,000,000 shares designated as Series B Common Stock; and 100,000,000 shares designated as preferred stock, par value $0.00001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Each share of Series A Common Stock entitles the holder to one vote, and each share of Series B Common Stock entitles the holder to 10 votes, on all matters submitted to a vote of the Company’s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12 — WARRANTS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Liability Series B-1</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Merger, the Series B-1 warrants were exercised cashless for 71,779 shares of Series A Common Stock (share figure was 19,930 shares prior to the application of the merger exchange ratio in the Merger, which was closed on June 5, 2026).</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Warrant Liability Series 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Series D redeemable convertible preferred stock of the Company (“Series D”) on November 30, 2021, the Company entered into a warrant agreement for preferred stock (the “Series D Warrant Agreement”) with each of Mercedes-Benz Investment Company LLC and Stellantis (each a “Holder”). Upon closing of the Series D Agreement, Mercedes-Benz Investment Company LLC and its affiliates (“Mercedes-Benz”) and Stellantis became related parties to the Company. During 2022, the Series D Warrant Agreements were amended and restated with both Stellantis and Mercedes-Benz to eliminate certain milestone-based provisions (the “Amended Warrants”). The Amended Warrants modified the original agreements by setting the number of shares issuable upon exercise at a fixed 137,814 shares per Holder at a fixed price of $27.21 per share. The warrants had a maturity date of February 1, 2029, or the closing of the Company’s initial public offering. The Amended Warrants remained consistent with the Series D Warrant Agreements to require settlement through the issuance of the then most senior redeemable convertible preferred stock of the Company to the Holder. At inception, the monetary value of the obligation was based on a fixed monetary amount known at inception.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Merger, the Amended Warrants were exercised cashless for 291,066 shares of Series A Common Stock (share figure was 79,344 shares prior to the application of the merger exchange ratio in the Merger, which was closed on June 5,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1460"/>
                <wp:effectExtent l="0" t="0" r="0" b="0"/>
                <wp:wrapNone/>
                <wp:docPr id="25"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pPr>
      <w:r>
        <w:rPr>
          <w:rFonts w:ascii="Times New Roman;serif" w:hAnsi="Times New Roman;serif"/>
          <w:b w:val="false"/>
          <w:color w:val="000000"/>
          <w:sz w:val="20"/>
        </w:rPr>
        <w:t xml:space="preserve">Simultaneously, with the Merger and related transactions described in Note 3 – </w:t>
      </w:r>
      <w:r>
        <w:rPr>
          <w:rFonts w:ascii="Times New Roman;serif" w:hAnsi="Times New Roman;serif"/>
          <w:b w:val="false"/>
          <w:i/>
          <w:color w:val="000000"/>
          <w:sz w:val="20"/>
        </w:rPr>
        <w:t>Reverse Recapitalization</w:t>
      </w:r>
      <w:r>
        <w:rPr>
          <w:rFonts w:ascii="Times New Roman;serif" w:hAnsi="Times New Roman;serif"/>
          <w:b w:val="false"/>
          <w:color w:val="000000"/>
          <w:sz w:val="20"/>
        </w:rPr>
        <w:t xml:space="preserve">, all outstanding warrants at that time were converted from warrants to acquire CGC Class A Shares to warrants to acquire Series A Common Stock (the “Warrants”). An amended BCA was entered into contemporaneously with the business combination closing on the Closing Date to reflect the post-combination entity, share-class and updated terms. The post-combination Warrant quantity, exercise price, and holders did not change for any of the warrant classes as of the Closing Date.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13,800,000 Public Warrants were outstanding: there were no exercises or issuances during 2026. Each whole Public Warrant entitles the holder to purchase one share of Series A Common Stock at a price of $11.50 per share beginning on July 5, 2026, subject to restrictions as described further. Public Warrants may only be exercised for a whole number of shares. No fractional Public Warrants will be issued. The Public Warrants will expire on June 5, 2031 or earlier upon redemption or liquidation. Public Warrant holders do not have the rights or privileges of holders of Series A Common Stock nor any voting rights until they exercise their warrants and receive shares of Series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not be obligated to deliver any share of Series A Common Stock pursuant to the exercise of a warrant and will have no obligation to settle such warrant exercise unless a registration statement under the Securities Act with respect to the shares of Series A Common Stock underlying the warrants is then effective and a prospectus relating thereto is current. No warrant will be exercisable and the Company will not be obligated to issue shares of Series A Common Stock upon exercise of a warrant unless the shares of Series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shares of Series A Common Stock underlying such unit.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Redemption of Warrants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the price per share of Series A Common Stock equals or exceeds $18.00 and there is an effective registration statement covering the issuance of the Series A Common Stock issuable upon exercise of the Warrants: The Company may redeem the outstanding warrants: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whole and not in part;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At a price of $0.01 per warrant;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Upon a minimum of 30 days’ prior written notice of redemption (the “30-day redemption period”);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and only if, the closing price of the shares of Series A Common Stock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the number of outstanding shares of Series A Common Stock is increased by a share capitalization payable in Series A Common Stock, or by a subdivision of Series A Common Stock or other similar event, then, on the effective date of such share capitalization, subdivision or similar event, the number of shares of Series A Common Stock issuable on exercise of each warrant will be increased in proportion to such increase in the outstanding shares of Series A Common Stock. A rights offering made to all or substantially all holders of shares of Series A Common Stock entitling holders to purchase Series A Common Stock at a price less than the fair market value will be deemed a share capitalization of a number of Series A Common Stock equal to the product of (i) the number of Series A Common Stock actually sold in such rights offering (or issuable under any other equity securities sold in such rights offering that are convertible into or exercisable for Series A Common Stock) and (ii) one minus the quotient of (x) the price per Series A Common Stock paid in such rights offering and (y) the historical fair market value. For these purposes (i) if the rights offering is for securities convertible into or exercisable for Series A Common Stock, in determining the price payable for Series A Common Stock, there will be taken into account any consideration received for such rights, as well as any additional amount payable upon exercise or conversion and (ii) historical fair market value means the volume weighted average price of the Series A Common Stock as reported during the 10 trading day period ending on the trading day prior to the first date on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1460"/>
                <wp:effectExtent l="0" t="0" r="0" b="0"/>
                <wp:wrapNone/>
                <wp:docPr id="26"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Series A Common Stock trade on the applicable exchange or in the applicable market, regular way, without the right to receive such rights. No Series A Common Stock shall be issued at less than their par value.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value of outstanding Public Warrants of $3.1 million was recorded in additional paid-in capital. This amount reflects the relative fair value allocated to the Public Warrants at original issuance in 2025 and has not been remeasured, consistent with their continuing equity classification. The amendment to the Public Warrants did not result in any incremental fair value, as it was determined to be a non-substantive equity-to-equity modification.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6,800,000 Private Warrants were outstanding. The Private Warrants are identical to the Public Warrants, except that so long as they are held by the Sponsor or any of its permitted transferees: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Private Warrants are exercisable for cash or on a cashless basis, at the holder’s option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Private Warrants are not redeemable by the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shares of Series A Common Stock equal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quotient obtained by dividing (x) the product of the number of Series A Common Stock underlying the Warrants, multiplied by the excess of the average last reported sale price of the Series A Common Stock for ten trading days ending on the third trading day prior to the date on which notice of redemption is sent to the holders of the warrants (“Fair Market Value”) over the Warrant Price by (y) the Fair Market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The Private Warrants will expire on June 5, 2031.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completion of the Merger, the Company evaluated the amended Private Warrants under ASC 815-40, in conjunction with the proxy statement/prospectus dated as of, and filed with the Securities and Exchange Commission pursuant to Rule 424(b) on, May 6, 2026,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NOTE 13 — STOCK 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the three and six months ended June 30, 2026, and 2025 was classified in the Company’s condensed consolidated statements of operations and comprehensive loss as follows (in thousands):</w:t>
      </w:r>
    </w:p>
    <w:tbl>
      <w:tblPr>
        <w:tblW w:w="8329" w:type="dxa"/>
        <w:jc w:val="left"/>
        <w:tblInd w:w="0" w:type="dxa"/>
        <w:tblLayout w:type="fixed"/>
        <w:tblCellMar>
          <w:top w:w="28" w:type="dxa"/>
          <w:left w:w="28" w:type="dxa"/>
          <w:bottom w:w="28" w:type="dxa"/>
          <w:right w:w="28" w:type="dxa"/>
        </w:tblCellMar>
      </w:tblPr>
      <w:tblGrid>
        <w:gridCol w:w="1071"/>
        <w:gridCol w:w="939"/>
        <w:gridCol w:w="944"/>
        <w:gridCol w:w="248"/>
        <w:gridCol w:w="743"/>
        <w:gridCol w:w="128"/>
        <w:gridCol w:w="128"/>
        <w:gridCol w:w="128"/>
        <w:gridCol w:w="128"/>
        <w:gridCol w:w="248"/>
        <w:gridCol w:w="743"/>
        <w:gridCol w:w="128"/>
        <w:gridCol w:w="109"/>
        <w:gridCol w:w="109"/>
        <w:gridCol w:w="109"/>
        <w:gridCol w:w="225"/>
        <w:gridCol w:w="674"/>
        <w:gridCol w:w="116"/>
        <w:gridCol w:w="116"/>
        <w:gridCol w:w="116"/>
        <w:gridCol w:w="116"/>
        <w:gridCol w:w="225"/>
        <w:gridCol w:w="674"/>
        <w:gridCol w:w="16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1,038</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1,749</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2,572</w:t>
            </w:r>
            <w:r>
              <w:rPr>
                <w:color w:val="000000"/>
              </w:rPr>
              <w:t>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5,606</w:t>
            </w:r>
            <w:r>
              <w:rPr>
                <w:color w:val="000000"/>
              </w:rPr>
              <w:t>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 options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granted stock options for the purchase of 123,185 shares of Series A Common Stock with a weighted average exercise price of $6.94 per share and a weighted average grant-date fair value of $6.88 per share. As of June 30, 2026, the unrecognized compensation cost related to outstanding stock options was $8.4 million, which is expected to be recognized over a weighted-average period of 2.7 years.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1460"/>
                <wp:effectExtent l="0" t="0" r="0" b="0"/>
                <wp:wrapNone/>
                <wp:docPr id="27" name="Frame2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14 — NET LOSS PER COMMON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loss per share (“EPS”) is computed by dividing net loss available to common stockholders by the weighted</w:t>
        <w:noBreakHyphen/>
        <w:t>average number of shares of common stock outstanding. Diluted EPS is computed after adjusting the numerator and denominator of the basic EPS computation for the effects of all potentially dilutive shares of common stock. The dilutive effect of the Private Warrants is computed using the “treasury stock” method. Gains associated with the changes in the fair value of the Private Warrants are excluded from the numerator in computing diluted earnings per share because inclusion of such gains in the computation would be anti</w:t>
        <w:noBreakHyphen/>
        <w:t>dilutive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96"/>
        <w:gridCol w:w="1485"/>
        <w:gridCol w:w="1237"/>
        <w:gridCol w:w="240"/>
        <w:gridCol w:w="841"/>
        <w:gridCol w:w="109"/>
        <w:gridCol w:w="109"/>
        <w:gridCol w:w="109"/>
        <w:gridCol w:w="109"/>
        <w:gridCol w:w="240"/>
        <w:gridCol w:w="841"/>
        <w:gridCol w:w="109"/>
        <w:gridCol w:w="109"/>
        <w:gridCol w:w="109"/>
        <w:gridCol w:w="109"/>
        <w:gridCol w:w="240"/>
        <w:gridCol w:w="841"/>
        <w:gridCol w:w="109"/>
        <w:gridCol w:w="109"/>
        <w:gridCol w:w="109"/>
        <w:gridCol w:w="109"/>
        <w:gridCol w:w="240"/>
        <w:gridCol w:w="841"/>
        <w:gridCol w:w="155"/>
      </w:tblGrid>
      <w:tr>
        <w:trPr/>
        <w:tc>
          <w:tcPr>
            <w:tcW w:w="169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Six Months Ended June 30,</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18"/>
              </w:rPr>
            </w:pPr>
            <w:r>
              <w:rPr>
                <w:rFonts w:ascii="Times New Roman;serif" w:hAnsi="Times New Roman;serif"/>
                <w:b/>
                <w:color w:val="231F20"/>
                <w:sz w:val="18"/>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Basic EPS:</w:t>
            </w:r>
          </w:p>
        </w:tc>
        <w:tc>
          <w:tcPr>
            <w:tcW w:w="1190"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(11,341)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(23,439)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number of shares of common stock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18,594,006 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18,423,699 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18,571,685 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18,486,699 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Diluted EPS: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Net loss </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(11,341)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(23,439)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Adjust for: Change in fair value of Private Warrant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Adjusted net loss</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(16,079)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(10,569)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(24,654)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(23,439)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Weighted average number of shares of common stock outstanding </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18,594,006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18,423,699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18,571,685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18,486,699</w:t>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Dilutive effect of warrants - treasury stock method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340,273 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171,076 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Weighted average diluted shares of common stock outstanding</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18,934,279 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18,423,699 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18,742,761 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18,486,699 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Basic loss per share:</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Diluted loss per share:</w:t>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1460"/>
                <wp:effectExtent l="0" t="0" r="0" b="0"/>
                <wp:wrapNone/>
                <wp:docPr id="28" name="Frame2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loss per share attributable to common stockholders because their inclusion would have been anti-dilutive:</w:t>
      </w:r>
    </w:p>
    <w:tbl>
      <w:tblPr>
        <w:tblW w:w="9118" w:type="dxa"/>
        <w:jc w:val="left"/>
        <w:tblInd w:w="0" w:type="dxa"/>
        <w:tblLayout w:type="fixed"/>
        <w:tblCellMar>
          <w:top w:w="28" w:type="dxa"/>
          <w:left w:w="28" w:type="dxa"/>
          <w:bottom w:w="28" w:type="dxa"/>
          <w:right w:w="28" w:type="dxa"/>
        </w:tblCellMar>
      </w:tblPr>
      <w:tblGrid>
        <w:gridCol w:w="2143"/>
        <w:gridCol w:w="1877"/>
        <w:gridCol w:w="1889"/>
        <w:gridCol w:w="540"/>
        <w:gridCol w:w="541"/>
        <w:gridCol w:w="176"/>
        <w:gridCol w:w="140"/>
        <w:gridCol w:w="140"/>
        <w:gridCol w:w="140"/>
        <w:gridCol w:w="540"/>
        <w:gridCol w:w="541"/>
        <w:gridCol w:w="451"/>
      </w:tblGrid>
      <w:tr>
        <w:trPr/>
        <w:tc>
          <w:tcPr>
            <w:tcW w:w="214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As of June 30,</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A-1 redeemable convertible preferred stock</w:t>
            </w:r>
          </w:p>
        </w:tc>
        <w:tc>
          <w:tcPr>
            <w:tcW w:w="1081" w:type="dxa"/>
            <w:gridSpan w:val="2"/>
            <w:tcBorders>
              <w:top w:val="single" w:sz="6" w:space="0" w:color="231F2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6" w:space="0" w:color="231F2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6" w:space="0" w:color="231F2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4,528,900</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A-2 redeemable convertible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8,665,524</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B-1 redeemable convertible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9,972,682</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C-1 redeemable convertible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13,098,851</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C-2 redeemable convertible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9,221,245</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D redeemable convertible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21,827,755</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Series B-1 and Series D redeemable convertible preferred stock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1,084,228 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Public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13,800,000 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Options to purchase Series A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19,589,342 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18,180,825 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stock units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5,116,217 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5,190,513 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15 —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 and comprehensive loss:</w:t>
      </w:r>
    </w:p>
    <w:tbl>
      <w:tblPr>
        <w:tblW w:w="8714" w:type="dxa"/>
        <w:jc w:val="left"/>
        <w:tblInd w:w="0" w:type="dxa"/>
        <w:tblLayout w:type="fixed"/>
        <w:tblCellMar>
          <w:top w:w="28" w:type="dxa"/>
          <w:left w:w="28" w:type="dxa"/>
          <w:bottom w:w="28" w:type="dxa"/>
          <w:right w:w="28" w:type="dxa"/>
        </w:tblCellMar>
      </w:tblPr>
      <w:tblGrid>
        <w:gridCol w:w="1147"/>
        <w:gridCol w:w="1005"/>
        <w:gridCol w:w="1012"/>
        <w:gridCol w:w="216"/>
        <w:gridCol w:w="816"/>
        <w:gridCol w:w="111"/>
        <w:gridCol w:w="111"/>
        <w:gridCol w:w="111"/>
        <w:gridCol w:w="111"/>
        <w:gridCol w:w="216"/>
        <w:gridCol w:w="816"/>
        <w:gridCol w:w="111"/>
        <w:gridCol w:w="109"/>
        <w:gridCol w:w="109"/>
        <w:gridCol w:w="109"/>
        <w:gridCol w:w="211"/>
        <w:gridCol w:w="796"/>
        <w:gridCol w:w="109"/>
        <w:gridCol w:w="109"/>
        <w:gridCol w:w="109"/>
        <w:gridCol w:w="109"/>
        <w:gridCol w:w="211"/>
        <w:gridCol w:w="79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Six Months Ended June 30,</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3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31F20"/>
                <w:sz w:val="20"/>
              </w:rPr>
            </w:pPr>
            <w:r>
              <w:rPr>
                <w:rFonts w:ascii="Times New Roman;serif" w:hAnsi="Times New Roman;serif"/>
                <w:b/>
                <w:color w:val="231F20"/>
                <w:sz w:val="20"/>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3"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6"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Reimbursement from JDAs and others</w:t>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Payroll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Professional service expense </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(3,028)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(673)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Research and development expense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(1,617)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(991)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(2,550)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Depreciation expense </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(920)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(1,987)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(3,971)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Other operating expense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(675)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(500)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Loss from operations</w:t>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(12,961)</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(11,402)</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(19,452)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(24,524)</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Total other income (expense), net </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1,620 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833 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Net loss</w:t>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(11,341)</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8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(10,569)</w:t>
            </w:r>
          </w:p>
        </w:tc>
        <w:tc>
          <w:tcPr>
            <w:tcW w:w="1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(19,916)</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231F20"/>
                <w:sz w:val="20"/>
              </w:rPr>
            </w:pPr>
            <w:r>
              <w:rPr>
                <w:rFonts w:ascii="Times New Roman;serif" w:hAnsi="Times New Roman;serif"/>
                <w:b/>
                <w:color w:val="231F20"/>
                <w:sz w:val="20"/>
              </w:rPr>
              <w:t>$</w:t>
            </w:r>
          </w:p>
        </w:tc>
        <w:tc>
          <w:tcPr>
            <w:tcW w:w="7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(23,439)</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provided to CODM are consistent with those reported on the condensed consolidated balance sheets with particular emphasis on the Company’s available liquidity, including its cash and cash equivalents reduced by current liabilities. All long-lived assets are maintained in, and all losses are attributable to the United States of America and South Korea.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1460"/>
                <wp:effectExtent l="0" t="0" r="0" b="0"/>
                <wp:wrapNone/>
                <wp:docPr id="29" name="Frame2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FACTORIAL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16 — RELATED PARTY TRANSACTIONS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Uwe Keller, a member of the Company’s Board of Directors, represents Mercedes-Benz who is an investor in the Company’s Series A Common Stock. For the three and six months ended June 30, 2026, the Company recognized no expense reimbursements for the services provided under the JDA with Mercedes-Benz. For the three and six months ended June 30, 2025, the Company recognized $0.1 million and $0.1 million in expense reimbursements for the services provided under the JDA with Mercedes-Benz, which are recorded net within research and development expenses on the condensed consolidated statements of operations and comprehensive loss. There were no amounts due from Mercedes-Benz as of June 30, 2026, and December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Jon Nelson, a member of the Company’s Board of Directors, represents Stellantis who is an investor in the Company’s Series A Common Stock. For the three and six months ended June 30, 2026, the Company recognized an insignificant amount in expense reimbursements for the services provided under the JDA with Stellantis. For the three and six months ended June 30, 2025, the Company recognized no expense reimbursements for the services provided under the JDA with Stellantis. There were no amounts due from Stellantis as of June 30, 2026. Amounts due from Stellantis totaled $1.0 million which are included in receivables under collaboration agreements on the condensed consolidated balance sheets as of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the Company modified its existing JDA with Stellantis. The modified JDA required the Company to make a $2.0 million payment to Stellantis for services related to the production and testing of a demo fleet, offsetting an investment of an equal amount in the purchase of August 2025 Notes described in Note 7 - Convertible Promissory Notes - Related Parties above.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 million to Stellantis for these services. As of June 30, 2026, and December 31, 2025, there was $0.7 million and $1.0 million included in prepaid expenses and other current assets, and an insignificant amount included in other non-current assets, respectively, on the condensed consolidated balance sheets. During the three and six months ended June 30, 2026, $0.2 million and $0.4 million was recognized as part of the agreement and is included in research and development expenses on the condensed consolidated statements of operations and comprehensive loss. </w:t>
      </w:r>
    </w:p>
    <w:p>
      <w:pPr>
        <w:pStyle w:val="TextBody"/>
        <w:bidi w:val="0"/>
        <w:spacing w:lineRule="auto" w:line="288" w:before="120" w:after="283"/>
        <w:jc w:val="both"/>
        <w:rPr/>
      </w:pPr>
      <w:r>
        <w:rPr>
          <w:rFonts w:ascii="Times New Roman;serif" w:hAnsi="Times New Roman;serif"/>
          <w:b/>
          <w:i/>
          <w:color w:val="000000"/>
          <w:sz w:val="20"/>
        </w:rPr>
        <w:t>Consulting Arrangement</w:t>
      </w:r>
      <w:r>
        <w:rPr>
          <w:rFonts w:ascii="Times New Roman;serif" w:hAnsi="Times New Roman;serif"/>
          <w:b/>
          <w:color w:val="000000"/>
          <w:sz w:val="20"/>
        </w:rPr>
        <w: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of 2020, the Company entered into a consulting services agreement with Joseph Taylor who also serves as Executive Chairman of the Company’s Board of Directors. For the three months ended June 30, 2026 and 2025, the Company incurred $0.1 million and $0.1 million, and for the six months ended June 30, 2026 and 2025, the Company incurred $0.2 million and $0.1 million, respectively, in expenses for consulting services provided by Joseph Taylor recorded within selling, general and administrative expenses on the condensed consolidated statements of operations and comprehensive loss. Amounts due to Joseph Taylor totaled $0.2 million as of December 31, 2025, and are included in accounts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On August 3, 2026, Factorial’s Korean subsidiary entered into a new lease agreement for a manufacturing site in Korea. The term of the lease ends in July 2031 with total cash payments expected to be approximately $2.6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1460"/>
                <wp:effectExtent l="0" t="0" r="0" b="0"/>
                <wp:wrapNone/>
                <wp:docPr id="30" name="Frame3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the financial condition and results of operations of Factorial Energy Inc. (“Factorial Energy,” “Factorial,” ”Company,” “we” “our” or “us”) should be read together with the audited annual financial statements of Factorial Inc. (“Legacy Factorial”), our predecessor reporting entity, for the years ended December 31, 2025 and 2024 which are included in the proxy statement/prospectus dated as of, and filed with the Securities and Exchange Commission ("SEC") pursuant to Rule 424(b) on, May 6, 2026 (the “Proxy Statement/Prospectus”) beginning on Page F-25, and Factorial Energy’s unaudited condensed consolidated financial statements for the three and six months ended June 30, 2026 and 2025, and related notes included in this Quarterly Report on Form 10-Q (“Quarterly Report”).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Statement Regarding Forward-Looking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pPr>
      <w:r>
        <w:rPr>
          <w:rFonts w:ascii="Times New Roman;serif" w:hAnsi="Times New Roman;serif"/>
          <w:b w:val="false"/>
          <w:color w:val="000000"/>
          <w:sz w:val="20"/>
        </w:rPr>
        <w:t>Factorial, a US-based leader in solid-state battery technology, develops next generation battery technology for planned use by drone, mobile robots, roadgoing vehicles, energy storage, and other demanding applications. Our FEST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 In addition, for some of our customers whose applications do not need all of the benefits of our solid-state technology, we develop batteries that combine a lithium metal anode and a liquid electrolyte. Such batteries provide some of the improved size, weight and duration of our solid-state battery technology at a lower cost and faster timeline to production.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is a development stage company with no revenue to date that has incurred a net loss of approximately $11.3 million and $19.9 million, with cash used in operations of $0.5 million and $11.4 million, for the three and six months ended June 30, 2026, respectively, and an accumulated deficit of approximately $275.5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17, 2025, Legacy Factorial entered into a definitive business combination agreement, as amended on March 26, 2026 and May 18, 2026 (as amended, the “BCA”), with Fenway MS, Inc., (“Merger Sub”), and Cartesian Growth Corporation III (“CGC”). Pursuant to the BCA, and after CGC’s shareholders voted to approve it, Merger Sub, a newly formed subsidiary of CGC, merged with and into Legacy Factorial (the “Merger”). On June 5, 2026 (the “Closing”), the separate corporate existence of Merger Sub ceased to exist, and Legacy Factorial survived and became a wholly-owned subsidiary of CGC. In connection with the consummation of the Merger, CGC changed its corporate name to Factorial Energy Inc. The Merger was accounted for as a reverse recapitalization. Legacy Factorial was deemed the accounting acquirer and the combined entity is the successor SEC registrant, meaning that Legacy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Merger, the most significant change in Legacy Factorial’s financial position and results is a $92.0 million net increase in cash and cash equivalents (as compared to Legacy Factorial’s consolidated balance sheet at March 31, 2026), which includes $112.1 million in gross proceeds from the sale of a private placement (the “PIPE Financing”) of Class A ordinary shares of CGC, par value $0.0001 per share (the “CGC Class A Shares”) (inclusive of the proceeds from the trust account resulting from an aggregate of 3,470,764 shares (the “NRA Shares”) of Class A ordinary shares of CGC, par value $0.0001 per share (the “CGC Class A Shares”) acquired by an affiliate of CGC III Sponsor LLC, a Cayman Islands limited liability company (the “Sponsor” and such affiliate, the “Sponsor Investor”) and a certain institutional investor (the “Institutional Investor,” and together with the Sponsor Investor, the “PIPE Investors” to satisfy their obligations under the applicable Investor Stock Purchase Agreement) that was received at the Closing offset by the transaction expenses. Transaction expenses paid at the Closing for the Merger and PIPE Financing were approximately $20.1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Merger,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1460"/>
                <wp:effectExtent l="0" t="0" r="0" b="0"/>
                <wp:wrapNone/>
                <wp:docPr id="31" name="Frame3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Financing Costs Related to Issuance of Convertible Promissory Notes – Related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Costs Related to Issuance of Convertible Promissory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Financing costs related to issuance of convertible promissory notes represents the excess of the fair value of the convertible promissory notes over the proceeds received, if any, as well as direct financing costs paid in cash at issuance.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 in Fair Value of Convertible Promissory Notes – Related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to related parties represents the fair value adjustment to mark the convertible promissory note liability to fair value.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Change in Fair Value of Convertible Promissory Notes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represents the fair value adjustment to mark the convertible promissory note liability to fair value.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represents the fair value adjustment to mark the warrant liabilities to fair value based on changes in the underlying equity valuation.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(Expenses)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1460"/>
                <wp:effectExtent l="0" t="0" r="0" b="0"/>
                <wp:wrapNone/>
                <wp:docPr id="32" name="Frame3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Factorial’s other income (expense) consists of interest income from interest-bearing accounts, interest expense, and the effects of foreign currency.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to the Three and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Factorial’s historical operating results for the periods indicated:</w:t>
      </w:r>
    </w:p>
    <w:tbl>
      <w:tblPr>
        <w:tblW w:w="10205" w:type="dxa"/>
        <w:jc w:val="left"/>
        <w:tblInd w:w="0" w:type="dxa"/>
        <w:tblLayout w:type="fixed"/>
        <w:tblCellMar>
          <w:top w:w="28" w:type="dxa"/>
          <w:left w:w="28" w:type="dxa"/>
          <w:bottom w:w="28" w:type="dxa"/>
          <w:right w:w="28" w:type="dxa"/>
        </w:tblCellMar>
      </w:tblPr>
      <w:tblGrid>
        <w:gridCol w:w="2541"/>
        <w:gridCol w:w="2157"/>
        <w:gridCol w:w="2170"/>
        <w:gridCol w:w="109"/>
        <w:gridCol w:w="109"/>
        <w:gridCol w:w="109"/>
        <w:gridCol w:w="211"/>
        <w:gridCol w:w="780"/>
        <w:gridCol w:w="109"/>
        <w:gridCol w:w="109"/>
        <w:gridCol w:w="109"/>
        <w:gridCol w:w="109"/>
        <w:gridCol w:w="211"/>
        <w:gridCol w:w="780"/>
        <w:gridCol w:w="109"/>
        <w:gridCol w:w="109"/>
        <w:gridCol w:w="109"/>
        <w:gridCol w:w="109"/>
        <w:gridCol w:w="156"/>
      </w:tblGrid>
      <w:tr>
        <w:trPr/>
        <w:tc>
          <w:tcPr>
            <w:tcW w:w="254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44"/>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(6,379)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(4,657)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(12,961)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(11,402)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liabilities for Series B-1 and Series D redeemable convertible preferred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 for Series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other income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1,620</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833</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(11,341)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(10,569)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(11,341)</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(10,569)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1460"/>
                <wp:effectExtent l="0" t="0" r="0" b="0"/>
                <wp:wrapNone/>
                <wp:docPr id="33" name="Frame3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41"/>
        <w:gridCol w:w="2157"/>
        <w:gridCol w:w="2170"/>
        <w:gridCol w:w="109"/>
        <w:gridCol w:w="109"/>
        <w:gridCol w:w="109"/>
        <w:gridCol w:w="211"/>
        <w:gridCol w:w="780"/>
        <w:gridCol w:w="109"/>
        <w:gridCol w:w="109"/>
        <w:gridCol w:w="109"/>
        <w:gridCol w:w="109"/>
        <w:gridCol w:w="211"/>
        <w:gridCol w:w="780"/>
        <w:gridCol w:w="109"/>
        <w:gridCol w:w="109"/>
        <w:gridCol w:w="109"/>
        <w:gridCol w:w="109"/>
        <w:gridCol w:w="156"/>
      </w:tblGrid>
      <w:tr>
        <w:trPr/>
        <w:tc>
          <w:tcPr>
            <w:tcW w:w="254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(8,524)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(13,499)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(10,928)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20"/>
              </w:rPr>
            </w:pPr>
            <w:r>
              <w:rPr>
                <w:rFonts w:ascii="Times New Roman;serif" w:hAnsi="Times New Roman;serif"/>
                <w:b w:val="false"/>
                <w:color w:val="231F20"/>
                <w:sz w:val="20"/>
              </w:rPr>
              <w:t>(11,025)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(19,452)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231F20"/>
                <w:sz w:val="20"/>
              </w:rPr>
            </w:pPr>
            <w:r>
              <w:rPr>
                <w:rFonts w:ascii="Times New Roman;serif" w:hAnsi="Times New Roman;serif"/>
                <w:b/>
                <w:color w:val="231F20"/>
                <w:sz w:val="20"/>
              </w:rPr>
              <w:t>(24,524)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costs related to issuance of convertible promissory notes –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warrant liabilities for Series B-1 and Series D redeemable convertible preferred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 for Series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other income (expenses),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1,085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(19,916)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(23,439)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44"/>
              <w:jc w:val="left"/>
              <w:rPr>
                <w:sz w:val="4"/>
                <w:szCs w:val="4"/>
              </w:rPr>
            </w:pPr>
            <w:r>
              <w:rPr>
                <w:sz w:val="4"/>
                <w:szCs w:val="4"/>
              </w:rPr>
            </w:r>
          </w:p>
        </w:tc>
      </w:tr>
      <w:tr>
        <w:trPr/>
        <w:tc>
          <w:tcPr>
            <w:tcW w:w="68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(19,916)</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(23,439)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$0.2 million, or 2.4%, for the three months ended June 30, 2026 compared to the three months ended June 30, 2025, primarily the result of lower facility costs from the closing of our Methuen facility in October 2025 offset by increased research and development activities and engineering services.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$5.0 million, or 36.9%, for the six months ended June 30, 2026 compared to the six months ended June 30, 2025. The decline primarily resulted from the recognition of $3.6 million of expense reimbursements from joint development partners for the six months ended June 30, 2026, compared to $0.2 million for the six months ended June 30, 2025. The decrease is also attributed to lower facility costs from the closing of our Methuen facility.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$1.7 million, or 37.0%, for the three months ended June 30, 2026 compared to the three months ended June 30, 2025, primarily driven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professional fees, including legal, audit, and advisory services;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marketing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$0.1 million, or 0.9%, for the six months ended June 30, 2026 compared to the six months ended June 30, 2025. This was primarily due to a decrease in stock-based compensation expense. This was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professional fees, including legal, audit, and advisory services;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 increase in marketing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Financing Costs Related to Issuance of Convertible Promissory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we issued convertible promissory notes under which we could receive aggregate proceeds of up to $5.4 million. During the three and six months ended June 30, 2026, we received proceeds of $1.0 million and $5.3 million, respectively.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 - Related Parties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convertible promissory notes to related parties increased by $2.4 million and $3.8 million for the three and six months ended June 30, 2026, respectively. These notes were issued in August 2025. Changes in fair value of convertible promissory notes to related parties are non-cash and are included in net loss. Upon the consummation of the Merger, all principal and accrued interest for the convertible promissory notes to related parties were converted into shares of Series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1460"/>
                <wp:effectExtent l="0" t="0" r="0" b="0"/>
                <wp:wrapNone/>
                <wp:docPr id="34" name="Frame3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our convertible promissory notes to related parties increased by $1.0 million and $1.3 million for the three and six months ended June 30, 2026, respectively. These notes were issued in January 2026. Changes in fair value of convertible promissory notes to related parties are non-cash and are included in net loss. Upon the consummation of the Merger, all principal and accrued interest for the convertible promissory notes were converted into shares of Series A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 in Fair Value of Series B-1 and Series D Warrant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fair value of our Series B-1 and Series D warrant liabilities increased by $0.3 million and $0.4 million for the three and six months ended June 30, 2026, respectively. There was no change in fair value of our warrant liabilities for the three and six months ended June 30, 2025. Changes in fair value of warrant liabilities are non-cash and are included in net loss. Upon the consummation of the Merger, the Series B-1 and Series D warrants were exercised cashless for shares of Series A Common Stock.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Liability for Series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fair value of our warrant liability for Series A Common Stock decreased by $4.7 million for the three and six months ended June 30, 2026, respectively. These warrants were reclassified from equity to liability as a result for the de-SPAC transaction. No warrant liability was present in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$0.3 million for the three months ended June 30, 2026, compared to the three months ended June 30, 2025, primarily due to fluctuations in the effects of foreign exchange.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decreased by $0.8 million for the six months ended June 30, 2026, compared to the six months ended June 30, 2025, due to fluctuations in the effects of foreign exchange offset by a reduction of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Since inception, we have financed our operations primarily from the sales of preferred and convertible preferred stock, equity-linked securities, and capital raised through our de-SPAC Transaction and PIPE Financing. As of June 30, 2026, our principal sources of liquidity were our cash and cash equivalents in the amount of $112.8 million. Our cash equivalents are invested primarily in U.S. Treasury money market funds.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Factorial has yet to generate any revenue from its business operations. To date, Factorial has funded its capital expenditure and working capital requirements primarily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Factorial’s cash and cash equivalents amounted to $112.8 million. Factorial received net proceeds of approximately $92.0 million in connection with the Merger. In connection with the Merger, the holders of 23,051,313 CGC Class A Shares exercised their right to redeem their shares for cash at a redemption price of approximately $10.42 per share, for an aggregate redemption amount of approximately $240.1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expects its capital expenditures and working capital requirements to increase materially in the near future, as it seeks to accelerate its research and development efforts and scale up the production operations with its OEM partners. Factorial expects to satisfy early demand for its solid-state battery products by expanding its existing fabrication line operations in South Korea and the United States, to support initial commercial production. During the six months ended June 30, 2026, Factorial paid capital expenditures for such expansion of approximately $0.6 million and expects to incur capital expenditures of approximately $12.0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Factorial believes that its cash on hand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1460"/>
                <wp:effectExtent l="0" t="0" r="0" b="0"/>
                <wp:wrapNone/>
                <wp:docPr id="35" name="Frame3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chain challenges, competitive pressures, and regulatory or permitting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Factorial’s cash flow data for the periods indicated:</w:t>
      </w:r>
    </w:p>
    <w:tbl>
      <w:tblPr>
        <w:tblW w:w="7255" w:type="dxa"/>
        <w:jc w:val="left"/>
        <w:tblInd w:w="0" w:type="dxa"/>
        <w:tblLayout w:type="fixed"/>
        <w:tblCellMar>
          <w:top w:w="28" w:type="dxa"/>
          <w:left w:w="28" w:type="dxa"/>
          <w:bottom w:w="28" w:type="dxa"/>
          <w:right w:w="28" w:type="dxa"/>
        </w:tblCellMar>
      </w:tblPr>
      <w:tblGrid>
        <w:gridCol w:w="1527"/>
        <w:gridCol w:w="1342"/>
        <w:gridCol w:w="1346"/>
        <w:gridCol w:w="211"/>
        <w:gridCol w:w="796"/>
        <w:gridCol w:w="109"/>
        <w:gridCol w:w="109"/>
        <w:gridCol w:w="109"/>
        <w:gridCol w:w="109"/>
        <w:gridCol w:w="211"/>
        <w:gridCol w:w="796"/>
        <w:gridCol w:w="109"/>
        <w:gridCol w:w="109"/>
        <w:gridCol w:w="109"/>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Amount in thousands</w:t>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2026 was $11.4 million, and was driven primarily by the net loss of $19.9 million. This was offset by: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$2.9 million increase in accrued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$1.0 million decrease in receivables under collaboration agreements;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non-cash expenses of $6.3 million, which primarily consisted of: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fair value of our promissory notes (including related parties) of $5.1 million;</w:t>
      </w:r>
    </w:p>
    <w:p>
      <w:pPr>
        <w:pStyle w:val="TextBody"/>
        <w:bidi w:val="0"/>
        <w:spacing w:lineRule="auto" w:line="288" w:before="120" w:after="283"/>
        <w:ind w:left="0" w:right="0" w:hanging="360"/>
        <w:jc w:val="both"/>
        <w:rPr/>
      </w:pPr>
      <w:r>
        <w:rPr>
          <w:color w:val="000000"/>
        </w:rPr>
        <w:t xml:space="preserve">◦ </w:t>
      </w:r>
      <w:r>
        <w:rPr>
          <w:rFonts w:ascii="Times New Roman;serif" w:hAnsi="Times New Roman;serif"/>
          <w:b w:val="false"/>
          <w:color w:val="000000"/>
          <w:sz w:val="20"/>
        </w:rPr>
        <w:t xml:space="preserve">stock-based compensation of $2.6 million;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depreciation and amortization of non-cash lease expense of $2.4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This was offset by the change in fair value of our warrant liability for Series A Common Stock of $4.7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for the six months ended June 30, 2025 was $13.1 million, and was driven primarily by the net loss of $23.4 million and offset by non-cash expenses of $10.0 million, which primarily consisted of stock-based compensation of $5.6 million and depreciation expense of $4.4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$0.6 million for the six months ended June 30, 2026, was primarily the result of purchases of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$0.2 million for the six months ended June 30, 2025, was primarily the result of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1460"/>
                <wp:effectExtent l="0" t="0" r="0" b="0"/>
                <wp:wrapNone/>
                <wp:docPr id="36" name="Frame3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 June 30, 2026, Factorial has financed its operations primarily through the sale of equity and equity-linked securities.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$96.1 million for the six months ended June 30, 2026 was primarily driven by: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Net proceeds received from the reverse recapitalization and PIPE Financing of </w:t>
      </w:r>
      <w:r>
        <w:rPr>
          <w:rFonts w:ascii="Times New Roman;serif" w:hAnsi="Times New Roman;serif"/>
          <w:b w:val="false"/>
          <w:color w:val="000000"/>
          <w:sz w:val="20"/>
        </w:rPr>
        <w:t>$92.0 million</w:t>
      </w:r>
      <w:r>
        <w:rPr>
          <w:rFonts w:ascii="Times New Roman;serif" w:hAnsi="Times New Roman;serif"/>
          <w:b w:val="false"/>
          <w:color w:val="231F20"/>
          <w:sz w:val="20"/>
        </w:rPr>
        <w: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 xml:space="preserve">Issuance of convertible promissory notes of </w:t>
      </w:r>
      <w:r>
        <w:rPr>
          <w:rFonts w:ascii="Times New Roman;serif" w:hAnsi="Times New Roman;serif"/>
          <w:b w:val="false"/>
          <w:color w:val="000000"/>
          <w:sz w:val="20"/>
        </w:rPr>
        <w:t>$5.3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Offset by the payment of deferred financing costs of $1.3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$0.4 million for the six months ended June 30, 2025 was primarily driven by the principal paid on the Methuen lease that terminated in October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leases its headquarters space in Billerica, Massachusetts (the “Billerica Sublease”) under a single sublease classified as an operating lease expiring on October 30, 2032. The Billerica Sublease does not contain any provision for an extension. Factorial also leased laboratory and office space in Tallahassee, Florida (the “Tallahassee Lease”) under a single lease classified as an operating lease that expired at the end of its term on February 28,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is not a party to any off-balance sheet arrangements, as defined under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Except for the addition of the critical accounting policy for Private Placement Warrants and critical accounting estimate related to the valuation of our warrant liability for the 6,800,000 redeemable private placement warrants for Series A Common Stock (the “Private Warrants”) described below, there have been no significant changes to our critical accounting policies in the preparation of our condensed consolidated financial statements during the three and six months ended June 30, 2026 compared to those disclosed in our audited annual consolidated financial statements for the year ended December 31, 2025, included in the Proxy Statement/Prospectus.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Private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evaluated the Private Warrants under ASC 815-40 and concluded that the Private Warrants do not meet the criteria for equity classification because certain settlement provisions differ depending on whether the warrants are held by the Sponsor or its permitted transferees. Because the holder of the instrument is not an input into the pricing of a fixed-for-fixed option on equity shares, the Private Warrants are not indexed to the Company’s own stock. Accordingly, the Private Warrants are classified as liabilities and measured at fair value at each reporting date, with changes in fair value recognized in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for the addition of the critical accounting estimate related to the valuation of our warrant liability for Private Warrants described below, there have been no significant changes to our critical accounting estimates in the preparation of our condensed consolidated financial statements during the three and six months ended June 30, 2026 compared to those disclosed in our audited annual consolidated financial statements for the year ended December 31, 2025, included in the Proxy Statement/Prospectus. Our warrant liability for Series A Common Stock was recorded in connection with the Merger and did not exist as of December 31, 2025; accordingly, it was not identified as a critical accounting estimate in the Proxy Statement/Prospectus.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1460"/>
                <wp:effectExtent l="0" t="0" r="0" b="0"/>
                <wp:wrapNone/>
                <wp:docPr id="37" name="Frame3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Private Warrant Liability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we assumed 6,800,000 Private Warrants that are classified as liabilities and remeasured at fair value each reporting period, with changes recognized in change in fair value of warrant liabilities within other income (expense), net. The liability was $45 million as of June 30, 2026, and we recognized a gain of $4.7 million on remeasurement for the period then ended.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the Private Warrants using a Black-Scholes model. The exercise price and contractual term are fixed by the warrant agreement, the risk-free interest rate is observable, and we assume no dividend yield. Expected volatility is the only significant unobservable input to the model, and it is a management estimate. Accordingly, the Private Warrants are classified within Level 3 of the fair value hierarchy.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expected volatility based on the historical volatility of a group of comparable publicly traded companies, measured over a period commensurate with the expected remaining term of the warrants, because the Company’s common stock had limited trading history as of the valuation dates, expected volatility was estimated using the historical volatility of selected comparable publicly traded companies over a period commensurate with the remaining contractual term of the Private Warrants. Management also considered whether implied volatility could be derived from the 13,800,000 redeemable public warrants for Series A Common Stock (the “Public Warrants). The calculation produced a result outside the range we consider reasonable for a company at our stage of development and we concluded it was not a reliable input. Identifying the comparable companies and selecting the measurement period each require judgment, and a different but supportable selection could produce a different volatility assumption and a materially different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Expected volatility was 68.5% at initial measurement and 68.7% as of June 30, 2026. Significant increases or decreases in expected volatility, in isolation, would result in significantly higher or lower fair value measurements, respectively. Holding all other inputs constant, an increase by 10% in the volatility input to 78.7% as of June 30, 2026 would increase the fair value of the Private Warrants by approximately $4.4 million and a decrease of 10% to 58.7% as of June 30, 2026 would decrease the fair value of the Private Warrants by approximately $4.7 million, in each case with a corresponding effect on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Emerging Growth Company Statu</w:t>
      </w:r>
      <w:r>
        <w:rPr>
          <w:rFonts w:ascii="Times New Roman;serif" w:hAnsi="Times New Roman;serif"/>
          <w:b w:val="false"/>
          <w:color w:val="000000"/>
          <w:sz w:val="20"/>
        </w:rPr>
        <w: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Factorial is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Factorial may continue to qualify as an “emerging growth company” after the Merger until the earliest of (i) such time as of which it is a “large accelerated filer”, (ii) its annual gross revenues exceed $1.235 billion, (iii) it issues more than $1 billion of non-convertible debt securities during a three-year period or (iv) the end of the fifth fiscal year after CGC’s initial public offering (“IPO”), which occurred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 to the audited consolidated financial statements included elsewhere in the Proxy Statement/Prospectus for more information about recent accounting pronouncements, the timing of their adoption, and Factorial’s assessment, to the extent it has made one, of their potential impact on Factorial’s financial condition and its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interest risk in Factorial’s financial instruments and financial positions represents the potential loss arising from adverse changes in interest rates. As of June 30, 2026, we had cash and cash equivalents of $112.8 million and restricted cash of $0.9 million, substantially all of which was held in interest-bearing accounts for which the fair market value would be affected by change in the general level of U.S. interest rates. However, due to the short-term maturities and the low-risk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1460"/>
                <wp:effectExtent l="0" t="0" r="0" b="0"/>
                <wp:wrapNone/>
                <wp:docPr id="38" name="Frame3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profile of our investments, an immediate 10% change in the interest rate would not have a material effect on the fair market value of our cash and cash equivalents. A significant change in interest rates may also have an impact on the valuation of our equity and equity-linked instruments, as discussed in “Equity Valuations.” This could cause a material change in the carrying value of our equity and equity-linked instruments.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Factorial’s U.S. entities and certain foreign subsidiaries have the U.S. dollar as their functional currency, while Factorial’s South Korean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conducted an evaluation of the effectiveness of the design and operation of our disclosure controls and procedures, as defined in Rules 13a-15(e) and 15d-15(e) under the Exchange Act of 1934, as amended (the “Exchange Act”), as of the end of the period covered by this Quarterly Report. Based on the evaluation of our disclosure controls and procedures, our Chief Executive Officer and Chief Financial Officer concluded that our disclosure controls and procedures were not effective at the reasonable assurance level as of June 30, 2026 due to the material weakness in our internal control over financial reporting described below.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Previously Reported Material Weakness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remediate this material weakness, since December 2025, we have increased staffing of our technical accounting team and added additional headcount to our finance team, including a chief financial officer, a director of technical accounting and SEC reporting, an accounting manager, and a staff accountant. During 2026, the Company plans to engage outside consultants to advise on the internal audit function and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we are making progress toward achieving effectiveness of our internal control over financial reporting. The actions that we are taking are subject to ongoing management review and Audit Committee oversight. We will not be able to conclude whether the steps we are taking will fully remediate the material weakness in our internal control over financial reporting until we have completed our remediation efforts and subsequently evaluated the design and effectiveness of newly added controls over a sufficient period of time, and management concludes, through testing, that these are operating effectively. We may also conclude that additional measures are required to remediate the material weakness in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Except for the remediation measures in connection with the material weakness described above, there were no changes in our internal control over financial reporting, as defined in Rules 13a-15(f) and 15d-15(f) under the Exchange Act, that occurred during the quarter ended June 30, 2026 that materially affected, or are reasonably likely to materially affect, our internal control over financial reporting.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Limitation on Effectiveness of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principal executive officer and principal financial officer, do not expect that our disclosure controls or our internal control over financial reporting will prevent all errors and all fraud. A control system, no matter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1460"/>
                <wp:effectExtent l="0" t="0" r="0" b="0"/>
                <wp:wrapNone/>
                <wp:docPr id="39" name="Frame3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40" name="Frame4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in the ordinary course of business, we are subject to litigation and regulatory examinations as well as information gathering requests, inquiries and investigations. As of the date of this Quarterly Report, there were no such matters which we believe would have a material adverse impact on our business, operating results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Investing in our Series A Common Stock involves a high degree of risk. You should carefully read and consider all of the risks described below, as well as the other information in this Quarterly Report, including our financial statements and the related notes and the section titled “Management’s Discussion and Analysis of Financial Condition and Results of Operations,” and in other documents we file with the SEC when evaluating our business.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Series A Common Stock could decline, and you may lose all or part of your investment. The risks described below are not intended to be exhaustive and are not the only risks that we face. Additional risks and uncertainties not presently known to us or that we currently deem immaterial also may impair our business operations and the market price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Summary of Risk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development of batteries is complex and the timing of development cannot be assured. Delays in the development of Factorial Energy’s batteries could adversely affect Factorial Energy’s business and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is an early-stage company with a history of financial losses and expects to incur significant expenses and continuing losses from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business plan has yet to be tested, and Factorial Energy may not succeed in executing on its strategic plans, including commercialization.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will need substantial additional capital in the future to fund its business and may be unable to meet its future capital requirements, impairing its financial position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ability to manufacture its batteries at scale depends on its ability to design, engineer, build, operate and staff its facilities successfully or to obtain third party manufacturing capacity and expertise. Factorial Energy may need to sell its products at a loss before reaching economies of scale.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relies on, and will continue to rely on, complex equipment for our operations. This equipment, and manufacturing generally, creates a significant degree of risk and uncertainty in terms of operational performance and costs. Factorial may not be able to establish new, or maintain existing, supply relationships for necessary raw materials, components or equipment or may be required to pay costs for raw materials, components or equipment that are more expensive than anticipated, which could delay the introduction of our products and negatively impact their business and ability to generate revenue and profits. Certain components of Factorial Energy batteries pose safety risks that may cause injury or death. Factorial Energy may be subject to financial and reputational risks due to product recalls and product liability claims, and we could face substantial liabilities that exceed our resources.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future growth and success depend in part on its ability to grow its customer base and effectively sell to a wide variety of customers. Failure to grow Factorial Energy’s customer base would adversely affect its business and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Energy’s business depends substantially on the continuing efforts of its senior executives and other key personnel as well as the ability to attract, train, and retain highly skilled employees and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EV battery market continues to evolve and is highly competitive, and certain other battery manufacturers have significantly greater resources, experience and scale than Factorial Energy does and have technologies that may be superior to Factorial Energy’s. As a result, Factorial Energy may not be able to produce its products at cost competitive prices.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unavailability, reduction, or elimination of government and economic incentives could have a material adverse effect on Factorial Energy’s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41" name="Frame4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will be controlled or substantially influenced by the Legacy Factorial Founders, whose interests may conflict with other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may become involved in lawsuits to protect or enforce its patent or other intellectual property rights, which could be expensive, time-consuming and unsuccessful.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has identified a material weakness in its internal control over financial reporting. If Factorial Energy is unable to remediate this material weakness or otherwise fails to maintain proper and effective internal controls, its ability to produce timely and accurate financial statements could be impaired, which could adversely affect its operating results, its stock price and access to the capital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There may not be an active trading market for Series A Common Stock, which may make it difficult to sell shares of Series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sales or issuances, or the perception of future sales or issuances, by Factorial Energy or its stockholders in the public market, including through conversion of Factorial Energy’s Series B common stock, par value $0.00001 per share (the “Series B Common Stock,” and together with the Series A Common Stock, the “Factorial Energy Common Stock”), could cause the market price for Factorial Energy’s securities to decline and dilution to Factorial Energy’s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Factorial Energy incurs significant expenses as a result of operating as a public company, and Factorial Energy’s management devotes substantial time to related compliance initiatives.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shd w:fill="FFFFFF" w:val="clear"/>
        </w:rPr>
        <w:t>We are c</w:t>
      </w:r>
      <w:r>
        <w:rPr>
          <w:rFonts w:ascii="Times New Roman;serif" w:hAnsi="Times New Roman;serif"/>
          <w:b w:val="false"/>
          <w:color w:val="000000"/>
          <w:sz w:val="20"/>
        </w:rPr>
        <w:t>urrently in a period of economic uncertainty and capital markets disruption, which has been significantly impacted by the current U.S. presidential administration and accompanying regulatory activities and economic policies, and events related thereto, ongoing military conflicts and geopolitical instability and inflation and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231F20"/>
          <w:sz w:val="20"/>
          <w:shd w:fill="FFFFFF" w:val="clear"/>
        </w:rPr>
        <w:t xml:space="preserve">Factorial Energy’s actual financial position and results of operations may differ materially from the unaudited pro forma financial information included in our prior filings.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the Development and Commercialization of Our Batteries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development of batteries is complex and the timing of development cannot be assured. Delays in the development of our batteries could adversely affect our business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Developing solid-state batteries that meet the requirements for wide adoption by automotive OEMs is a difficult undertaking and, as far as we are aware, has never been done at massive commercial scale. We continue to develop our technology and face significant challenges in completing the development of our battery cells and in producing battery cells in commercial volumes with acceptable performance, quality, consistency, reliability, throughput, safety, and costs. Some of the development challenges include increasing and maintaining the quality, consistency, reliability and production throughput of our cells, increasing manufacturing scale to produce the volume of cells needed for our technology development and customer applications, installing, bringing up and optimizing higher throughput equipment, packaging design and engineering to ensure adequate cycle life and charging time, cost reduction, and completion of the rigorous and challenging specifications required by our automotive partners, including but not limited to, calendar life, mechanical, safety, and abuse testing.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previously been unable to satisfy delivery deadlines through the manufacturing of our own batteries and have needed to purchase batteries manufactured by a third party based outside the United States to satisfy such deadlines. If we are required to purchase third party batteries to satisfy delivery deadlines in the future, we may incur substantial costs for such purchases. In addition, we are subject to product liability, reputational and other risk for the performance of third party batteries that we may purchase and resell or package together with the batteries that we manufacture.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delay in the development or manufacturing scale-up of our solid-state battery cells would negatively impact our business as it will delay time to revenue and negatively impact our collaboration partner and customer relationships.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unable to adequately control the costs associated with our operations and the components necessary to develop and commercialize our solid-state battery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require significant capital to develop our solid-state battery technology. As we develop our technologies and scale our operations, we expect to continue to incur significant expenses, including those relating to research and development, material or component procurement, leases, sales, and distribution. Our ability to become profitable in the future will depend on our ability to successfully develop and market our products as well as our ability to control our costs, including our labor and material costs. If we are unable to efficiently design, appropriately price, and sell and distribute our products, our anticipated margins, profitability, and prospects would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51485"/>
                <wp:effectExtent l="0" t="0" r="0" b="0"/>
                <wp:wrapNone/>
                <wp:docPr id="42" name="Frame4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prospects, including our ability to control costs, could be adversely impacted by changes in macroeconomic conditions, such as changes in administration, inflation, interest rates, slower growth or recession, tariffs, international conflicts, trade disputes, sanctions, and government efforts to stimulate or stabilize the economy. Changes in macroeconomic conditions could happen rapidly, and we may fail to prevent or limit our losses or exposures.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costs related to procuring materials and components required to manufacture and assemble our samples and batteries. We expect to use various materials and components in our batteries that will require us to negotiate purchase agreements and delivery lead-times on advantageous terms. We and our partners may not be able to control fluctuation in the prices for these materials or components or negotiate agreements with suppliers on terms that are beneficial to us or our partners. Our business depends on the continued supply of certain proprietary materials and components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raw materials or our components would increase our operating costs and negatively impact our prospects. For example, our shipping costs have increased in the past. Costs for certain key raw materials and components have also increased due to fluctuations in global commodity prices. Our and our partners’ manufacturing operations can consume significant amounts of electricity and are dependent on reliable and economical sources of power. Transformations in technologies like artificial intelligence, data center expansion, new domestic manufacturing, and electrification in different sectors could increase the demand for electricity and result in significant increases in the cost of securing power. Our inability to secure sufficient power or any planned power outages by public utilities, unplanned power outages, including, but not limited to, those relating to large storms, earthquakes, fires, tsunamis, cyberattacks, physical attacks on utility infrastructure, war, and any failures of electrical power grids more generally, shortages, supply chain issues, capacity constraints, or significant increases in the cost of securing power could have an adverse effect on our business, operating results, financial condition, and future prospects. Our suppliers’ increasing labor costs have also contributed to rising prices. Given that we have yet to generate any revenue from our business operations, we are also limited in our ability to pass on the cost of any such increases to 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cost of producing battery cells depends in part upon the prices and availability of raw materials such as lithium, nickel, cobalt and/or other metals, which are part of the intermediate materials and components that we procure to produce our batteries. Changes in demand, cost and availability of raw materials could affect the demand, cost and availability of the intermediate materials and components that we procure to produce our batteries. The prices for these raw materials, intermediate materials and components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This rise in demand for lithium could affect the price and availability of the intermediate materials and components that contain lithium and which we procure to produce our batteries.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accurately estimate the future supply and demand for our batteries, which could result in a variety of inefficiencies in our business and hinder our ability to generate revenue and profits.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anticipate being required to provide forecasts of our demand to our current and future suppliers prior to the scheduled delivery of products to potential customers and collaboration partners. Currently, there is limited historical basis for making judgments on the demand for our batteries and our ability to develop, manufacture, and deliver our battery products. In addition, at least initially, we expect to depend on a limited number of customers and collaboration partners for a significant portion of our anticipated demand, which increases the risk that changes in the purchasing behavior of any one customer or collaboration partner could materially impact our operations. Our customers’ and collaboration partners’ final purchase orders may not be consistent with our estimates and may be reduced, delayed or cancelled at any time, including as a result of changes in their business plans, market conditions or internal priorities.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If we overestimate our requirements, our suppliers may deliver excess inventory, which indirectly would increase our costs and may result in unprofitable sales or write-offs. In addition, if one or more of our customers or collaboration partners reduce the volume of batteries they purchase from us, we may be unable to achieve anticipated production volumes or economies of scale, which could increase our per-unit manufacturing costs and adversely affect our margins. Given that our batteries may be customized to meet our customers’ and collaboration partners’ specifications, they are susceptible to obsolescence due to their limited shelf life. Because we have no history of large-scale production, we may also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51485"/>
                <wp:effectExtent l="0" t="0" r="0" b="0"/>
                <wp:wrapNone/>
                <wp:docPr id="43" name="Frame4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forecast accurately the pace of manufacturing or the take-up of our battery products by our customers and collaboration partners.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underestimate our requirements, our suppliers may have inadequate inventory, which could interrupt manufacturing of our battery products and result in delays in shipments and revenues. In addition, lead times for materials and components that our suppliers order may vary significantly and depend on factors unique to the specific supplier, contract terms and demand for each component at a given time. If we fail to order sufficient quantities of battery components in a timely manner, the delivery of our batteries to our potential customers and collaboration partners could be delayed, which would harm our business, financial condition and results of operations. Producing additional battery products to make up for any shortages within a short time frame may be difficult, making us unable to fulfill the purchase orders, especially due to the customized nature of our batteries. In either case, our business, financial condition, results of operations and prospects may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success and timing of development activity;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unanticipated technical or manufacturing challenges or delays;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technological developments relating to solid-state or other batteries that could adversely affect the commercial potential of our technologies;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we can obtain sufficient capital to continue our research and development activities, secure manufacturing capacity and sustain and grow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developments in our collaborations with Mercedes-Benz, Stellantis, Hyundai/Kia, PowerCo SE and Karma Automotive, including termination of any joint development / cooperation agreement with Mercedes-Benz, Stellantis, Hyundai/Kia, or PowerCo SE or of the supply agreement with Karma Automotive, cancellation of such agreements or the reduction or cancellation of orders thereunder, delays in achieving the milestones set forth in such agreements or failing to meet the milestones prerequisite to our entering into future agreements with new or existing collaboration partners;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development with other development partners and customers, current and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whether we can manage relationships with key suppliers;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retain existing key management, integrate recent hires and attract, retain and motivate qualified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domestic and foreign trade policies, including tax and tariff policies;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overall strength and stability of domestic and international economies.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Unfavorable changes in any of these or other factors, most of which are beyond our control, could materially and adversely affect our ability to achieve our objectives when planned and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our existing customers with whom we have collaboration agreements do not make purchases from us, we will not receive revenue from such customers, and our results of operations would be adversely impacted.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Increasing the size and number of the deployments of our existing customers and collaboration partners is an important part of our growth strategy. Negotiating and obtaining customer orders from the parties with whom we currently have collaboration agreements for the development of our batteries will be important to our ability to begin generating revenue. We may not be effective in executing this or any other aspect of our growth strategy. It is not possible for us to predict the future level of demand from our customers or collaboration partners for our battery products, and there can be no assurance that our existing customers and collaboration partners will continue to purchase from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51485"/>
                <wp:effectExtent l="0" t="0" r="0" b="0"/>
                <wp:wrapNone/>
                <wp:docPr id="44" name="Frame4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Achieving renewal or expansion of deployments may require us to increasingly engage in sophisticated and costly sales efforts that may not result in additional sales. In addition, our existing customers’ and collaboration partners’ decisions to expand the use of our battery products depends on a number of factors, including general economic conditions, the functioning of our batteries, and our existing customers’ and collaboration partners’ satisfaction with our battery products. If our efforts to expand within our customer base are not successful, our business may suffer.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unable to integrate our products into high spec or automotive applications on commercially reasonable terms or at all, our results of operations could be impaired.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battery cells typically are integrated into modules or packs, which in turn are integrated into battery- powered products. OEMs often require unique configurations or custom designs for batteries for their products. Once we enter into contracts with OEMs to produce batteries for their products, we expect to tailor the design of our batteries specifically to the requirements of the OEM product, module, or pack. This development process requires not only substantial lead time between the commencement of design efforts for customized batteries and the commencement of volume shipments of the battery cells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and prospects may be damaged.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future growth and success depend in part on our ability to grow our customer base and effectively sell to a wide variety of customers. Failure to grow our customer base would adversely affect our business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success will depend on our ability to grow our customer base beyond the partners with whom we are currently collaborating on the development of our batteries and effectively sell to a wide variety of customers. Given our currently limited customer base, any one customer may reduce, delay or fail to honor its forecasted or committed purchase volumes, and in such circumstances we may have limited contractual or practical leverage to enforce such commitments, as pursuing legal remedies, including claims for breach of contract, may be impractical, costly or commercially undesirable. Additionally, potential customers include manufacturers of products that tend to be large enterprises or governmental agencies. Sales to these end-users involve risks that may not be present (or that are present to a lesser extent) with sales to smaller customers. These risks include, but are not limited to, (i) increased purchasing power and leverage held by large customers in negotiating contractual arrangements with us and (ii) longer sales cycles and the associated risk that substantial time and resources may be spent on a potential end-user that elects not to purchase our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Large organizations, including most major auto manufacturers, as well as certain potential end-users such as government agencies, often undertake a significant evaluation process that results in a lengthy sales cycle. In addition, product purchases by large organizations are frequently subject to budget constraints, multiple approvals and unanticipated administrative, processing and other delays. Finally, large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were unable to obtain or increase orders from our existing customers and collaboration partners or generate new customers or collaboration partners in a cost-effective manner, our business, financial condition and results of operations would likely be adversely affected. We cannot provide assurance that we will be able to maintain or grow our customer base in a cost-effective way. If we are unable to develop high quality products at scale, or introduce new products, we may fail to attract new customers and collaboration partners or lose our existing customers and collaboration partners, which could adversely affect our growth and profitability.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currently manufacture batteries outside of the United States. If purchasers choose to avoid procuring batteries manufactured outside of the United States or if we are unable to obtain adequate export licenses, we may be required to establish additional manufacturing facilities within the United States, which could decrease our revenue and/or earnings and our prospects may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fabricate our battery cells in Billerica, Massachusetts and South Korea, where our Korean manufacturing site represents a majority of our batteries’ production capacity. Certain of our battery cells are manufactured for customers in the defense and national security sector and the production of such battery cells includes access to specifications that may be particularly sensitive to the national security considerations of our customers and their end users, which may heighten their sensitivity to permitting the manufacturing of such battery cells outside the United States. If customers choose to avoid sourcing batteries manufactured outside the United States, whether due to regulatory requirements, incentive eligibility, supply chain considerations, or customer preferences, we may be required to establish manufacturing facilities within the United States. In addition, we are required to obtain licenses to export our batteries outside of Korea. If we are unable to obtain export licenses for the quantities that we manufacture in Korea for customers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51485"/>
                <wp:effectExtent l="0" t="0" r="0" b="0"/>
                <wp:wrapNone/>
                <wp:docPr id="45" name="Frame4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elsewhere around the world, we would be required to relocate our manufacturing facilities. Establishing substantial U.S. manufacturing capabilities would require additional capital and time to design, construct, equip, and qualify such facilities. During this period, our revenues could decline, our cost structure could increase, and our ability to meet customer demand or execute our business strategy could be adversely affected. As a result, our business, financial condition, results of operations, and prospects may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the cost, performance characteristics or other specifications of the battery fall short of our targets or our customers’ or collaboration partners’ requirements, our ability to market and sell our batteries could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cost, performance characteristics or other specifications of the battery fall short of our targets or our customer or collaboration partner requirements, our sales, product pricing and margins would likely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battery cells must simultaneously satisfy all the commercial and safety requirements of our customers and collaboration partners. Although certain of our cells tested passed automotive performance and safety test levels,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Once commercial production of our solid-state battery cells commences, our batteries may contain defects in design and manufacture that may cause them to not perform as expected or that may require repairs, recalls, and design changes. Our batteries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detect and fix any defects in our solid-state batteries prior to the sale to potential consumers. If our batteries fail to perform as expected, we could lose design wins and customers or collaboration partners may delay deliveries, terminate further orders or initiate product recalls, each of which could adversely affect our sales and brand and could adversely affect our business, prospects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also manufacture batteries using a combination of our solid-state technology, including lithium metal anodes, and liquid electrolytes. Such battery cells may be inferior to our FEST or Solstice products and may have defects or additional safety risks in applicable FEST or Solstice products.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establish new, or maintain existing, supply relationships for necessary materials, components or equipment or may be required to pay costs for raw materials, components or equipment that are more expensive than anticipated, which could delay the introduction of our products and negatively impact our business and ability to generate revenue and profits.</w:t>
      </w:r>
    </w:p>
    <w:p>
      <w:pPr>
        <w:pStyle w:val="TextBody"/>
        <w:bidi w:val="0"/>
        <w:spacing w:lineRule="auto" w:line="288" w:before="120" w:after="283"/>
        <w:jc w:val="both"/>
        <w:rPr/>
      </w:pPr>
      <w:r>
        <w:rPr>
          <w:rFonts w:ascii="Times New Roman;serif" w:hAnsi="Times New Roman;serif"/>
          <w:b w:val="false"/>
          <w:color w:val="000000"/>
          <w:sz w:val="20"/>
        </w:rPr>
        <w:t>Currently, we are in product development and our product design has yet to be finalized, so our volume demand is limited, and we do not have long-term supply arrangements. As volume demand grows, we expect to negotiate long-term supply contracts. For our current product development needs, we source from third-party suppliers for materials, components and equipment necessary to develop and manufacture our proprietary materials (including but not limited to electrolyte) and battery cells. For more information, see “</w:t>
      </w:r>
      <w:r>
        <w:rPr>
          <w:rFonts w:ascii="Times New Roman;serif" w:hAnsi="Times New Roman;serif"/>
          <w:b w:val="false"/>
          <w:i/>
          <w:color w:val="000000"/>
          <w:sz w:val="20"/>
        </w:rPr>
        <w:t>Information About Factorial Energy - Manufacturing and Supply.</w:t>
      </w:r>
      <w:r>
        <w:rPr>
          <w:color w:val="00000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that, when our volume demand so requires, if we are unable to enter into long-term agreements with our current or future suppliers on beneficial terms, or such suppliers experience difficulties ramping up their supply to meet our long-term requirements at reasonable cost, we may need to seek alternative sources for necessary materials, components or equipment necessary to develop and manufacture our battery cells, produce the materials or additional components in-house, or redesign our proposed products to accommodate available substitutes. To the extent that our suppliers experience any delays in providing or developing their products, we could also experience delays in delivering on our timelines.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substantial portion of our materials, components and equipment are obtained from sources located in Korea or within a short distance of our manufacturing facilities in Korea. If we were to relocate our manufacturing facilities, we may have difficulty obtaining such supplies on comparable terms or may incur additional shipping costs to transport such supplies to our manufacturing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the price of materials (including raw materials), components and equipment could fluctuate significantly due to circumstances beyond our control. Substantial increases in prices would increase our operating costs and negatively impact our prospects. Any disruption in supply could also temporarily disrupt future research and development activities or production of our batteries until an alternative supplier is able to meet our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business conditions, unforeseen circumstances and governmental changes, as well as other factors beyond our control or which we do not presently anticipate, could affect our suppliers’ ability to deliver materials, components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51485"/>
                <wp:effectExtent l="0" t="0" r="0" b="0"/>
                <wp:wrapNone/>
                <wp:docPr id="46" name="Frame4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equipment to us on a timely basis. For instance, we may be impacted by currency fluctuations, trade barriers, tariffs or shortages and other general economic or political conditions (such as the ongoing military conflict between Russia and Ukraine, conflicts in the Middle East, and wider regional conflicts), which may limit our ability to obtain key materials or components for our batteries or significantly increase freight charges and other costs and expenses associated with our business. For more information, including the impact of current tariffs on us, see “</w:t>
      </w:r>
      <w:r>
        <w:rPr>
          <w:rFonts w:ascii="Times New Roman;serif" w:hAnsi="Times New Roman;serif"/>
          <w:b w:val="false"/>
          <w:i/>
          <w:color w:val="000000"/>
          <w:sz w:val="20"/>
        </w:rPr>
        <w:t>-General Risks - 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r>
        <w:rPr>
          <w:color w:val="000000"/>
        </w:rPr>
        <w:t xml:space="preserve">” </w:t>
      </w:r>
      <w:r>
        <w:rPr>
          <w:rFonts w:ascii="Times New Roman;serif" w:hAnsi="Times New Roman;serif"/>
          <w:b w:val="false"/>
          <w:color w:val="000000"/>
          <w:sz w:val="20"/>
        </w:rPr>
        <w:t>Any of the foregoing could materially and adversely affect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manufacture our batteries at scale depends on our ability to design, engineer, build, operate and staff our facilities successfully or to obtain third party manufacturing capacity and expertise. We may need to sell our products at a loss before reaching economies of scale.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we expect to rely heavily on complex machinery, well-trained personnel and a well-managed supply chain for our operations, our internal and outsourced production will involve a significant degree of uncertainty and risk in terms of operational capacity performance and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manufacturing facilities consist of large-scale machinery combining many components. Such machinery will require us to make intensive capital expenditures prior to our ability to earn any product revenue. The manufacturing facility machinery may suffer unexpected malfunctions from time to time and will depend on repairs and spare parts to resume operations, which may not be available when needed. Additionally, unexpected malfunctions of the manufacturing facility machinery may significantly affect the intended operational efficiency, thus materially and adversely affecting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production of our facilities also requires us to hire and train highly skilled personnel to operate such facilities, including engineers, workers, and indirect laborers. Recruiting and training such skilled staff takes significant cost and time, and an inability to do so timely or at all inhibits the successful operation of these facilities, thus negatively affecting our business. In addition, the manufacturing of our batteries at facilities requires us to obtain various production licenses and permits, receive the necessary internal approvals from our customers and collaboration partners regarding specifications and enter into agreements for the supply of materials, components and manufacturing tools and supplies. If we do not complete such steps in a timely manner, our manufacturing timeline or output could be significantly delayed or inhibited.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to satisfy early demand for our products by expanding our existing operations in the United States and South Korea, to support initial commercial production. We intend to scale primarily through a partner manufacturing model to support gigawatt-scale ramp-up in the automotive market, as well as select surge or opportunistic demand for high-spec applications. Our partner manufacturing approach consists of a combination of outsourced manufacturing through contract manufacturers and joint manufacturing arrangements with industrialization partners with existing cell manufacturing capacity. Industrialization partners may encounter problems during manufacturing for a variety of reasons, any of which could delay or impede their ability to meet demand for our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we rely on contract manufacturers or industrialization partners, we will have reduced visibility into, and control over, manufacturing processes, quality systems, workforce management, regulatory compliance and capacity allocation. Our ability to scale production is expected to depend in significant part on the availability, performance, and reliability of third-party manufacturers, including partners with whom we may only have non-binding arrangements or are still negotiating definitive agreements. Any failure by such manufacturers to meet our specifications, quality standards, production schedules, cost targets or regulatory requirements could result in production delays, increased costs, product defects, recalls, reputational harm or potential liability. Third-party manufacturers may also experience financial distress, capacity constraints, labor disruptions, supply shortages or other operational failures. Although our technology is designed to be compatible with existing lithium-ion manufacturing infrastructure, retrofitting or modifying third-party production lines may involve technical challenges, validation and requalification efforts, and regulatory or customer approvals, which could take longer or cost more than anticipated. Our agreements with such manufacturers may contain limitations of liability, caps on damages or termination rights that limit our remedies. If a manufacturing relationship is disrupted or terminated, transitioning production to an alternative manufacturer could require significant time and expense, including the transfer of tooling, validation and requalification of manufacturing lines, and regulatory or customer approvals. In addition, outsourcing manufacturing may require us to share proprietary technology, trade secrets and know-how with third parties, increasing the risk of intellectual property misappropriation, unauthorized use or disclosure, or development of competing products. Any disruption in third-party manufacturing could materially and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51485"/>
                <wp:effectExtent l="0" t="0" r="0" b="0"/>
                <wp:wrapNone/>
                <wp:docPr id="47" name="Frame4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Finally, the production of our batteries at scale and competitive cost will require us to achieve rates of throughput, use of electricity and consumables, yield, and rate of automation demonstrated for mature batteries and battery material. As we have not produced our batteries at a gigafactory scale, our ability to achieve such rates is untested and subject to significant constraints and uncertainties. Operational performance and costs can be difficult to predict and are often influenced by factors outside of our control, such as, but not limited to, environmental hazards and remediation, costs associated with commissioning of machines, damages or defects in electronic systems, industrial accidents, fire and seismic activity and natural disasters, and problems with equipment vendors. Should operational risks materialize, they may result in lower yield, which would negatively affect our revenue growth and profitability as projected. Additionally, they could cause personal injury to or death of workers, the loss of manufacturing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expect to expand and/or retrofit our existing manufacturing facilities and may, in the future, enter or lease new manufacturing facilities, all of which will require significant capital investment and may not be completed on a timely basis or operate as expected.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to expand, retrofit or upgrade our existing manufacturing facilities and, in the future, may need to lease or otherwise enter into new manufacturing facilities to support the development, scale-up and commercialization of our battery technology. These activities will require significant capital expenditures, management attention and operational resources, and may involve complex construction, installation, commissioning and qualification processes. We may encounter delays, cost overruns, supply chain constraints, permitting issues, labor shortages, equipment delivery delays or other unforeseen challenges in connection with the expansion or retrofit of existing facilities or the leasing of new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successful operation of expanded, retrofitted or newly established manufacturing facilities depends on our ability to design, install, integrate and operate new or modified equipment, processes and infrastructure at scale. Any failure to effectively integrate new facilities or manufacturing lines with our existing operations, or to achieve expected levels of throughput, yield, quality, safety or cost efficiency, could result in production disruptions, increased operating costs, delays in product development or commercialization, or reduced margins. In addition, new or retrofitted facilities may not operate as expected initially, and we may need to incur additional costs or make further modifications to achieve targeted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decisions regarding whether, when and where to expand or enter new manufacturing facilities are subject to numerous uncertainties, including customer demand, the availability and timing of financing, regulatory and permitting requirements, geopolitical and macroeconomic conditions, and the availability of qualified personnel. If we are unable to successfully expand, retrofit or bring new manufacturing facilities online in a timely and cost-effective manner, or if we commit resources to facilities that ultimately prove to be unnecessary or uneconomic, our business, financial condition, results of operations and prospects could be materially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the UAVs or EVs in which our batteries are installed do not meet certain standards, our business, results of operations and prospects could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products are expected to be used as components in UAVs and EVs. All vehicles sold must comply with applicable international, federal, and state UAV and motor vehicle safety standards, which vary by national and other jurisdictions. In the United States, vehicles that meet or exceed all federally mandated safety standards are certified under the federal regulations. Rigorous testing and the use of approved materials and equipment are among the requirements for achieving federal certification. Failure by our eventual UAV and EV manufacturing customers to satisfy motor vehicle standards could have a material adverse effect on our business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we may incur our own significant costs in complying with these regulations. Laws and regulations related to the UAV and EV industry and alternative energy are currently evolving and we face risks associated with changes to these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the extent laws and regulations become more stringent or otherwise change, our products or the UAVs or vehicles into which they are incorporated may not comply with applicable international, federal, state or local laws, which would have an adverse effect on our business. Compliance with changing laws and regulations could be burdensome, time consuming and expensive. To the extent compliance with new laws and regulations is cost prohibitive, our business, financial condition, results of operations and prospects would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Internationally, there may be laws and regulations in jurisdictions we have not yet entered or laws of which we are unaware in jurisdictions we have entered that may restrict our sales or other business practices. Even for those jurisdictions we have analyzed, the laws and regulations in this area can be complex, difficult to interpret and may change over time. Continued regulatory limitations and other obstacles interfering with our or our eventual customers’ or collaboration partners’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51485"/>
                <wp:effectExtent l="0" t="0" r="0" b="0"/>
                <wp:wrapNone/>
                <wp:docPr id="48" name="Frame4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sell products could have a negative and material impact on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UAV and EV battery markets continue to evolve and are highly competitive, and certain other battery manufacturers have significantly greater resources, experience and scale than we do and have technologies that may be superior to ours. As a result, we may not be able to produce our products at cost-competitive prices.</w:t>
      </w:r>
    </w:p>
    <w:p>
      <w:pPr>
        <w:pStyle w:val="TextBody"/>
        <w:bidi w:val="0"/>
        <w:spacing w:lineRule="auto" w:line="288" w:before="120" w:after="283"/>
        <w:jc w:val="both"/>
        <w:rPr/>
      </w:pPr>
      <w:r>
        <w:rPr>
          <w:rFonts w:ascii="Times New Roman;serif" w:hAnsi="Times New Roman;serif"/>
          <w:b w:val="false"/>
          <w:color w:val="000000"/>
          <w:sz w:val="20"/>
        </w:rPr>
        <w:t>The UAV and EV battery markets are fast-growing, extremely competitive and driven by the innovation of both large incumbents and emerging entrants like Factorial Energy. For more information, see “</w:t>
      </w:r>
      <w:r>
        <w:rPr>
          <w:rFonts w:ascii="Times New Roman;serif" w:hAnsi="Times New Roman;serif"/>
          <w:b w:val="false"/>
          <w:i/>
          <w:color w:val="000000"/>
          <w:sz w:val="20"/>
        </w:rPr>
        <w:t>Information about Factorial Energy - Competitive Landscape</w:t>
      </w:r>
      <w:r>
        <w:rPr>
          <w:rFonts w:ascii="Times New Roman;serif" w:hAnsi="Times New Roman;serif"/>
          <w:b w:val="false"/>
          <w:color w:val="000000"/>
          <w:sz w:val="20"/>
        </w:rPr>
        <w:t>.” Li-ion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and may be able to establish cooperative or strategic relationships amongst themselves or with third parties that may further enhance their resources and competitive positioning. In addition, battery manufacturers may continue to reduce cost and expand supply of conventional batteries and therefore reduce the prospects for our business or negatively impact our ability to sell our products at a market-competitive price and yet with sufficient margins.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number of development-stage companies are also seeking to develop new technologies for batteries. Potential new entrants are seeking to develop new technologies for cathodes, anodes, electrolytes and additives. Some of these companies have established relationships with OEMs and are in varying stages of development. Additionally, many OEMs are researching and investing in conventional batteries and/or next- generation battery efforts and, in some cases, in battery development and production. Furthermore, other companies are developing alternative technologies such as advanced diesel, ethanol, fuel cells or compressed natural gas, as well as potential improvements in the fuel economy of the internal combustion engine. We expect competition in battery technology and e-mobility markets intensify due to increased demand for these vehicles and a regulatory push for UAVs and EVs, continuing globalization, and consolidation in the worldwide aviation and automotive industry. Developments in alternative technologies or improvements in battery technology made by competitors may materially adversely affect the sales, pricing and gross margins of our batteries. If a competing technology is developed that has superior operational or price performance, our business will be harmed. Similarly, if we fail to accurately predict and ensure that our battery technology can address customers’ and collaboration partners’ changing needs or emerging technological trends, or if our customers or collaboration partners fail to achieve the benefits expected from our batteries, our business will be harmed.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Developments in alternative battery technology or other power and energy alternatives may adversely affect the demand for our battery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Significant developments in alternative technologies, such as fuel cell technology, advanced diesel, ethanol or natural gas, or breathing batteries, may materially and adversely affect our business, financial condition, results of operations and prospects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efforts may not be sufficient to adapt to changes in alternative fuel and EV technology. As technologies evolve, we plan to upgrade or adapt our energy solutions with the latest technology, in particular lighter weight modules and packs, advanced cooling methods, more sophisticated safety management software, more efficient manufacturing process, and advanced battery chemistry, which may also negatively impact the adoption of our other products. However, we may not compete effectively with alternative systems if we are not able to develop, source and integrate the latest technology into our battery products.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and will continue to rely on, complex equipment for our operations. This equipment, and manufacturing generally, creates a significant degree of risk and uncertainty in terms of operational performance and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heavily on, and will continue to rely heavily on, complex equipment for our operations and the production of our batteries, which involves a significant degree of uncertainty and risk in terms of operational performance and costs. Our manufacturing equipment consists of many components, which may suffer unexpected malfunctions from time to time and may depend on repairs and spare parts to resume operations, which may not be available when needed. Problems with our manufacturing processes could result in the loss of manufacturing equipment, damage to manufacturing facilities, monetary losses, delays, unanticipated fluctuations in production and personal injury to or death of workers. Should our precautions be inadequate or an event be larger than expected, we could have significant equipment or facility damage that would impact our ability to deliver our battery products and require additional resources to recover. In addition, in some cases, operational problems may result in environmental damage, administrative fines, increased insurance costs and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51485"/>
                <wp:effectExtent l="0" t="0" r="0" b="0"/>
                <wp:wrapNone/>
                <wp:docPr id="49" name="Frame4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legal liabilities. Any of these operational problems, or a combination of them could have a material adverse effect on our cash flows, business, financial condition, results of operations or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manufacturing technology may evolve rapidly, and we may decide to update our manufacturing processes more quickly than expected. Moreover, as we scale the commercial production of our batteries, our experience may cause us to discontinue the use of already modified or installed equipment in favor of different or additional equipment. The useful life of any equipment that would be retired early as a result would be shortened, causing the depreciation on such equipment to accelerate, as well as requiring us to make substantial capital expenditures for the improvement or replacement of such equipment, and our results of operations could be negatively impacted.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pursued and may continue to pursue development agreements and other strategic alliances, which could have an adverse impact on our business if they are unsuccessful or entered into on terms that are disadvantageous to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development agreements with certain of our customers and collaboration partners, and may in the future enter into similar arrangements and development agreements with our customers and collaboration partners, including with Mercedes-Benz, Stellantis, Hyundai/Kia, PowerCo SE and Karma Automotive. While offering potential benefits, these strategic alliances with OEMs, cell makers and others could subject us to a number of risks, including risks associated with sharing proprietary information, non-performance by our partners and costs of establishing and maintaining new strategic alliances, any of which may materially and adversely affect our business. We may have limited ability to monitor or control the actions of our partners and, to the extent any of them suffers negative publicity or harm to their reputation from events relating to their business, we may also suffer negative publicity or harm to our reputation by virtue of our association with them. For example, if we rely on our partners’ manufacturing facilities, those operations would be outside of our control. We could experience delays if our partners do not meet agreed-upon timelines or experience capacity constraints, and in turn, we could lose customers and collaboration partners and face reputational harm.</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Certain components of our batteries pose safety risks that may cause injury or death. We may be subject to financial and reputational risks due to product recalls and product liability claims, and we could face substantial liabilities that exceed our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their energy density, our batteries can pose certain safety risks, including the risk of fire in the event of manufacturing defects, improper use, or improper testing. Accidents causing death, personal injury or property damage, can occur, and no high energy density battery will ever be 100% safe. For example, under certain conditions our batteries can go into thermal runaway, which can result in fire. Although we incorporate safety procedures in the research, development, manufacture and transportation of our batteries that are designed to minimize safety risks, the manufacture or use of our battery products may still cause accidents. Any accident, whether occurring at our manufacturing facilities or from the use of our battery products, may result in significant production interruption, delays or claims for substantial damages caused by personal injuries or property damage.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due to the harsh environments in which batteries are used, including extremely low temperature and pressure, and combat for military applications, our batteries go through rigorous testing to ensure safe behavior under abuse-case conditions. Although such tests have been successful to date, we cannot assure you such tests will be successful in the future. If we have to make design changes to address any safety issues, we may have to delay or suspend our planned production, which could materially damage our brand, business, financial condition, results of operations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previously and in the future may also purchase batteries produced by third parties and resell such batteries to our customers or include such batteries in battery packs with batteries that we produce, including because of requirements to meet high volume requirements or short delivery deadlines that we are incapable of satisfying solely through use of batteries that we produce. Such batteries have been sourced from manufacturers located outside the United States and may be sourced from such non-U.S. suppliers in the future. We also have previously produced and may in the future produce batteries using a combination of lithium metal anodes and liquid electrolytes, which may be less safe than our solid state battery technology. Although we have performed safety testing on such products and would perform safety testing on such products and obtain and would seek to obtain safety reports from the producers of such batteries, such procedures may be less extensive and reliable than the safety testing we perform to validate our own batteries.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liability claims, even those without merit or those that do not involve our battery products, could harm our business, financial condition, results of operations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successful product liability claim against us, resulting from safety issues or otherwise, could require us to pay a substantial monetary award. We may not be able to cover any substantial monetary judgment against us. Moreover, a product liability claim against us or our competitors could generate substantial negative publicity about our battery products and could have a material adverse effect on our brand,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51485"/>
                <wp:effectExtent l="0" t="0" r="0" b="0"/>
                <wp:wrapNone/>
                <wp:docPr id="50" name="Frame5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unavailability, reduction, or elimination of government and economic incentives could have a material adverse effect on our business, financial condition, results of operations,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applied, and may continue to apply, for governmental and economic incentives available to the EV battery developers. Government incentives and subsidies are granted in connection with a government’s efforts to promote the development of the local economy and other policies. We intend to apply for further grants in the future in the jurisdictions in which we operate. Some local government incentives and subsidies may be challenged by higher-level government authorities. Therefore, government incentives and subsidies may be modified, terminated or subject to clawback at the sole discretion of the relevant governmental authorities. Additionally, because laws, regulations and policies with respect to incentives and subsidies may change, we cannot be sure that government incentives and subsidies will continue to be available. In the event that we cease to receive any government incentives or subsidies, any current or future incentive or subsidy is reduced, or any of our current or future incentives or subsidies are challenged, our business, financial condition and results of operations may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we believe that, currently, the availability of government incentives and subsidies available to end-users and OEMs is an important factor considered by customers when purchasing EVs, and that growth in the battery market will depend in part on the availability and amounts of these subsidies and incentives for EVs. Currently, government programs, including in China and Europe, favor the purchase of EVs, including through disincentives that discourage the use of gasoline-powered vehicles. At the federal level in the United States, while the Inflation Reduction Act of 2022 (the “IRA”) provided tax credits for the purchase of electric vehicles and electric vehicle charging infrastructure, the One Big Beautiful Bill Act (the “OBBBA”), enacted in July 2025, has now terminated these credits, which were phased out on September 30, 2025 with respect to electric vehicles purchased after such date and will be phased out on June 30, 2026 with respect to electric vehicle charging infrastructure placed in service after such date. These changes may reduce demand for EVs, adversely affecting our anticipated sales of EV battery products. In addition, OEM partners or customers may delay taking delivery of our battery products if they believe that certain EV incentives will be available at a later date, which may adversely affect our business, financial condition, results of operations and prospects. Any further reduction or elimination of government and economic incentives or subsidies may result in the diminished competitiveness of the alternative fuel vehicle industry generally or EVs that use our batteries in particular.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operations expose us to litigation, environmental, and other legal and compliance risks. Compliance with laws and regulations is expensive, and our failure to comply with these laws and regulations may result in monetary damages and fines, adverse publicity and a material adverse effect on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health and safety liabilities, environmental matters and compliance with U.S. and foreign laws, competition laws and laws governing improper business practices.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in the United States and South Korea may be subject to environmental laws and regulations, including laws and regulations relating to water, discharges, emissions, chemicals, hazardous materials, natural resources, remediation and contamination. Compliance with these laws can be difficult and costly. For example, battery life cycle management regulations and regulations governing the transport of batteries may impose substantial requirements on our operations in the United States. Our operations may be required to obtain and comply with environmental permits, many of which may be difficult and expensive to obtain and must be renewed on a periodic basis. A failure to comply with these laws, regulations or permits could result in substantial liabilities, including fines, penalties, the suspension or loss of permits, and possibly orders to cease the non-compliant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business with international reach, we are subject to complex laws and regulations in jurisdictions in which we operate. Those laws and regulations may be interpreted in different ways. They may also change from time to time, as may related interpretations and other guidance. Changes in laws or regulations could result in higher expenses and payments, and uncertainty relating to laws or regulations may also affect how we conduct our operations and structure our investments and could limit our ability to enforce our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environmental and climate laws or regulations, including laws relating to greenhouse gas emissions, could lead to new or additional investment in manufacturing designs, subject us to additional costs and restrictions, including increased energy and raw materials costs, and could increase environmental compliance expenditures. We are subject to various environmental laws and regulations on air emission, waste 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Under South Korean and U.S. environmental regulations, we are required to maintain the pollutant emission levels at the facility within the levels prescribed by the relevant governmental authorities and obtain a pollution discharge permit for water and air emissions. In addition, certain laws and regulations require enterprises like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51485"/>
                <wp:effectExtent l="0" t="0" r="0" b="0"/>
                <wp:wrapNone/>
                <wp:docPr id="51" name="Frame5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generate hazardous waste to engage companies which are licensed and qualified to process the hazardous waste, and to collect, store, dispose of and transfer the hazardous waste.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wastes may subject us to monetary damages and fines. In addition, if any third party suffers any loss as a result of our pollutant emission practices, our improper handling of hazardous waste or our noncompliance with environmental regulations, such third parties may seek damages from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able to comply with all environmental laws and regulations at all times as the environmental legal regime is evolving and becoming more stringent, especially in South Korea and the United States. Therefore, if these or other governments where we do business impose more stringent 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wastes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environmental and safety risks and requirements relating to environmental and safety regulations and environmental remediation matters which could adversely affect our business and results of operations.</w:t>
      </w:r>
    </w:p>
    <w:p>
      <w:pPr>
        <w:pStyle w:val="TextBody"/>
        <w:bidi w:val="0"/>
        <w:spacing w:lineRule="auto" w:line="288" w:before="120" w:after="283"/>
        <w:jc w:val="both"/>
        <w:rPr/>
      </w:pPr>
      <w:r>
        <w:rPr>
          <w:rFonts w:ascii="Times New Roman;serif" w:hAnsi="Times New Roman;serif"/>
          <w:b w:val="false"/>
          <w:color w:val="000000"/>
          <w:sz w:val="20"/>
        </w:rPr>
        <w:t>Battery technology development and manufacturing involve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or collaboration partners. The occurrence of future events such as these could have a material adverse effect on our business, financial condition and results of operations.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new manufacturing equipment, techniques and processes, including specialized automated manufacturing equipment within our separator, cathode, and cell assembly process areas. These equipment and processes pose hazards typical to manufacturing such as, but not limited to, hazardous materials, moving parts, and high voltage and/or high current electrical systems typical of large manufacturing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in the cost of production.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depends substantially on the continuing efforts of our senior executives and other key personnel as well as the ability to attract, train, and retain highly skilled employees and key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51485"/>
                <wp:effectExtent l="0" t="0" r="0" b="0"/>
                <wp:wrapNone/>
                <wp:docPr id="52" name="Frame5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success depends on our ability to attract and retain our executive officers, key employees and other qualified personnel, and our operations may be severely disrupted if we lost their services. As we build our brand and become better known, there is increased risk that competitors or other companies will seek to hire our personnel. Most of our executives and engineering staff are subject to non-competition and non- solicitation restrictions, but we may face challenges in enforcing these non-competition and non-solicitation restrictions, particularly in jurisdictions that disfavor or outlaw such restrictions. The failure to attract, integrate, train, motivate and retain these personnel could seriously harm our business and prospects, especially if our non-competition and/or non-solicitation restrictions are found to be invalid and/or unenforceable.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execute our business plan, we must attract and retain highly qualified personnel in research and development, artificial intelligence and machine learning, sales and marketing, production and other leadership roles. Competition for these employees is intense, and we may not be successful in attracting and retaining qualified personnel. We have from time to time in the past experienced, and we expect to continue to experience, difficulty in hiring and retaining highly skilled employees with appropriate qualifications in relevant industries. Many of the companies with which we compete for experienced personnel have greater resources than we have. In addition, in making employment decisions, particularly in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significant talent pool consists of nationals from countries that may require a license from the United States Bureau of Industry and Security to work with our technology, which raises the cost of hiring due to the uncertainty that a license may not be granted and the candidate would be unemployable in the role envisioned. Our ability to recruit and retain highly skilled personnel internationally depends in part on our ability to obtain and maintain appropriate visas and work authorizations for such employees. Changes in U.S. immigration policy, including increased scrutiny, delays, reductions in the number of visas granted, or limitations on the extension or renewal of existing visas, could make it more difficult or more expensive for us to hire and/or continue to employ certain personnel. In addition, uncertainty regarding the availability or timing of visa approvals or extensions may discourage qualified candidates from accepting employment with us or result in the loss of existing employees whose work authorization cannot be timely obtained or renewed. Any reduction in the availability of new visas or extensions of existing visas, and/or any increase in processing times or denial rates, could limit our access to global talent, disrupt our operations and adversely affect our ability to execute our business strategy. If we fail to attract new personnel, and/or fail to retain and motivate our current personnel, our business and growth prospects could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we are highly dependent on the services of Dr. Siyu Huang, our Co-Founder and Chief Executive Officer; Dr. Alex Yu, our co-Founder and Chief Technology Officer; Jason Duva, our General Counsel; Richard Wei, our Chief Financial Officer; and other senior technical and management personnel, including our executive officers, who may take significant amounts of time to replace. If Drs. Huang, Yu, or other key personnel were to depart, we may not be able to successfully attract and retain the senior leadership necessary to grow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do not maintain and continue to develop our corporate culture as we grow and evolve, it could also harm our ability to foster innovation, creativity and teamwork we believe we need to support our growth. Additions of executive-level management, significant numbers of new employees, our workforce reduction and higher employee turnover could significantly and adversely impact our culture.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Limited Operating History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an early-stage company with a history of financial losses and expect to incur significant expenses and continuing losses from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Legacy Factorial has incurred net losses since our inception. For example, during the six months ended June 30, 2026 and 2025, we reported net losses of $19.9 million and $23.4 million, respectively. We may continue incurring net losses in the future as we, among other things, endeavor to hire the experienced scientific, quality-control, and manufacturing personnel needed to operate our manufacturing processes to scale; increase our sales and marketing activities; expand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not yet cash flow positive, and any failure to effectively manage our cash resources or generate future cash flows could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not currently cash flow positive, and the development, scaling, and commercialization of battery technology is capital intensive, even under a capital-light operating model. Our business requires ongoing investment in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51485"/>
                <wp:effectExtent l="0" t="0" r="0" b="0"/>
                <wp:wrapNone/>
                <wp:docPr id="53" name="Frame5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development, manufacturing scale-up, supply chain development, and commercialization activities, which may result in significant cash outflows before we generate sufficient operating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success depends, in part, on our ability to effectively manage our cash resources, control operating expenses, and generate cash flows from commercial activities in a timely manner. Any misalignment between our cash expenditures and cash inflows, delays in customer adoption or revenue generation, cost overruns, or inefficiencies in cash management could require us to seek additional financing sooner than expected or on less favorable terms.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are unable to obtain additional capital when needed, or if we are unable to generate sufficient cash flows to support our operations, our ability to execute our business strategy, continue operations, or pursue growth opportunities could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plan has yet to be tested, and we may not succeed in executing on our strategic plans, including commercialization.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research and development stage company, we face a number of difficulties normally encountered by new enterprises, including substantial risks and expenses in the course of establishing or entering new markets, organizing operations, and undertaking marketing activities. The likelihood of our success must be considered in light of these difficulties and the competitive environment in which we operate. There is nothing at this time upon which to base an assumption that our business plan will prove successful, and we may not be able to generate significant revenue, raise additional capital, or operate profitably. We will continue to encounter challenges frequently experienced by early commercial stage companies, including scaling up our infrastructure and managing our headcount, and may encounter unforeseen expenses, difficulties, or delays in connection with our growth. In addition to the extensive capital requirements of our business, we can be expected to continue to sustain substantial operating expenses without generating sufficient revenue to cover expenditures. Any investment in our company is therefore highly speculative and could result in loss of your entire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difficult to predict our future revenues and appropriately budget for our expenses, and we have limited insight into trends that may emerge and affect our business. If actual results differ from our estimates or we adjust our estimates in future periods, our business, prospects, results of operations, and financial condition could be materially and adversely affected. Furthermore, our financial performance in one period may not be indicative of financial performance in future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will need substantial additional capital in the future to fund our business and may be unable to meet our future capital requirements, impairing our financial position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development, design, manufacture and sale of batteries is a capital-intensive business. We expect to sustain substantial operating expenses, without generating sufficient revenues to cover expenditures, for a number of years. To date, we have funded our operations through the sales of our convertible preferred stock and through the proceeds of the Merger and the PIPE Financing. These funds are expected to finance our principal sources of liquidity and ongoing costs, such as research and development relating to our batteries and the construction of additional manufacturing facilities. In the future, if we are not able to fund our operations from cash flows generated from anticipated product sales, we expect that we will need to raise additional funds through a variety of possible methods, including, but not limited to, entry into joint ventures or other strategic arrangements, issuance of equity (including through at-the-market sales), equity-related or debt securities or through obtaining credit from financial institutions, as well as anticipated future revenue from product sales. Any such issuances may be highly dilutive and/or may result in the imposition of covenants that significantly restrict our ability to conduct our business and operations as we may otherwise deem appropriate.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cash on hand and marketable securities will be sufficient to meet our working capital and capital expenditure requirements for a period of at least 12 months from the date of the most recent financial statements included in this Quarterly Report and also sufficient to fund us through commercialization. However, additional funding may be required for a variety of reasons, including opportunities to expand our manufacturing capabilities and delays in expected development of our battery cells. Our ability to successfully develop our products, commence commercial operations and expand our business will depend on many factors, including our working capital needs, the availability of equity and/or debt financing and, over time, our ability to generate positive cash flows from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be certain that additional capital will be available on attractive terms, if at all, when needed, which could be dilutive to stockholders. We may be forced to decrease our level of investment in product development or scale back our operations, which could have an adverse impact on our business and financial prospects. Furthermore, the cost of debt could be higher than anticipated, which could negatively affect our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Incorrect estimates or assumptions by management in the preparation of our consolidated financial statements could adversely impact our reported assets, liabilities, income, revenue, or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51485"/>
                <wp:effectExtent l="0" t="0" r="0" b="0"/>
                <wp:wrapNone/>
                <wp:docPr id="54" name="Frame5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requires management to make critical accounting estimates and assumptions that affect the reported amounts of assets, liabilities, stockholders’ equity, revenue, income, and expenses during the reporting periods. Incorrect estimates and assumptions by management could result in reported amounts that are overstated or understated and have a material adverse effect on our business, prospects, results of operations, and financial condition.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utilize any net operating losses or tax credit carry forwards to offset taxable income are subject to complex limitations.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Section 382 of the Internal Revenue Code limits the ability of a corporation that undergoes an “ownership change” to use its pre-change net operating losses to offset future taxable income. An “ownership change” generally means a greater than 50 percentage point change (by value) in a corporation’s equity ownership by certain stockholders over a three-year period. If we have experienced an ownership change at any time since our incorporation, we may be subject to these limitations on our ability to utilize our net operating losses and other tax attributes to offset taxable income or tax liability. In addition, future changes in our stock ownership, which may be outside of our control, may trigger an ownership change.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tax law, regulations, or interpretations, including those resulting from the OBBBA, could suspend the use of net operating losses or tax credits, possibly with retroactive effect, and adversely impact our effective tax rate or cash flows. As a result, if we earn net taxable income, we could be unable or limited in our ability to use net operating losses and other tax attributes to offset such taxable income, which could result in increased future income tax liabilities. Similar provisions of state tax law may also limit our use of accumulated state tax attributes.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cash and money market funds could be adversely affected if the financial institutions in which we hold our cash and money market funds fail.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deposit and maintain our cash and money market funds with third party financial institutions. A failure of these financial institutions to return our cash deposits and money market funds, or if a depository institution is subject to other adverse conditions in the financial or credit markets, could impact our access to our cash or money market funds and could adversely impact our operating liquidity and financial performance.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is substantial doubt about our ability to continue as a going concern.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prepared cash flow forecasts which indicate that, based on our expected operating losses and negative cash flows, we have sufficient cash to fund operations for at least twelve months following the date that the Factorial consolidated financial statements, as of and for the six months ended June 30, 2026, were issued. See “Item 2. Management’s Discussion and Analysis of Financial Condition and Results of Operations - Liquidity and Capital Resources.” However, our future viability as an ongoing business will be dependent on our ability to raise additional capital to finance our operations in the near 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it is time to raise additional capital, there is no assurance that we will succeed in obtaining sufficient funding on terms acceptable to us to fund continuing operations, if at all. As our cash resources are depleted, we will continue to assess our ability to continue as a going concern, and when, and if, we conclude that there is substantial doubt about our ability to continue as a going concern for the twelve months following the date financial statements are issued,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identified a material weakness in our internal control over financial reporting. If we are unable to remediate this material weakness or otherwise fail to maintain proper and effective internal controls, our ability to produce timely and accurate financial statements could be impaired, which could adversely affect our operating results, our stock price and access to the capital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required to maintain internal control over financial reporting and to report any material weaknesses in such internal controls. In addition, we are required to furnish a report by management on the effectiveness of our internal control over financial reporting in our annual reports on Form 10-K, pursuant to the rules and regulations of the SEC regarding compliance with Section 404 of the Sarbanes-Oxley Act. The process of designing, implementing and testing the internal control over financial reporting required to comply with this obligation is time consuming, costly and complicated. We have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has led to a conclusion that our internal control over financial reporting and disclosure controls and procedures were not effective as of June 30, 2026. Our inability to remediate this material weakness, our discovery of additional control deficiencies or material weaknesses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51485"/>
                <wp:effectExtent l="0" t="0" r="0" b="0"/>
                <wp:wrapNone/>
                <wp:docPr id="55" name="Frame5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internal control, and our inability to achieve and maintain effective disclosure controls and procedures and internal control over financial reporting, could adversely affect our results of operations, our stock price and investor confidence in our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plans to take action to remediate this material weakness in our internal control over financial reporting. As of the date of this Quarterly Report, management began remediation actions in 2026 and expects to complete the remediation actions during 2027 and to incur approximately $0.8 million in associated costs. However, the remediation process is ongoing, and we cannot assure that it will be completed within this timeframe or that additional remediation costs will not be incurred. In addition, we could in the future identify additional internal control deficiencies that could rise to the level of a material weakness or uncover other errors in financial reporting. The remediation of such deficiencies or material weaknesses may require significant costs and devotion of a substantial amount of management’s attention, diverting financial resources or management’s time from operating our business. During the course of our evaluation, we may identify areas requiring improvement and may be required to design additional enhanced processes and controls to address issues identified through this review. In addition,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we fail to remediate this material weakness and maintain effective disclosure controls and procedures or internal control over financial reporting, we may not be able to rely on the integrity of our financial results, which could result in inaccurate or late reporting of our financial results, which inaccuracies may lead to a requirement to restate our financial statements, as well as delays or the inability to meet our future reporting obligations or to comply with SEC rules and regulations. As a result, investors may lose confidence in the accuracy and completeness of our financial reports and the market price of our common stock could decline. We could also become subject to investigations by the stock exchange on which our common stock is listed, the SEC or other regulatory authorities, which could require additional financial and management resources. Failure to remedy any material weakness in our internal control over financial reporting, or to implement or maintain other effective control systems required of public companies, could restrict our future access to the capital markets as a result of a loss of investor confidence, limitations on our ability under the Securities Act to conduct certain transactions or a reduction in liquidity if our common stock does not remain listed on a national securities exchange. Reduced access to capital or increased use of financial resources to remedy deficiencies in or maintain the effectiveness of internal controls may reduce our liquidity and ability to operate our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heavily on our intellectual property portfolio. If we are unable to protect our intellectual property rights, our business and competitive position would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rely upon a combination of various intellectual property protections afforded by patent, copyright, trademark and trade secret laws in the United States and other jurisdictions, as well as contractual protections afforded by license agreements and other agreements, to establish, maintain and enforce rights in our proprietary technologies. In addition, we seek to protect our intellectual property rights through nondisclosure and invention assignment agreements with our employees and consultants, and through non- disclosure agreements with business partners and other third parties. However,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Despite our efforts to protect our proprietary rights, third parties may, without proper authorization, attempt to copy or otherwise obtain and use our intellectual property or be able to design around our intellectual property. Monitoring unauthorized use of our intellectual property is difficult and costly, and the steps we have taken or will take to prevent misappropriation may not be adequate, sufficient, or effective. Any enforcement efforts we undertake, including litigation, could be time-consuming and expensive and could divert management’s attention, which could harm our business,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certain of our proprietary works may be protected under copyright law, we have chosen not to register any copyrights in these works and instead rely primarily on protecting our software as a trade secret. In order to bring a copyright infringement lawsuit in the United States, the copyright must be registered. Accordingly, the remedies and damages available to us for unauthorized use of our works of authorship may be limited.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51485"/>
                <wp:effectExtent l="0" t="0" r="0" b="0"/>
                <wp:wrapNone/>
                <wp:docPr id="56" name="Frame5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Certain of our key technological innovations, including innovations that are currently commercialized in our products and innovations that we plan to deploy in the future, are described in our issued patents and pending patent applications, as well as patent applications that we plan to file in the future. For more information, see “</w:t>
      </w:r>
      <w:r>
        <w:rPr>
          <w:rFonts w:ascii="Times New Roman;serif" w:hAnsi="Times New Roman;serif"/>
          <w:b w:val="false"/>
          <w:i/>
          <w:color w:val="000000"/>
          <w:sz w:val="20"/>
        </w:rPr>
        <w:t>Information about Factorial Energy - Intellectual Property.</w:t>
      </w:r>
      <w:r>
        <w:rPr>
          <w:color w:val="000000"/>
        </w:rPr>
        <w:t xml:space="preserve">” </w:t>
      </w:r>
      <w:r>
        <w:rPr>
          <w:rFonts w:ascii="Times New Roman;serif" w:hAnsi="Times New Roman;serif"/>
          <w:b w:val="false"/>
          <w:color w:val="000000"/>
          <w:sz w:val="20"/>
        </w:rPr>
        <w:t>The process of applying for and obtaining a patent is expensive, time consuming and does not always result in patent claims as expected or needed. We may not be able to file and prosecute all necessary or desirable patent applications at a reasonable cost, in a timely manner, or in all jurisdictions where protection may be commercially advantageous, or we financially may not be able to protect our proprietary rights at all. There is also no assurance that the pending applications will result in issued patents.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third parties may have blocking patents that could prevent us from marketing our products or practicing our technology. Alternatively, third parties may seek to develop or market their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our patents are determined to be valid and enforceable patents, these patents still may not provide protection against competing products or processes sufficient to achieve our business objectives. Under the terms of certain agreements with our development partners, we may file patent applications jointly with third parties and end up co-owning certain patents. As a result, we may not have exclusive rights to such patents and co-ownership of a patent may require us to enter into license agreements with third parties, which are less favorable than if we were the sole owner of the patent. Furthermore, if the other owners are unwilling to join us in an enforcement action, we may be unable to enforce our jointly owned patent rights against infringers. Such co-owners may be able to license their rights to other third parties, including our competitors, and our competitors could market competing products and technology. If one or more of our patents are held to be invalid or unenforceable, if claims of those patents are interpreted narrowly, or if patents fail to issue from our pending applications, our competitiveness and value may also be undermined. Any of the foregoing could have a material adverse effect on our competitive position, business, financial conditions, results of operations,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have been issued patents for certain aspects of our technology and have additional patent applications pending, we have not applied for patent protection for all aspects of our technology. We make business decisions about when to seek patent protection for a particular technology and when to rely upon trade secret protection, and the approach we select may ultimately prove to be inadequate.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need to defend ourselves against intellectual property infringement claims, which may be time- consuming and could cause us to incur substantial costs or limit our ability to use certain technology.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Companies, organizations or individuals, including our current and future competitors, may hold or obtain patents, trademarks or other proprietary rights that would prevent, limit or interfere with our ability to make, use, develop, distribute, or sell our battery products, which could make it more difficult for us to operate our business. From time to time, we have received and may in the future receive inquiries from holders of patents or trademarks, as well as government agencies with jurisdiction over intellectual property matters, inquiring whether or claims alleging that we are infringing their proprietary rights and/or seek court declarations that they do not infringe upon our intellectual property rights. Companies holding patents or other intellectual property rights relating to batteries, electric motors or electronic power management systems may bring suits alleging infringement by our battery products of such rights or otherwise asserting their rights and seeking licenses, and government agencies may also take legal action. In addition, if we are determined to have infringed upon a third party’s intellectual property rights, we may be required to do one or more of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cease selling, incorporating or using products that incorporate the challenged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 substantial damages, fine or penalties;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obtain a license from the holder of the infringed intellectual property right, which license may not be available on reasonable terms or at all; or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redesign our batteries.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be subject to additional infringement claims in the future, and even if we believe such claims are without merit, such claims are time-consuming, expensive to litigate or settle and can divert management’s resources and attention. An adverse determination could require that we pay damages, fine or penalties, which could be substantial, or that we stop using technologies found to be in violation of a third party’s rights and could prevent us from selling our batteries. In order to avoid these restrictions, we may have to seek a license for the technology. Any such license may not be available on reasonable terms or at all, could require us to pay significant royalties and may significantly increase our operating expenses or otherwise seriously harm our business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51485"/>
                <wp:effectExtent l="0" t="0" r="0" b="0"/>
                <wp:wrapNone/>
                <wp:docPr id="57" name="Frame5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 successful claim of infringement against us and our failure or inability to obtain a license to the infringed technology, our business, financial condition, results of operations and prospects could be materially adversely affected. In addition, any litigation or claims, whether or not valid, could result in substantial costs and diversion of resources and management’s attention.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These licenses typically limit our use of the licensed intellectual property or technology to specific uses and include other contractual obligations with which we must comply. If we fail to comply with any such obligations,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Moreover, our licensors may infringe the intellectual property rights of others or our licensors may not have sufficient rights to the intellectual property to grant us the applicable rights. Although we seek to secure indemnification protection from our vendors to protect us against potential third-party infringement claims in connection with our use of the applicable licensed intellectual property, not all of our vendors agree to provide us with sufficient indemnification protection, and in the instances where we do secure indemnification protection from our vendors, it is possible such vendors may not honor such indemnification obligations. If any of our licenses terminate, if we or the licensors fail to abide by the terms of the license, if the licensed intellectual property rights are found to be invalid or unenforceable or if the licensed technology is alleged to be infringing, our business, financial results and reputation could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In addition, companies that perceive us to be a competitor may be unwilling to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obtain licenses on technology that has not been commercialized or has been commercialized only to a limited extent, and the success of our business may be adversely affected if such technology does not perform as expected.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license from third parties, technologies that have not been commercialized or which have been commercialized only to a limited extent. These technologies may not perform as expected within our silicon anode battery cells and related products. If the cost, performance characteristics, manufacturing process or other specifications of these licensed technologies fall short of our targets, our expected sales, costs, time to market, competitive advantage, future product pricing and potential operating margins may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face risks relating to protecting our intellectual property in various countries resulting from our international business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Patent, trademark and trade secret laws vary significantly throughout the world. Filing, prosecuting, and defending patents in all countries throughout the world would be prohibitively expensive, and the laws of foreign countries may not protect our rights to the same extent as the laws of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 Some courts inside and outside the United States may be less willing or unwilling to protect trade secrets and agreement terms that address non-competition are difficult to enforce in many jurisdictions and might not be enforceable in certain cases. Failure to adequately protect our intellectual property rights could result in our competitors using our intellectual property to offer products, potentially resulting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51485"/>
                <wp:effectExtent l="0" t="0" r="0" b="0"/>
                <wp:wrapNone/>
                <wp:docPr id="58" name="Frame5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 of some of our competitive advantage and a decrease in our revenue, which would adversely affect our business, financial condition, results of operations and prospects.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Governmental trade controls, including export and import controls, sanctions, customs requirements and related regimes, could subject us to liability or loss of contracting privileges, limit our ability to transfer technology or compete in certain markets and affect our ability to hire qualified personnel.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technology and products, including components of our products, are subject to export control and import laws and regulations, including those by the U.S. Export Administration Regulations, U.S. Customs regulations, various economic and trade sanctions regulations administered by the U.S. Treasury Department’s Office of Foreign Assets Control, and similar regulations by the South Korean government. These jurisdictions’ export control laws and regulations and economic sanctions prohibit the shipment of certain products, technologies and services to embargoed or sanctioned countries, governments and persons, as well as to various countries and persons due to national security and foreign policy concerns. In particular, U.S. and South Korean export control laws apply to cells with an energy density greater than 350 Wh/kg and require a license for the export of technology and cells exceeding that threshold to many locations outside of each respective jurisdiction, including China and Singapore. Some of our technology and products are thus presently subject to these license requirements under export controls, which contain limitations on the volume of products we may export. We cannot assure you that such licenses will be renewed or increased to match our production levels in the future.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Complying with export control and sanctions regulations for a particular sale may be time-consuming and result in delay or loss of sales opportunities. We have set up an export controls compliance program internally but cannot assure that this program has resulted or will result in material compliance with all applicable export controls. If government authorities conclude that we have violated these laws and regulations, we and even some of our employees could be subject to substantial civil and/or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significant talent pool is comprised of nationals from countries that may require a license from the Bureau of Industry and Security to work with our technology (such as China, Russia, and Japan), which raises the cost of hiring due to the uncertainty that a license may not be granted and the candidate would be unemployable in the role envisioned. In addition, changes in our products or solutions or changes in applicable export or import laws and regulations may create delays or prohibitions in the introduction and sale of our products and solutions in international markets, increase costs due to changes in import and export duties and taxes, prevent our customers from deploying our products and solutions or, in some cases, prevent the export or import of our products and solutions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solutions, decreased ability to export or sell our products and solutions to customers, and decreased ability to import components or parts critical to the manufacture of our products. Any decreased use of our technology and products, limitation on our ability to export or sell our technology and products, or limitation on our ability to import materials, components or equipment would likely adversely affect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U.S. and foreign government policy, including the imposition of or increases in tariffs and changes to existing trade agreements, could have a material adverse effect on global economic conditions and our business, financial condition, results of operations and prospects.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changes to U.S. and foreign government policy, there may be changes to existing trade agreements, greater restrictions on free trade generally, the imposition of or significant increases in tariffs or other trade restrictions on goods imported into the United States, particularly those manufactured in China, or minerals imported into the United States, and adverse responses by foreign governments to U.S. trade policies, among other possible changes. China is currently a leading global source of supplies for use in the battery industry, including some products that we use. As the implementation of tariffs is ongoing, more tariffs may be added in the future. These tariffs could have an adverse impact on our business, results of operations, prospects and financial condition, and if we are unable to pass through such price increases to our customers, it would likely increase our cost of sales and, as a result, decrease our gross margins, operating income and net income. For example, in February 2025, the United States imposed additional tariffs on imports from China and significantly increased those tariffs in April 2025, and announced plans for “reciprocal” tariffs on several countries (including China) in late July 2025. As of the date of this Quarterly Report, discussions remain ongoing in respect of certain trade restrictions and tariffs on imports from numerous countries, including China, as well as retaliatory tariffs enacted in response to such actions. In light of these events, there continues to exist significant uncertainty about the future relationship between the United States and other countries with respect to such trade policies, treaties, and tariffs,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51485"/>
                <wp:effectExtent l="0" t="0" r="0" b="0"/>
                <wp:wrapNone/>
                <wp:docPr id="59" name="Frame5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can make no assurance regarding the eventual impact on our results of operations and business.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access to suppliers, customers or collaboration partners and, in turn, have a material adverse effect on the business and financial condition of such suppliers, customers, collaboration partners or other counterparties we do business with, which in turn would negatively impact 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U.S. and foreign anti-corruption, anti-bribery, anti-money laundering, financial and economic sanctions and similar laws and regulations. We can face criminal liability and other serious consequences for violations, which can harm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anti-corruption, anti-bribery, anti-money laundering, financial and economic sanctions and similar laws and regulations in various jurisdictions in which we conduct or in the future may conduct activities, including the U.S. Foreign Corrupt Practices Act, the U.K. Bribery Act 2010, and other anti-corruption laws and regulations in countries in which we conduct activities. Anti-corruption laws prohibit us and our officers, directors, employees, contractors and business partners acting on our behalf, including agents, from corruptly offering, promising, authorizing or providing, directly or indirectly, anything of value to a “foreign official” for the purposes of influencing official decisions or obtaining or retaining business or otherwise obtaining favorable treatment. These laws also require companies to make and keep books, records and accounts that accurately reflect transactions and dispositions of assets and to maintain a system of adequate internal accounting controls. These laws also prohibit non-governmental “commercial” bribery and soliciting or accepting bribes. A violation of any of these laws or regulations could result in substantial civil and criminal fines and penalties, imprisonment, the loss of export or import privileges, debarment, tax reassessments, breach of contract and fraud litigation, reputational harm and other consequences and adversely affect our business, financial condition, results of operations and reputation. Our policies and procedures designed to ensure compliance with these laws and regulations may not be sufficient and our directors, officers, employees, representatives, consultants, agents, and business partners could engage in improper conduct for which we may be held responsible.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we increase our international cross-border business and expand our operations abroad, we may continue to engage with business partners, suppliers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There can be no assurance that our employees and agents will not take actions in violation of our policies and applicable law, for which we may be ultimately held responsible. As we increase our international business, our risks under these laws may increase.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Detecting, investigating and resolving actual or alleged violations of anti-corruption, anti-bribery, anti- money laundering or financial and economic sanctions laws can require a significant diversion of time, resources and attention from management. Non-compliance with these laws could subject us to whistleblower complaints, adverse media coverage, investigations, subpoenas received, enforcement actions, prosecution and severe fines, damages and administrative, civil and criminal sanctions, collateral consequences, remedial measures and legal expenses, all of which could materially and adversely affect our business, financial condition, results of operations and reputation. In addition, changes in these laws in the future could adversely impact our business and investments in our securities.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insurance coverage may not be adequate to protect us from all business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be subject, in the ordinary course of business, to losses resulting from product liability, recalls, cyber-attacks, accidents, acts of God, and other claims against us, for which we may have no or inadequate insurance coverage. As a general matter, the policies that we do have may include significant deductibles or self- 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From time to time, we may be involved in legal proceedings and commercial or contractual disputes, which could have an adverse impact on our financial condition and results of operations.</w:t>
      </w:r>
    </w:p>
    <w:p>
      <w:pPr>
        <w:pStyle w:val="TextBody"/>
        <w:bidi w:val="0"/>
        <w:spacing w:lineRule="auto" w:line="288" w:before="120" w:after="283"/>
        <w:jc w:val="both"/>
        <w:rPr/>
      </w:pPr>
      <w:r>
        <w:rPr>
          <w:rFonts w:ascii="Times New Roman;serif" w:hAnsi="Times New Roman;serif"/>
          <w:b w:val="false"/>
          <w:color w:val="000000"/>
          <w:sz w:val="20"/>
        </w:rPr>
        <w:t>We may be involved in legal proceedings and commercial or contractual disputes that, from time to time, are significant. These are typically claims that arise in the normal course of business including, without limitation, commercial or contractual disputes, including warranty claims and other disputes with potential customers, suppliers, and collaboration partners, intellectual property matters, personal injury claims, environmental issues, tax matters and employment matters. See “</w:t>
      </w:r>
      <w:r>
        <w:rPr>
          <w:rFonts w:ascii="Times New Roman;serif" w:hAnsi="Times New Roman;serif"/>
          <w:b w:val="false"/>
          <w:i/>
          <w:color w:val="000000"/>
          <w:sz w:val="20"/>
        </w:rPr>
        <w:t>Information about Factorial Energy - Legal Proceedings.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51485"/>
                <wp:effectExtent l="0" t="0" r="0" b="0"/>
                <wp:wrapNone/>
                <wp:docPr id="60" name="Frame60"/>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Factorial Energy became a public company through the consummation of the Merger. Newly public companies following the completion of business combinations with special purpose acquisition companies have been subject to increased regulatory oversight and scrutiny, including from the SEC. Any governmental or regulatory investigation or inquiry related to the Merger or otherwise could have a material adverse effect on our business and negatively affect our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difficult to predict the outcome or ultimate financial exposure, if any, represented by these matters, and there can be no assurance that any such exposure will not be material. Such claims may also negatively affect our reputation.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believe that our technology enables a variety of business models, including but not limited to sole manufacturing, joint ventures, and licensing, each of which may involve certain risks and tradeoffs.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our technology enables a variety of business models and presents opportunities with a variety of potential customers, such as OEMs, cell makers, end-users, and licensees, as applicable. We may operate our own manufacturing facilities, enter into joint venture arrangements, or license technology to other manufacturers, among other approaches, each with potential risks and tradeoffs.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wholly-owned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attractive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a licensing model,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which could adversely affect our profitability and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Aside from the business models described above, if we pursue other types of arrangements or business models, we potentially face other risks and tradeoffs that could have a materially adverse effect on our business, profitability, and reputation.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U.S. and foreign tax laws could have a material adverse effect on our business, financial condition or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(as well as certain of our subsidiaries) are subject to federal, state and local taxes in the United States and are also subject to tax in certain foreign jurisdictions. Changes to U.S. tax laws, including limitations on the ability of taxpayers to claim and utilize foreign tax credits and the deferral of certain tax deductions until earnings outside of the United States are repatriated to the United States, as well as changes to U.S. federal income tax laws, such as the IRA, and others that may be enacted in the future (the uncertainty of all of which is heightened by recent changes in governmental administration in the United States), could impact the tax treatment of our foreign earnings. Due to our international business activities, any changes in the taxation of such activities may increase our worldwide effective tax rate and adversely affect our financial position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if our earnings are lower than anticipated in jurisdictions where we have lower statutory rates and higher than anticipated in jurisdictions that have higher statutory rates, by changes in foreign currency exchange rates, or by changes in the valuation of its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51485"/>
                <wp:effectExtent l="0" t="0" r="0" b="0"/>
                <wp:wrapNone/>
                <wp:docPr id="61" name="Frame61"/>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results of operations or cash flows in the period or periods for which a determination is made.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changes in corporate tax rates, the realization of net deferred tax assets relating to our operations, the taxation of foreign earnings, and the deductibility of expenses under future tax reform legislation could have a material impact on the value of our deferred tax assets, could result in significant one- time charges in the current or future taxable years, and could increase our future tax expense, which could have a material adverse effect on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exposed to risks related to the use of artificial intelligence by us, our suppliers, partners and competitors.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misappropriation or other violations of others’ intellectual property rights, and may give rise to legal liability and materially harm our business. Our competitors may also be more successful in their artificial intelligence strategy and develop competitive products with the aid of artificial intelligence technology. As a result, any issues arising from the development and use of artificial intelligence by us or our suppliers, partners or competitors, combined with an evolving and uncertain regulatory environment, may result in reputational harm, liability, or other adverse consequences to our business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are subject to foreign currency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operate internationally and are exposed to risks associated with fluctuations in foreign exchange rates, particularly with regards to the South Korean Won (KRW). As the U.S. Dollar (USD) serves as our functional currency, fluctuations in the KRW exchange rate relative to the USD could significantly impact our financial results. This risk arises primarily from the operations and cash flows generated by our South Korean subsidiary, where we operate a significant production and research and development facility. Any adverse movements in exchange rates between the KRW and USD could negatively affect our expenses, and future profitability, as well as lead to potential volatility in our reported financial results. Additionally, sustained changes in exchange rates could impact the value of our assets and liabilities denominated in KRW, further increasing our financial exposure to currency risk. As of June 30, 2026, we have not entered into any hedging transactions in an effort to reduce exposure to foreign exchange risk.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Evolving scrutiny and changing expectations from global regulators and our stakeholders regarding our environmental, social and governance (ESG) practices and value proposition could adversely affect our business, brand and reputation.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is evolving focus, including from global regulators and stakeholders such as our investors, customers and partners, on ESG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manufacturing operations. It is also possible that requirements or guidance in one jurisdiction, such as the United States, may contradict or diverge from requirements or guidance in other jurisdictions, such as the European Union. Agreements with customers and partners may include obligations related to sustainability targets. There can be no certainty that we will manage such matters successfully, or that we will successfully meet the (at times contradictory) expectations of stakeholders as to our proper role with respect to ESG matters. Any failure or perceived failure to timely manage, respond, or meet ESG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negatively impacted by epidemics, pandemics, and other outbreaks.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face various risks related to epidemics, pandemics, and other outbreaks. For example, the COVID-19 pandemic resulted in changes in consumer and business behavior, a severe market downturn, and restrictions on business and individual activities, as well as in significant volatility in the global economy and reduced economic activity. The spread of COVID-19 also impacted our potential customers, our suppliers and collaboration partners by disrupting the manufacturing, delivery and overall supply chain of battery, EV and equipment manufacturers and suppliers and led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51485"/>
                <wp:effectExtent l="0" t="0" r="0" b="0"/>
                <wp:wrapNone/>
                <wp:docPr id="62" name="Frame62"/>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manufacturing plans, supply chain, sales and marketing activities, business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facilities or operations could be damaged or adversely affected by natural disasters and other catastrophic events outside of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facilities or operations could be adversely affected by events outside of our control, such as natural disasters, wars, epidemics, pandemics,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Any economic, financial or banking crisis, or perceived threat of such a crisis, including a significant decrease in consumer confidence, may materially and adversely affect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Inflation and increased interest rates may adversely affect our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how long higher levels of inflation may persist, and to what level these increased costs will affect commercialization of our product. If we are not able to fully offset higher costs through price increases or other corrective measures, this may adversely affect our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may be adversely affected by any disruptions caused by union activities and/or works council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51485"/>
                <wp:effectExtent l="0" t="0" r="0" b="0"/>
                <wp:wrapNone/>
                <wp:docPr id="63" name="Frame6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not uncommon for employees of certain trades at companies such as ours to belong to a union, which can result in higher employee costs and increased risk of work stoppages. Moreover, regulations in some jurisdictions outside of the U.S. mandate employee participation in industrial collective bargaining agreements, work councils, and/or other employee representative bodies with certain consultation rights with respect to company operations. In South Korea, for example, mandatory labor management councils and employee consultation requirements could limit our flexibility and increase administrative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work diligently to provide the best possible work environment for our employees, they may still decide to join or seek recognition to form a labor union, or we may be required to become a union signatory. From time to time, labor unions may engage in campaigns to organize certain of our operations, as part of which such unions may file unfair labor practice charges against us with the National Labor Relations Board and/or other governmental agencies. Any unfavorable outcome of such proceedings may have a negative impact on the perception of our treatment of our employees. Furthermore, any successful union organization efforts may decrease our operational flexibility and disrupt our normal operations, which could adversely affect our business. Additionally, we may from time to time directly or indirectly depend upon companies with unionized work forces, and any work stoppages or strikes organized by such unions could delay the manufacture and sale of our products and/or harm our business and operating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manufacturing of our batteries, and the data we maintain, including our intellectual property and other confidential or proprietary information,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partners and customers face.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 technical issues, including intentional or inadvertent acts or omissions by employees, service providers, suppliers, customers, partners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partners, and customers could result in lengthy interruptions in our service and may adversely affect our business, prospects,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51485"/>
                <wp:effectExtent l="0" t="0" r="0" b="0"/>
                <wp:wrapNone/>
                <wp:docPr id="64" name="Frame64"/>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Such cyberattacks could disrupt the economy more generally and could also impact our operations either directly or indirectly.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if any issues concerning the IT systems result in, or contribute to, a delay in our timely reporting of our results of operations for any period or our not filing one or more periodic reports with the SEC on time, the price of our Series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Operating as a Public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There may not be an active trading market for Factorial Energy Common Stock, which may make it difficult to sell shares of Factorial Energy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 active trading market for Factorial Energy Common Stock may not develop or be sustained. If an active trading market for Factorial Energy Common Stock does not develop or is not sustained, you may not be able to sell your shares at an attractive price or at all. Furthermore, an inactive market may also impair Factorial Energy’s ability to raise capital by selling shares of Factorial Energy Common Stock in the future, and may impair Factorial Energy’s ability to enter into strategic collaborations or acquire companies or products by using shares of Factorial Energy’s common stock as consideration.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sales or issuances, or the perception of future sales or issuances, by Factorial Energy or its stockholders in the public market, including through conversion of the Series B Common Stock, could cause the market price for Factorial Energy’s securities to decline and dilution to Factorial Energy’s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51485"/>
                <wp:effectExtent l="0" t="0" r="0" b="0"/>
                <wp:wrapNone/>
                <wp:docPr id="65" name="Frame65"/>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sale or issuance of Factorial Energy’s securities in the public market, or the perception that such sales or issuances could occur, including through the conversion of the Series B Common Stock into Series A Common Stock or any additional issuances of the Series B Common Stock, could harm the prevailing market price of Factorial Energy’s securities and cause dilution to Factorial Energy’s stockholders. The lock-up restrictions applicable to the vast majority of the shares of Series A Common Stock issued in the Merger have expired as a result of the satisfaction of the applicable trading price conditions set forth therein. In addition, we have registered the resale of such shares of Series A Common Stock (including shares issuable upon conversion of the Series B Common Stock or exercise of certain warrants or options) issued to persons who acquired such shares in transactions exempt from registration under the Securities Act. As a result, substantially all of our outstanding shares of Series A Common Stock (including shares issuable upon conversion or exercise of other securities) may be sold at any time, subject only to compliance with insider trading laws and restrictions under our insider trading policy applicable to our officers, directors, employees and certain entities with which they are affiliated. These sales, issuances or conversions, or the possibility that these sales, issuances or conversions may occur, also might make it more difficult for Factorial Energy to sell equity securities in the future at a time and at a price that Factorial Energy deems appropriate.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Shares of Series A Common Stock reserved for future issuance under its equity incentive plans will become eligible for sale in the public market once those shares are issued, subject to provisions relating to various vesting agreements and, in some cases, limitations on volume and manner of sale applicable to affiliates under Rule 144, as applicable. The compensation committee of the Factorial Energy Board may determine the exact number of shares to be reserved for future issuance under Factorial Energy’s equity incentive plans at its discretion. Factorial Energy has filed, and expects to continue to file, registration statements on Form S-8 under the Securities Act to register shares of Series A Common Stock or securities convertible into or exchangeable for shares of Series A Common Stock issued pursuant to its equity incentive plans. Any such Form S-8 registration statements will automatically become effective upon filing. Accordingly, shares registered under such registration statements will be available for sale in the open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Factorial Energy may also issue its securities in connection with investments or acquisitions. The number of shares of Series A Common Stock issued in connection with an investment or acquisition could constitute a material portion of Factorial Energy’s then-outstanding shares of Series A Common Stock. Any issuance of additional securities in connection with investments or acquisitions may result in additional dilution to Factorial Energy’s stockholders.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market price of Series A Common Stock may be volatile, and investors could lose all or part of their investment.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trading price of Series A Common Stock has been, and is likely to continue to be, highly volatile and subject to wide fluctuations in response to various factors, many of which Factorial Energy cannot control. The stock market in general, and emerging technology companies in particular, have experienced extreme price and volume fluctuations that have often been unrelated or disproportionate to the operating performance of these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Broad market and industry factors may negatively affect the market price of Series A Common Stock, regardless of its actual operating performance. In addition to the factors discussed in this “Risk Factors” section and elsewhere in this Quarterly Report, these factors include, without limitation: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success of competitive products or announcements by potential competitors of their product development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actions with respect to Factorial Energy’s products or Factorial Energy’s competitors’ products or product candidates;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changes in Factorial Energy’s growth rate relative to its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regulatory or legal developments in the United States and other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developments or disputes concerning Factorial Energy’s patent applications, issued patents, or other proprietary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recruitment or departure of key personnel;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by Factorial Energy or its competitors of significant acquisitions, strategic collaborations, joint ventures, collaborations or capital commitments;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fluctuations in the valuation of companies perceived by investors to be comparable to Factorial Energy;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market conditions in the EV or battery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51485"/>
                <wp:effectExtent l="0" t="0" r="0" b="0"/>
                <wp:wrapNone/>
                <wp:docPr id="66" name="Frame66"/>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share price and volume fluctuations attributable to inconsistent trading volume levels of Series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Series A Common Stock and Series B Common Stock by Factorial Energy, its insiders or its other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expiration of market stand-off or lock-up agreements;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impact of any public health emergencies, natural disasters, or geopolitical events, including civil or political unrest or military conflicts;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political, industry and market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realization of any of the above risks or any of a broad range of other risks, including those described in this “Risk Factors” section, could have a dramatic and adverse impact on the market price of Series A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Factorial Energy’s management has limited experience in operating a public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Factorial Energy’s executive officers have limited experience in the management of a publicly traded company. As a public company, Factorial Energy is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Factorial Energy. Additionally, Factorial Energy may not have adequate personnel with the appropriate level of knowledge, experience, and training in the accounting policies, practices or internal controls over financial reporting required of public companies in the United States.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Factorial Energy incurs significant expenses and administrative burdens as a public company, which could have an adverse effect on Factorial Energy’s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public company, Factorial Energy incurs significant legal, accounting and other expenses. Factorial Energy is subject to the reporting requirements of the Exchange Act, the Sarbanes-Oxley Act, and the Dodd-Frank Wall Street Reform and Protection Act, as well as rules adopted, and to be adopted, by the SEC and Nasdaq. In addition, changing 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time-consuming. Factorial Energy has hired, and continues to hire, additional accounting, finance, and other personnel in connection with being a public company. Factorial Energy’s management and other personnel devote a substantial amount of time to these compliance initiatives and Factorial Energy cannot accurately predict or estimate the amount or timing of additional costs it may incur to respond to these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as a public company, Factorial Energy is required to incur additional costs and obligations in order to comply with SEC rules that implement Section 404 of the Sarbanes-Oxley Act. Under these rules, Factorial Energy is required to maintain effective disclosure and financial controls and to make a formal assessment of the effectiveness of its internal control over financial reporting.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Factorial Energy is required to develop and maintain proper and effective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private company, Legacy Factorial was not required to perform an evaluation of internal control over financial reporting as of December 31, 2025 in accordance with the provisions of the Sarbanes-Oxley Act of 2002. Nevertheless, Legacy Factorial identified a material weakness, as described above. This material weakness continues to exist post-Merger and be relevant to Factorial Energy. Had such an evaluation been performed, control deficiencies may have been identified by Factorial Energy’s management, and those control deficiencies could have represented one or more additional material weaknesses.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management began remediation actions in 2026 and expects to complete the remediation actions with respect to the identified material weakness during 2027 and to incur approximately $0.8 million in associated costs. However, the remediation process is ongoing, and we cannot assure that it will be completed within this timeframe or that additional remediation costs will not be incurred. In addition, in connection with its transition to operating as a public company, Factorial Energy has taken, and intends to continue to take, certain steps, such as recruiting additional personnel, in addition to utilizing third-party consultants and specialists, to supplement its internal resources, and to enhance its internal control environment. Factorial Energy cannot assure you that the measures it takes will be sufficient to prevent or avoid potential future material weaknesses.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51485"/>
                <wp:effectExtent l="0" t="0" r="0" b="0"/>
                <wp:wrapNone/>
                <wp:docPr id="67" name="Frame67"/>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Factorial Energy is not able to maintain effective internal control over financial reporting and disclosure controls and procedures, or if material weaknesses are discovered in future periods, it may be unable to accurately and timely report its financial position, results of operations, cash flows or key operating metrics, which could result in late filings of annual or quarterly reports under the Exchange Act, restatements of financial statements or other corrective disclosures, an inability to access equity or debt capital or commercial lending markets, or other material adverse effects on its business, reputation, results of operations, financial condition or liquidity. Factorial Energy’s investors could lose confidence in Factorial Energy’s reported financial information, the market price of Series A Common Stock could decline, and Factorial Energy could be subject to sanctions or investigations by Nasdaq, the SEC or other regulatory authorities.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Factorial Energy is controlled or substantially influenced by the Legacy Factorial Founders, whose interests may conflict with other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Dr. Siyu Huang, Factorial Energy’s Co-Founder and Chief Executive Officer and Dr. Alex Yu, Factorial Energy’s Co-Founder and Chief Technology Officer (together, the “Legacy Factorial Founders”) owned, collectively with their affiliated trusts, approximately 19.1% of the outstanding Factorial Energy Common Stock as of June 30, 2026. Additionally, as the Legacy Factorial Founders own shares of Series B Common Stock, representing ten votes per share, the Legacy Factorial Founders have, collectively, approximately 62.9% of the total voting power of the outstanding Factorial Energy Common Stock as of June 30, 2026. As a result of this dual-class structure, the Legacy Factorial Founders control Factorial Energy. As long as the Legacy Factorial Founders continue to hold at least 62.7% of the Series B Common Stock, the Legacy Factorial Founders will hold a majority of the total voting power of Factorial Energy Common Stock and, accordingly, may be deemed to control Factorial Energy. Although Factorial Energy does not intend to avail itself of any exemptions for a “controlled company” under Nasdaq rules, for so long as the Legacy Factorial Founders hold a majority of the voting power of the Factorial Energy Common Stock, Factorial Energy qualifies as a “controlled company.” As a “controlled company” under the corporate governance requirements of Nasdaq, Factorial Energy is eligible for exemptions from certain corporate governance requirements, including the requirement that a majority of its board of directors be composed of “independent directors” under Nasdaq rules and that its compensation committee consist entirely of independent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Legacy Factorial Founders may have interests different than yours and may make decisions, including with respect to business combinations, financings, issuances of additional equity, restructurings or other transactions, that conflict with your interests. Additionally, the Legacy Factorial Founders’ concentrated control could have the effect of delaying, preventing or deterring a change in control of Factorial Energy, could deprive you of an opportunity to receive a premium for your shares as part of a sale of Factorial Energy and could ultimately affect the market price of Factorial Energy’s securities. For example, because the Legacy Factorial Founders may have purchased their shares at prices substantially below the price at which shares are being sold in this transaction and have held their shares for a longer period, they may be more interested in selling Factorial Energy to an acquirer than other investors or they may want Factorial Energy to pursue strategies that deviate from the interests of other stockholders. This disproportionate voting control is expected to persist for the foreseeable future. So long as the Legacy Factorial Founders continue to hold Series B Common Stock, you will have limited ability to influence corporate matters and could be outvoted on any matter submitted to a vote of stockholders.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Factorial Energy is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Factorial Energy is, an “emerging growth company” within the meaning of the Securities Act, as modified by the JOBS Act. Accordingly,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the last day of the fiscal year ending after the fifth anniversary of the effectiveness of CGC’s IPO registration statement, although circumstances could cause us to lose that status earlier, including if the market value of our Series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51485"/>
                <wp:effectExtent l="0" t="0" r="0" b="0"/>
                <wp:wrapNone/>
                <wp:docPr id="68" name="Frame68"/>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CGC was a “smaller reporting company” as defined in Item 10(f)(1) of Regulation S-K. Smaller reporting companies may take advantage of certain reduced disclosure obligations, including, among other things, providing only two years of audited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the Closing, the Factorial Energy determined it is no longer a smaller reporting company. However, for as long as Factorial Energy qualifies as an emerging growth company, the Company does not expect the loss of smaller reporting company status to have a material effect on its reporting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2026, a certain institutional investor purchased from the Company an aggregate of 6,340,000 shares of Series A Common Stock for an aggregate purchase price of $55.0 million, pursuant to a stock purchase agreement, and an affiliate of Sponsor purchased from the Company an aggregate of 1,179,404 shares of Series A Common Stock, for an aggregate purchase price of $9.7 million pursuant to a stock purchase agreement. The institutional investor and the Sponsor affiliate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issuances were made in transactions not involving a public offering pursuant to an exemption from the registration requirements of the Securities Act in reliance upon Section 4(a)(2) of the Securities Act. The resale of such shares was subsequently registered on a registration statement on Form S-1 with the SEC, which was declared effective on July 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10b5-1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11, 2026, Jason Duva, our General Counsel, entered into a written trading plan intended to satisfy the affirmative defense conditions of Rule 10b5-1(c) under the Exchange Act. Subject to the terms of the plan, Mr. Duva may sell up to 600,000 shares of our Series A Common Stock, representing shares issuable upon exercise of outstanding stock options with an exercise price of $0.88 per share. The plan will terminate on June 11, 2027, or upon the earlier completion of all transactions under the plan. The plan was adopted during an open trading window, and no sales will commence under the plan until completion of the applicable cooling-off period required by Rule 10b5-1(c).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16, 2026, Siyu Huang, our Chief Executive Officer, as trustee of the North Point Family Trust, entered into a written trading plan intended to satisfy the affirmative defense conditions of Rule 10b5-1(c) under the Exchange Act. Subject to the terms of the plan, the North Point Family Trust may sell up to 1,103,706 shares of our Series A Common Stock, including shares issuable upon exercise and/or conversion of shares of our Series B Common Stock. The plan will terminate on June 16, 2027, or upon the earlier completion of all transactions under the plan. The plan was adopted during an open trading window, and no sales will commence under the plan until completion of the applicable cooling-off period required by Rule 10b5-1(c). Such shares of Series A Common Stock subject to the plan constitute approximately 5.1% of the aggregate of 21,597,865 shares of Series A Common Stock beneficially owned by Dr. Huang and Dr. Yu.</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16, 2026, Alex Yu, our Chief Technology Officer, as trustee of the Danehy Family Trust, entered into a written trading plan intended to satisfy the affirmative defense conditions of Rule 10b5-1(c) under the Exchange Act.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51485"/>
                <wp:effectExtent l="0" t="0" r="0" b="0"/>
                <wp:wrapNone/>
                <wp:docPr id="69" name="Frame69"/>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plan, the Danehy Family Trust may sell up to 1,536,242 shares of our Series A Common Stock, including shares issuable upon exercise and/or conversion of shares of our Series B Common Stock. The plan will terminate on June 16, 2027, or upon the earlier completion of all transactions under the plan. The plan was adopted during an open trading window, and no sales will commence under the plan until completion of the applicable cooling-off period required by Rule 10b5-1(c). Such shares of Series A Common Stock subject to the plan constitute approximately 7.1% of the aggregate of 21,597,865 shares of Series A Common Stock beneficially owned by Dr. Huang and Dr. Yu.</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other directors or officers (as defined in Rule 16a-1(f) of the Exchange Act) adopted, modified or terminated a Rule 10b5-1 trading arrangement or non-Rule 10b5-1 trading arrangement (as such terms are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The following exhibits are either filed or furnished with,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3014"/>
        <w:gridCol w:w="2869"/>
        <w:gridCol w:w="2898"/>
        <w:gridCol w:w="109"/>
        <w:gridCol w:w="109"/>
        <w:gridCol w:w="158"/>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"https://www.sec.gov/Archives/edgar/data/1788013/000110465926056342/tm264324-14_424b3.htm" \l "fANNEA"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December 17, 2025, by and among Cartesian Growth Corporation III, Fenway MS, Inc., and Factorial Inc. (incorporated by reference to Annex A 1 in the Registrant’s proxy statement/prospectus filed on May 6,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"https://www.sec.gov/Archives/edgar/data/1788013/000110465926056342/tm264324-14_424b3.htm" \l "fANNEA2"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Business Combination Agreement, dated as of March 26, 2026, by and among Cartesian Growth Corporation III, Fenway MS, Inc., and Factorial Inc. (incorporated by reference to Annex A 2 in the Registrant’s proxy statement/prospectus filed on May 6,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Amendment No. 2 to Business Combination Agreement, by and among Cartesian Growth Corporation III, Factorial Inc. and Fenway MS, Inc., dated as of May 18, 2026 (incorporated by reference to the Registrant’s Current Report on Form 8 K filed on June 10, 2026).</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"https://www.sec.gov/Archives/edgar/data/2049662/000110465926072433/tm2617149d1_ex3-1.htm" \l "Exhibit:https://www.sec.gov/Archives/edgar/data/2049662/000110465926072433/tm2617149d1_ex3-1.htm"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Factorial Energy Inc. Certificate of Incorporation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"https://www.sec.gov/Archives/edgar/data/2049662/000110465926072433/tm2617149d1_ex3-2.htm" \l "Exhibit:https://www.sec.gov/Archives/edgar/data/2049662/000110465926072433/tm2617149d1_ex3-2.htm"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Factorial Energy Inc. Bylaws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"https://www.sec.gov/Archives/edgar/data/2049662/000110465926072433/tm2617149d1_ex4-1.htm" \l "Exhibit:https://www.sec.gov/Archives/edgar/data/2049662/000110465926072433/tm2617149d1_ex4-1.htm"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Specimen Series A Common Stock Certificate of Factorial Energy Inc.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"https://www.sec.gov/Archives/edgar/data/2049662/000110465926072433/tm2617149d1_ex4-2.htm" \l "Exhibit:https://www.sec.gov/Archives/edgar/data/2049662/000110465926072433/tm2617149d1_ex4-2.htm"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Warrant Agreement, dated June 5, 2026, between Factorial Energy Inc. and Continental Stock Transfer &amp; Trust Company.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"https://www.sec.gov/Archives/edgar/data/2049662/000110465926072433/tm2617149d1_ex10-1.htm" \l "Exhibit:https://www.sec.gov/Archives/edgar/data/2049662/000110465926072433/tm2617149d1_ex10-1.htm"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Amended and Restated Registration Rights Agreement, dated as of June 5, 2026, by and between the Registrant, CGC III Sponsor LLC, CGC III Sponsor DirectorCo LLC, Cantor Fitzgerald &amp; Co., certain former stockholders of Factorial Inc., and other persons and entities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"https://www.sec.gov/Archives/edgar/data/1788013/000110465926056342/tm264324-14_424b3.htm" \l "tANNE"</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Investor Stock Purchase Agreement, dated December 17, 2025, by and between the Registrant and each PIPE Investor (incorporated by reference to Annex E in the Registrant’s proxy statement/prospectus filed on May 6,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"https://www.sec.gov/Archives/edgar/data/1788013/000110465926042746/tmb-20260413xex10d26.htm" \l "Exhibit:https://www.sec.gov/Archives/edgar/data/1788013/000110465926042746/tmb-20260413xex10d26.htm"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Common Development Agreement, dated November 26, 2021, by and between Factorial Inc. and Mercedes-Benz Research &amp; Development North America, Inc., as amended by that certain Amendment #1, dated August 1, 2025 (incorporated by reference to the exhibit 10.26 to Registrant’s Registration Statement on Form S 4/A filed on April 14,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"https://www.sec.gov/Archives/edgar/data/1788013/000110465926042746/tmb-20260413xex10d27.htm" \l "Exhibit:https://www.sec.gov/Archives/edgar/data/1788013/000110465926042746/tmb-20260413xex10d27.htm"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Joint Development Agreement, dated August 20, 2021, by and between Factorial Inc. and Hyundai Motor Company (incorporated by reference to the exhibit 10.27 to Registrant’s Registration Statement on Form S 4/A filed on April 14,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"https://www.sec.gov/Archives/edgar/data/1788013/000110465926042746/tmb-20260413xex10d25.htm" \l "Exhibit:https://www.sec.gov/Archives/edgar/data/1788013/000110465926042746/tmb-20260413xex10d25.htm"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Collaboration Agreement, dated August 1, 2025, by and between Factorial Inc. and FCA US LLC (incorporated by reference to the exhibit 10.25 to Registrant’s Registration Statement on Form S 4/A filed on April 14,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"https://www.sec.gov/Archives/edgar/data/1788013/000110465926035439/tmb-20260326xex10d24.htm" \l "Exhibit:https://www.sec.gov/Archives/edgar/data/1788013/000110465926035439/tmb-20260326xex10d24.htm"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Joint Development Agreement, dated February 2, 2026, by and between Factorial Inc. and PowerCo SE (incorporated by reference to the exhibit 10.24 to Registrant’s Registration Statement on Form S 4 filed on March 27,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"https://www.sec.gov/Archives/edgar/data/1788013/000110465926035439/tmb-20260326xex10d25.htm" \l "Exhibit:https://www.sec.gov/Archives/edgar/data/1788013/000110465926035439/tmb-20260326xex10d25.htm"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Sublease, by and among 805 Middlesex Turnpike Owner LLC, ClearMotion, Inc. and Factorial Inc., dated November 11, 2022 (incorporated by reference to the exhibit 10.25 to Registrant’s Registration Statement on Form S 4 filed on March 27, 2026).</w:t>
            </w:r>
            <w:r>
              <w:rPr>
                <w:rStyle w:val="InternetLink"/>
                <w:sz w:val="20"/>
                <w:u w:val="single"/>
                <w:b w:val="false"/>
                <w:rFonts w:ascii="Times New Roman;serif" w:hAnsi="Times New Roman;serif"/>
                <w:color w:val="0000FF"/>
              </w:rPr>
              <w:fldChar w:fldCharType="end"/>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7"/>
        <w:gridCol w:w="251"/>
        <w:gridCol w:w="254"/>
        <w:gridCol w:w="109"/>
        <w:gridCol w:w="109"/>
        <w:gridCol w:w="109"/>
        <w:gridCol w:w="2965"/>
        <w:gridCol w:w="2859"/>
        <w:gridCol w:w="2887"/>
        <w:gridCol w:w="109"/>
        <w:gridCol w:w="109"/>
        <w:gridCol w:w="157"/>
      </w:tblGrid>
      <w:tr>
        <w:trPr/>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5"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"https://www.sec.gov/Archives/edgar/data/2049662/000110465926072433/tm2617149d1_ex10-8.htm" \l "Exhibit:https://www.sec.gov/Archives/edgar/data/2049662/000110465926072433/tm2617149d1_ex10-8.htm"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Employment Agreement by and between the Registrant and Siyu Huang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"https://www.sec.gov/Archives/edgar/data/2049662/000110465926072433/tm2617149d1_ex10-9.htm" \l "Exhibit:https://www.sec.gov/Archives/edgar/data/2049662/000110465926072433/tm2617149d1_ex10-9.htm"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Employment Agreement by and between the Registrant and Alex Yu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"https://www.sec.gov/Archives/edgar/data/2049662/000110465926072433/tm2617149d1_ex10-10.htm" \l "Exhibit:https://www.sec.gov/Archives/edgar/data/2049662/000110465926072433/tm2617149d1_ex10-10.htm"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Employment Agreement by and between the Registrant and Jason Duva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"https://www.sec.gov/Archives/edgar/data/2049662/000110465926072433/tm2617149d1_ex10-11.htm" \l "Exhibit:https://www.sec.gov/Archives/edgar/data/2049662/000110465926072433/tm2617149d1_ex10-11.htm"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Employment Agreement by and between the Registrant and Richard Wei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"https://www.sec.gov/Archives/edgar/data/2049662/000110465926072433/tm2617149d1_ex10-12.htm" \l "Exhibit:https://www.sec.gov/Archives/edgar/data/2049662/000110465926072433/tm2617149d1_ex10-12.htm"</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E</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"https://www.sec.gov/Archives/edgar/data/2049662/000110465926072433/tm2617149d1_ex10-12.htm" \l "Exhibit:https://www.sec.gov/Archives/edgar/data/2049662/000110465926072433/tm2617149d1_ex10-12.htm"</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mployment Agreement by and between the Registrant and Joseph Taylor (incorporated by reference to the Registrant’s Current Report on Form 8 K filed on June 10, 2026).</w:t>
            </w:r>
            <w:r>
              <w:rPr>
                <w:rStyle w:val="InternetLink"/>
                <w:sz w:val="20"/>
                <w:u w:val="single"/>
                <w:b w:val="false"/>
                <w:rFonts w:ascii="Times New Roman;serif" w:hAnsi="Times New Roman;serif"/>
                <w:color w:val="000080"/>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"https://www.sec.gov/Archives/edgar/data/1788013/000110465926042746/tmb-20260413xex10d20.htm" \l "Exhibit:https://www.sec.gov/Archives/edgar/data/1788013/000110465926042746/tmb-20260413xex10d20.htm"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Restrictive Covenant Agreement (incorporated by reference to the exhibit 10.20 to Registrant’s Registration Statement on Form S 4/A filed on April 14,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"https://www.sec.gov/Archives/edgar/data/2049662/000110465926072433/tm2617149d1_ex10-17.htm" \l "Exhibit:https://www.sec.gov/Archives/edgar/data/2049662/000110465926072433/tm2617149d1_ex10-17.htm"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2026 Equity Incentive Plan of Factorial Energy Inc., and forms of award agreements thereunder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"https://www.sec.gov/Archives/edgar/data/2049662/000110465926072433/tm2617149d1_ex10-18.htm" \l "Exhibit:https://www.sec.gov/Archives/edgar/data/2049662/000110465926072433/tm2617149d1_ex10-18.htm"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2026 Employee Stock Purchase Plan of Factorial Energy Inc.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"https://www.sec.gov/Archives/edgar/data/2049662/000110465926072433/tm2617149d1_ex10-19.htm" \l "Exhibit:https://www.sec.gov/Archives/edgar/data/2049662/000110465926072433/tm2617149d1_ex10-19.htm"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Executive Change in Control Severance Plan of Factorial Energy Inc.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"https://www.sec.gov/Archives/edgar/data/2049662/000110465926072433/tm2617149d1_ex10-20.htm" \l "Exhibit:https://www.sec.gov/Archives/edgar/data/2049662/000110465926072433/tm2617149d1_ex10-20.htm"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Senior Executive Cash Incentive Bonus Plan of Factorial Energy Inc.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"https://www.sec.gov/Archives/edgar/data/2049662/000110465926072433/tm2617149d1_ex10-14.htm" \l "Exhibit:https://www.sec.gov/Archives/edgar/data/2049662/000110465926072433/tm2617149d1_ex10-14.htm"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Director Indemnification Agreement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"https://www.sec.gov/Archives/edgar/data/2049662/000110465926072433/tm2617149d1_ex10-15.htm" \l "Exhibit:https://www.sec.gov/Archives/edgar/data/2049662/000110465926072433/tm2617149d1_ex10-15.htm"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Officer Indemnification Agreement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"https://www.sec.gov/Archives/edgar/data/2049662/000110465926072433/tm2617149d1_ex10-21.htm" \l "Exhibit:https://www.sec.gov/Archives/edgar/data/2049662/000110465926072433/tm2617149d1_ex10-21.htm"</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Non-Employee Director Compensation Policy of Factorial Energy Inc. (incorporated by reference to the Registrant’s Current Report on Form 8 K filed on June 10, 2026).</w:t>
            </w:r>
            <w:r>
              <w:rPr>
                <w:rStyle w:val="InternetLink"/>
                <w:sz w:val="20"/>
                <w:u w:val="single"/>
                <w:b w:val="false"/>
                <w:rFonts w:ascii="Times New Roman;serif" w:hAnsi="Times New Roman;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2202610-qexhibit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Adopted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10-q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Certain schedules and similar attachments to this exhibit have been omitted in accordance with Regulation S-K Item 601(a)(5). The Registrant agrees to furnish a copy of all omitted schedules and similar attachments to the SEC upon its request.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#Portions of this exhibit have been omitted pursuant to Item 601(b)(10)(iv) of Regulation S-K because the registrant has determined they are not material and is the type of information that the registrant treats as private or confidential.</w:t>
      </w:r>
    </w:p>
    <w:p>
      <w:pPr>
        <w:pStyle w:val="TextBody"/>
        <w:bidi w:val="0"/>
        <w:spacing w:lineRule="auto" w:line="288" w:before="120" w:after="283"/>
        <w:ind w:left="0" w:right="0" w:hanging="36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Certain schedules and similar attachments to this exhibit have been omitted in accordance with Regulation S-K Item 601(a)(5). The Registrant agrees to furnish a copy of all omitted schedules and similar attachments to the Commission upon its request.</w:t>
      </w:r>
    </w:p>
    <w:p>
      <w:pPr>
        <w:pStyle w:val="TextBody"/>
        <w:bidi w:val="0"/>
        <w:spacing w:lineRule="auto" w:line="288" w:before="120" w:after="283"/>
        <w:ind w:left="0" w:right="0" w:hanging="360"/>
        <w:jc w:val="left"/>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Indicates management contract or compensatory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 xml:space="preserve">⁑ </w:t>
      </w:r>
      <w:r>
        <w:rPr>
          <w:rFonts w:ascii="Times New Roman;serif" w:hAnsi="Times New Roman;serif"/>
          <w:b w:val="false"/>
          <w:color w:val="000000"/>
          <w:sz w:val="20"/>
        </w:rPr>
        <w:t>This certification is deemed not filed for purpose of section 18 of the Exchange Act or otherwise subject to the liability of that section, nor shall it be deemed incorporated by reference into any filing under the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240"/>
        <w:jc w:val="left"/>
        <w:rPr/>
      </w:pPr>
      <w:hyperlink w:anchor="i8ee000375de34f2cbcd7f3342f4c65d8_68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20" w:after="283"/>
        <w:jc w:val="both"/>
        <w:rPr/>
      </w:pPr>
      <w:r>
        <w:rPr/>
      </w:r>
    </w:p>
    <w:tbl>
      <w:tblPr>
        <w:tblW w:w="959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4"/>
        <w:gridCol w:w="134"/>
        <w:gridCol w:w="136"/>
        <w:gridCol w:w="109"/>
        <w:gridCol w:w="109"/>
        <w:gridCol w:w="109"/>
        <w:gridCol w:w="1929"/>
        <w:gridCol w:w="1929"/>
        <w:gridCol w:w="272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FACTORIAL ENERGY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Siyu Huang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Siyu Huang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Co-founder, Chief Executive Officer and Director (Principal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Wei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Wei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51485"/>
                <wp:effectExtent l="0" t="0" r="0" b="0"/>
                <wp:wrapNone/>
                <wp:docPr id="73" name="Frame73"/>
                <a:graphic xmlns:a="http://schemas.openxmlformats.org/drawingml/2006/main">
                  <a:graphicData uri="http://schemas.microsoft.com/office/word/2010/wordprocessingShape">
                    <wps:wsp>
                      <wps:cNvSpPr txBox="1"/>
                      <wps:spPr>
                        <a:xfrm>
                          <a:off x="0" y="0"/>
                          <a:ext cx="6480175" cy="451485"/>
                        </a:xfrm>
                        <a:prstGeom prst="rect"/>
                        <a:solidFill>
                          <a:srgbClr val="FFFFFF"/>
                        </a:solidFill>
                      </wps:spPr>
                      <wps:txb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8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Siyu Huang,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Factorial Energy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5607"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1209"/>
        <w:gridCol w:w="1209"/>
        <w:gridCol w:w="172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139"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Siyu Huang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Siyu Huang</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Richard Wei, certify that: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Factorial Energy Inc.;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88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07"/>
        <w:gridCol w:w="707"/>
        <w:gridCol w:w="100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241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Richard Wei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Richard Wei</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Siyu Huang, Co-founder, Chief Executive Officer and Director of Factorial Energy Inc. (the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5607"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1209"/>
        <w:gridCol w:w="1209"/>
        <w:gridCol w:w="172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4139"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Siyu Huang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Siyu Huang</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Co-founder, Chief Executive Officer and Director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 Richard Wei, Chief Financial Officer of Factorial Energy Inc. (the “Company”), do hereby certify, pursuant to 18 U.S.C. Section 1350, as adopted pursuant to Section 906 of the Sarbanes-Oxley Act of 2002, that to the best of my knowledge: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tbl>
      <w:tblPr>
        <w:tblW w:w="3883" w:type="dxa"/>
        <w:jc w:val="left"/>
        <w:tblInd w:w="0" w:type="dxa"/>
        <w:tblLayout w:type="fixed"/>
        <w:tblCellMar>
          <w:top w:w="28" w:type="dxa"/>
          <w:left w:w="28" w:type="dxa"/>
          <w:bottom w:w="28" w:type="dxa"/>
          <w:right w:w="28" w:type="dxa"/>
        </w:tblCellMar>
      </w:tblPr>
      <w:tblGrid>
        <w:gridCol w:w="271"/>
        <w:gridCol w:w="238"/>
        <w:gridCol w:w="238"/>
        <w:gridCol w:w="238"/>
        <w:gridCol w:w="238"/>
        <w:gridCol w:w="245"/>
        <w:gridCol w:w="707"/>
        <w:gridCol w:w="707"/>
        <w:gridCol w:w="100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46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2415" w:type="dxa"/>
            <w:gridSpan w:val="3"/>
            <w:tcBorders/>
            <w:tcMar>
              <w:top w:w="0" w:type="dxa"/>
              <w:left w:w="0" w:type="dxa"/>
              <w:bottom w:w="0" w:type="dxa"/>
              <w:right w:w="0" w:type="dxa"/>
            </w:tcMar>
            <w:vAlign w:val="center"/>
          </w:tcPr>
          <w:p>
            <w:pPr>
              <w:pStyle w:val="TableContents"/>
              <w:bidi w:val="0"/>
              <w:spacing w:lineRule="auto" w:line="240" w:before="30" w:after="3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Richard Wei </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Richard Wei</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30"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49662/000110465926063016/tm2614914d1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49406</Words>
  <Characters>279136</Characters>
  <CharactersWithSpaces>326851</CharactersWithSpaces>
  <Paragraphs>2629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