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17405d1_1515d.htm"/>
      <w:bookmarkStart w:id="1" w:name="kstm2617405d1_1515d"/>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15-15D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AND NOTICE OF TERMINATION OF REGISTRATION UNDER SECTION 12(g) OF THE SECURITIES EXCHANGE ACT OF 1934 OR SUSPENSION OF DUTY TO FILE REPORTS UNDER SECTIONS 13 AND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333-294663-01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FACTORIAL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805 Middlesex Turnpike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Billerica, MA 01821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(617) 315-9733</w:t>
        <w:br/>
      </w: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 of securities covered by this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(Titles of all other classes of securities for which a duty to file reports under section 13(a) or 15(d) remains)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place an X in the box(es) to designate the appropriate rule provision(s) relied upon to terminate or suspend the duty to file reports:</w:t>
      </w:r>
    </w:p>
    <w:p>
      <w:pPr>
        <w:pStyle w:val="TextBody"/>
        <w:bidi w:val="0"/>
        <w:spacing w:before="0" w:after="0"/>
        <w:ind w:left="0" w:right="0" w:firstLine="360"/>
        <w:jc w:val="left"/>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75"/>
        <w:gridCol w:w="1895"/>
        <w:gridCol w:w="245"/>
      </w:tblGrid>
      <w:tr>
        <w:trPr/>
        <w:tc>
          <w:tcPr>
            <w:tcW w:w="7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Rule 12g-4(a)(1)</w:t>
            </w:r>
          </w:p>
        </w:tc>
        <w:tc>
          <w:tcPr>
            <w:tcW w:w="245" w:type="dxa"/>
            <w:tcBorders/>
            <w:vAlign w:val="center"/>
          </w:tcPr>
          <w:p>
            <w:pPr>
              <w:pStyle w:val="TableContents"/>
              <w:bidi w:val="0"/>
              <w:spacing w:before="0" w:after="283"/>
              <w:jc w:val="right"/>
              <w:rPr/>
            </w:pPr>
            <w:r>
              <w:rPr/>
              <w:t>☐</w:t>
            </w:r>
          </w:p>
        </w:tc>
      </w:tr>
      <w:tr>
        <w:trPr/>
        <w:tc>
          <w:tcPr>
            <w:tcW w:w="7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Rule 12g-4(a)(2)</w:t>
            </w:r>
          </w:p>
        </w:tc>
        <w:tc>
          <w:tcPr>
            <w:tcW w:w="245" w:type="dxa"/>
            <w:tcBorders/>
            <w:vAlign w:val="center"/>
          </w:tcPr>
          <w:p>
            <w:pPr>
              <w:pStyle w:val="TableContents"/>
              <w:bidi w:val="0"/>
              <w:spacing w:before="0" w:after="283"/>
              <w:jc w:val="right"/>
              <w:rPr/>
            </w:pPr>
            <w:r>
              <w:rPr/>
              <w:t>☐</w:t>
            </w:r>
          </w:p>
        </w:tc>
      </w:tr>
      <w:tr>
        <w:trPr/>
        <w:tc>
          <w:tcPr>
            <w:tcW w:w="7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Rule 12h-3(b)(1)(i)</w:t>
            </w:r>
          </w:p>
        </w:tc>
        <w:tc>
          <w:tcPr>
            <w:tcW w:w="245" w:type="dxa"/>
            <w:tcBorders/>
            <w:vAlign w:val="center"/>
          </w:tcPr>
          <w:p>
            <w:pPr>
              <w:pStyle w:val="TableContents"/>
              <w:bidi w:val="0"/>
              <w:spacing w:before="0" w:after="283"/>
              <w:jc w:val="right"/>
              <w:rPr/>
            </w:pPr>
            <w:r>
              <w:rPr/>
              <w:t>☒</w:t>
            </w:r>
          </w:p>
        </w:tc>
      </w:tr>
      <w:tr>
        <w:trPr/>
        <w:tc>
          <w:tcPr>
            <w:tcW w:w="7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Rule 12h-3(b)(1)(ii)</w:t>
            </w:r>
          </w:p>
        </w:tc>
        <w:tc>
          <w:tcPr>
            <w:tcW w:w="245" w:type="dxa"/>
            <w:tcBorders/>
            <w:vAlign w:val="center"/>
          </w:tcPr>
          <w:p>
            <w:pPr>
              <w:pStyle w:val="TableContents"/>
              <w:bidi w:val="0"/>
              <w:spacing w:before="0" w:after="283"/>
              <w:jc w:val="right"/>
              <w:rPr/>
            </w:pPr>
            <w:r>
              <w:rPr/>
              <w:t>☐</w:t>
            </w:r>
          </w:p>
        </w:tc>
      </w:tr>
      <w:tr>
        <w:trPr/>
        <w:tc>
          <w:tcPr>
            <w:tcW w:w="7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Rule 15d-6</w:t>
            </w:r>
          </w:p>
        </w:tc>
        <w:tc>
          <w:tcPr>
            <w:tcW w:w="245" w:type="dxa"/>
            <w:tcBorders/>
            <w:vAlign w:val="center"/>
          </w:tcPr>
          <w:p>
            <w:pPr>
              <w:pStyle w:val="TableContents"/>
              <w:bidi w:val="0"/>
              <w:spacing w:before="0" w:after="283"/>
              <w:jc w:val="right"/>
              <w:rPr/>
            </w:pPr>
            <w:r>
              <w:rPr/>
              <w:t>☐</w:t>
            </w:r>
          </w:p>
        </w:tc>
      </w:tr>
      <w:tr>
        <w:trPr/>
        <w:tc>
          <w:tcPr>
            <w:tcW w:w="7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Rule 15d-22(b)</w:t>
            </w:r>
          </w:p>
        </w:tc>
        <w:tc>
          <w:tcPr>
            <w:tcW w:w="245" w:type="dxa"/>
            <w:tcBorders/>
            <w:vAlign w:val="center"/>
          </w:tcPr>
          <w:p>
            <w:pPr>
              <w:pStyle w:val="TableContents"/>
              <w:bidi w:val="0"/>
              <w:spacing w:before="0" w:after="283"/>
              <w:jc w:val="right"/>
              <w:rPr/>
            </w:pPr>
            <w:r>
              <w:rPr/>
              <w: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 number of holders of record as of the certification or notice date: 1*</w:t>
      </w:r>
    </w:p>
    <w:p>
      <w:pPr>
        <w:pStyle w:val="TextBody"/>
        <w:bidi w:val="0"/>
        <w:spacing w:before="0" w:after="0"/>
        <w:ind w:left="0" w:right="0" w:hanging="0"/>
        <w:jc w:val="left"/>
        <w:rPr>
          <w:caps/>
        </w:rPr>
      </w:pPr>
      <w:r>
        <w:rPr>
          <w:caps/>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b/>
                <w:caps/>
              </w:rPr>
            </w:pPr>
            <w:r>
              <w:rPr>
                <w:b/>
                <w:caps/>
              </w:rPr>
              <w:t>*</w:t>
            </w:r>
          </w:p>
        </w:tc>
        <w:tc>
          <w:tcPr>
            <w:tcW w:w="10050" w:type="dxa"/>
            <w:tcBorders/>
            <w:vAlign w:val="center"/>
          </w:tcPr>
          <w:p>
            <w:pPr>
              <w:pStyle w:val="TableContents"/>
              <w:bidi w:val="0"/>
              <w:spacing w:before="0" w:after="283"/>
              <w:jc w:val="left"/>
              <w:rPr/>
            </w:pPr>
            <w:r>
              <w:rPr/>
              <w:t>Effective as of June 5, 2026, Factorial Inc., a Delaware corporation (“Factorial”), consummated the previously announced business combination (and any other transactions contemplated thereby, the “Business Combination”) with Cartesian Growth Corporation III, a Cayman Islands exempted company (“PubCo”) and Fenway MS, Inc., a Delaware corporation and wholly-owned subsidiary of PubCo (“Merger Sub”). As part of the Business Combination, (1) PubCo de-registered in the Cayman Islands and transferred by way of continuation out of the Cayman Islands and into the State of Delaware so as to migrate and domesticate as a Delaware corporation, and (2) Merger Sub merged with and into Factorial (the “Merger”) with Factorial surviving the Merger as a wholly-owned subsidiary of PubCo. In connection with the consummation of the Business Combination, PubCo was renamed Factorial Energy Inc. This Form 15 relates solely to the reporting obligations of Factorial under the Securities Exchange Act of 1934, as amended (“Exchange Act”), and does not affect the reporting obligations of PubCo under the Exchange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Factorial Inc. has caused this certification/notice to be signed on its behalf by the undersigned duly authorized person.</w:t>
      </w:r>
    </w:p>
    <w:p>
      <w:pPr>
        <w:pStyle w:val="TextBody"/>
        <w:bidi w:val="0"/>
        <w:spacing w:before="0" w:after="0"/>
        <w:ind w:left="0" w:right="0" w:firstLine="720"/>
        <w:jc w:val="left"/>
        <w:rPr>
          <w:caps w:val="false"/>
          <w:smallCaps w:val="false"/>
        </w:rPr>
      </w:pPr>
      <w:r>
        <w:rPr>
          <w:caps w:val="false"/>
          <w:smallCaps w:val="false"/>
        </w:rPr>
        <w:t> </w:t>
      </w:r>
    </w:p>
    <w:tbl>
      <w:tblPr>
        <w:tblW w:w="4950" w:type="dxa"/>
        <w:jc w:val="left"/>
        <w:tblInd w:w="0" w:type="dxa"/>
        <w:tblLayout w:type="fixed"/>
        <w:tblCellMar>
          <w:top w:w="0" w:type="dxa"/>
          <w:left w:w="0" w:type="dxa"/>
          <w:bottom w:w="0" w:type="dxa"/>
          <w:right w:w="0" w:type="dxa"/>
        </w:tblCellMar>
      </w:tblPr>
      <w:tblGrid>
        <w:gridCol w:w="1940"/>
        <w:gridCol w:w="710"/>
        <w:gridCol w:w="2300"/>
      </w:tblGrid>
      <w:tr>
        <w:trPr/>
        <w:tc>
          <w:tcPr>
            <w:tcW w:w="1940" w:type="dxa"/>
            <w:tcBorders/>
            <w:vAlign w:val="center"/>
          </w:tcPr>
          <w:p>
            <w:pPr>
              <w:pStyle w:val="TableContents"/>
              <w:bidi w:val="0"/>
              <w:spacing w:before="0" w:after="283"/>
              <w:jc w:val="both"/>
              <w:rPr/>
            </w:pPr>
            <w:r>
              <w:rPr/>
              <w:t>Date: June 10, 2026</w:t>
            </w:r>
          </w:p>
        </w:tc>
        <w:tc>
          <w:tcPr>
            <w:tcW w:w="3010" w:type="dxa"/>
            <w:gridSpan w:val="2"/>
            <w:tcBorders/>
            <w:vAlign w:val="center"/>
          </w:tcPr>
          <w:p>
            <w:pPr>
              <w:pStyle w:val="TableContents"/>
              <w:bidi w:val="0"/>
              <w:spacing w:before="0" w:after="283"/>
              <w:jc w:val="both"/>
              <w:rPr>
                <w:b/>
              </w:rPr>
            </w:pPr>
            <w:r>
              <w:rPr>
                <w:b/>
              </w:rPr>
              <w:t>FACTORIAL INC.</w:t>
            </w:r>
          </w:p>
        </w:tc>
      </w:tr>
      <w:tr>
        <w:trPr/>
        <w:tc>
          <w:tcPr>
            <w:tcW w:w="1940" w:type="dxa"/>
            <w:tcBorders/>
            <w:vAlign w:val="center"/>
          </w:tcPr>
          <w:p>
            <w:pPr>
              <w:pStyle w:val="TableContents"/>
              <w:bidi w:val="0"/>
              <w:spacing w:before="0" w:after="283"/>
              <w:jc w:val="both"/>
              <w:rPr/>
            </w:pPr>
            <w:r>
              <w:rPr/>
              <w:t> </w:t>
            </w:r>
          </w:p>
        </w:tc>
        <w:tc>
          <w:tcPr>
            <w:tcW w:w="710" w:type="dxa"/>
            <w:tcBorders/>
            <w:vAlign w:val="center"/>
          </w:tcPr>
          <w:p>
            <w:pPr>
              <w:pStyle w:val="TableContents"/>
              <w:bidi w:val="0"/>
              <w:spacing w:before="0" w:after="283"/>
              <w:jc w:val="both"/>
              <w:rPr/>
            </w:pPr>
            <w:r>
              <w:rPr/>
              <w:t> </w:t>
            </w:r>
          </w:p>
        </w:tc>
        <w:tc>
          <w:tcPr>
            <w:tcW w:w="2300" w:type="dxa"/>
            <w:tcBorders/>
            <w:vAlign w:val="center"/>
          </w:tcPr>
          <w:p>
            <w:pPr>
              <w:pStyle w:val="TableContents"/>
              <w:bidi w:val="0"/>
              <w:spacing w:before="0" w:after="283"/>
              <w:jc w:val="both"/>
              <w:rPr/>
            </w:pPr>
            <w:r>
              <w:rPr/>
              <w:t> </w:t>
            </w:r>
          </w:p>
        </w:tc>
      </w:tr>
      <w:tr>
        <w:trPr/>
        <w:tc>
          <w:tcPr>
            <w:tcW w:w="1940" w:type="dxa"/>
            <w:tcBorders/>
            <w:vAlign w:val="center"/>
          </w:tcPr>
          <w:p>
            <w:pPr>
              <w:pStyle w:val="TableContents"/>
              <w:bidi w:val="0"/>
              <w:spacing w:before="0" w:after="283"/>
              <w:jc w:val="both"/>
              <w:rPr/>
            </w:pPr>
            <w:r>
              <w:rPr/>
              <w:t> </w:t>
            </w:r>
          </w:p>
        </w:tc>
        <w:tc>
          <w:tcPr>
            <w:tcW w:w="710" w:type="dxa"/>
            <w:tcBorders/>
            <w:vAlign w:val="center"/>
          </w:tcPr>
          <w:p>
            <w:pPr>
              <w:pStyle w:val="TableContents"/>
              <w:bidi w:val="0"/>
              <w:spacing w:before="0" w:after="283"/>
              <w:jc w:val="both"/>
              <w:rPr/>
            </w:pPr>
            <w:r>
              <w:rPr/>
              <w:t>By:</w:t>
            </w:r>
          </w:p>
        </w:tc>
        <w:tc>
          <w:tcPr>
            <w:tcW w:w="2300" w:type="dxa"/>
            <w:tcBorders>
              <w:bottom w:val="single" w:sz="8" w:space="0" w:color="000000"/>
            </w:tcBorders>
            <w:tcMar>
              <w:bottom w:w="30" w:type="dxa"/>
            </w:tcMar>
            <w:vAlign w:val="center"/>
          </w:tcPr>
          <w:p>
            <w:pPr>
              <w:pStyle w:val="TableContents"/>
              <w:bidi w:val="0"/>
              <w:spacing w:before="0" w:after="283"/>
              <w:jc w:val="both"/>
              <w:rPr/>
            </w:pPr>
            <w:r>
              <w:rPr>
                <w:i/>
              </w:rPr>
              <w:t xml:space="preserve">/s/ </w:t>
            </w:r>
            <w:r>
              <w:rPr/>
              <w:t>Siyu Huang</w:t>
            </w:r>
          </w:p>
        </w:tc>
      </w:tr>
      <w:tr>
        <w:trPr/>
        <w:tc>
          <w:tcPr>
            <w:tcW w:w="1940" w:type="dxa"/>
            <w:tcBorders/>
            <w:vAlign w:val="center"/>
          </w:tcPr>
          <w:p>
            <w:pPr>
              <w:pStyle w:val="TableContents"/>
              <w:bidi w:val="0"/>
              <w:spacing w:before="0" w:after="283"/>
              <w:jc w:val="both"/>
              <w:rPr/>
            </w:pPr>
            <w:r>
              <w:rPr/>
              <w:t> </w:t>
            </w:r>
          </w:p>
        </w:tc>
        <w:tc>
          <w:tcPr>
            <w:tcW w:w="710" w:type="dxa"/>
            <w:tcBorders/>
            <w:vAlign w:val="center"/>
          </w:tcPr>
          <w:p>
            <w:pPr>
              <w:pStyle w:val="TableContents"/>
              <w:bidi w:val="0"/>
              <w:spacing w:before="0" w:after="283"/>
              <w:jc w:val="both"/>
              <w:rPr/>
            </w:pPr>
            <w:r>
              <w:rPr/>
              <w:t xml:space="preserve">Name: </w:t>
            </w:r>
          </w:p>
        </w:tc>
        <w:tc>
          <w:tcPr>
            <w:tcW w:w="2300" w:type="dxa"/>
            <w:tcBorders/>
            <w:vAlign w:val="center"/>
          </w:tcPr>
          <w:p>
            <w:pPr>
              <w:pStyle w:val="TableContents"/>
              <w:bidi w:val="0"/>
              <w:spacing w:before="0" w:after="283"/>
              <w:jc w:val="both"/>
              <w:rPr/>
            </w:pPr>
            <w:r>
              <w:rPr/>
              <w:t>Siyu Huang</w:t>
            </w:r>
          </w:p>
        </w:tc>
      </w:tr>
      <w:tr>
        <w:trPr/>
        <w:tc>
          <w:tcPr>
            <w:tcW w:w="1940" w:type="dxa"/>
            <w:tcBorders/>
            <w:vAlign w:val="center"/>
          </w:tcPr>
          <w:p>
            <w:pPr>
              <w:pStyle w:val="TableContents"/>
              <w:bidi w:val="0"/>
              <w:spacing w:before="0" w:after="283"/>
              <w:jc w:val="both"/>
              <w:rPr/>
            </w:pPr>
            <w:r>
              <w:rPr/>
              <w:t> </w:t>
            </w:r>
          </w:p>
        </w:tc>
        <w:tc>
          <w:tcPr>
            <w:tcW w:w="710" w:type="dxa"/>
            <w:tcBorders/>
            <w:vAlign w:val="center"/>
          </w:tcPr>
          <w:p>
            <w:pPr>
              <w:pStyle w:val="TableContents"/>
              <w:bidi w:val="0"/>
              <w:spacing w:before="0" w:after="283"/>
              <w:jc w:val="both"/>
              <w:rPr/>
            </w:pPr>
            <w:r>
              <w:rPr/>
              <w:t>Title:</w:t>
            </w:r>
          </w:p>
        </w:tc>
        <w:tc>
          <w:tcPr>
            <w:tcW w:w="2300" w:type="dxa"/>
            <w:tcBorders/>
            <w:vAlign w:val="center"/>
          </w:tcPr>
          <w:p>
            <w:pPr>
              <w:pStyle w:val="TableContents"/>
              <w:bidi w:val="0"/>
              <w:spacing w:before="0" w:after="283"/>
              <w:jc w:val="both"/>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384</Words>
  <Characters>2124</Characters>
  <CharactersWithSpaces>2505</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