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300"/>
        <w:ind w:left="0" w:right="0" w:hanging="0"/>
        <w:jc w:val="left"/>
        <w:rPr/>
      </w:pPr>
      <w:hyperlink w:anchor="TOC">
        <w:bookmarkStart w:id="0" w:name="tmb-20260331x10q.htm"/>
        <w:bookmarkStart w:id="1" w:name="kstmb2026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bookmarkStart w:id="2" w:name="_811d6764_6c0b_4fc3_ac70_9f1ff46a9828"/>
      <w:bookmarkEnd w:id="2"/>
      <w:r>
        <w:rPr>
          <w:rFonts w:ascii="Times New Roman;Times;serif" w:hAnsi="Times New Roman;Times;serif"/>
          <w:b/>
          <w:sz w:val="18"/>
        </w:rPr>
        <w:t>UNITED STATES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 10-Q</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(MARK ONE)</w:t>
      </w:r>
    </w:p>
    <w:p>
      <w:pPr>
        <w:pStyle w:val="TextBody"/>
        <w:bidi w:val="0"/>
        <w:spacing w:before="0" w:after="0"/>
        <w:ind w:left="0" w:right="0" w:hanging="0"/>
        <w:jc w:val="center"/>
        <w:rPr/>
      </w:pPr>
      <w:r>
        <w:rPr/>
        <w:t>☒ </w:t>
      </w:r>
      <w:r>
        <w:rPr>
          <w:rFonts w:ascii="Times New Roman;Times;serif" w:hAnsi="Times New Roman;Times;serif"/>
          <w:b/>
          <w:sz w:val="18"/>
        </w:rPr>
        <w:t>QUARTERLY REPORT PURSUANT TO SECTION 13 OR 15(d) OF THE SECURITIES EXCHANGE ACT OF 1934</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March 31, 2026</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240"/>
        <w:ind w:left="0" w:right="0" w:hanging="0"/>
        <w:jc w:val="center"/>
        <w:rPr/>
      </w:pPr>
      <w:r>
        <w:rPr/>
        <w:t>​</w:t>
      </w:r>
    </w:p>
    <w:p>
      <w:pPr>
        <w:pStyle w:val="TextBody"/>
        <w:bidi w:val="0"/>
        <w:spacing w:before="0" w:after="0"/>
        <w:ind w:left="0" w:right="0" w:hanging="0"/>
        <w:jc w:val="center"/>
        <w:rPr/>
      </w:pPr>
      <w:r>
        <w:rPr/>
        <w:t>☐ </w:t>
      </w:r>
      <w:r>
        <w:rPr>
          <w:rFonts w:ascii="Times New Roman;Times;serif" w:hAnsi="Times New Roman;Times;serif"/>
          <w:b/>
          <w:sz w:val="18"/>
        </w:rPr>
        <w:t>TRANSITION REPORT PURSUANT TO SECTION 13 OR 15(d) OF THE SECURITIES EXCHANGE ACT OF 1934</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to</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001-42629</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CARTESIAN GROWTH CORPORATION III</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WYXSZcLrLUG1YDIZo546og_2_2"/>
      <w:bookmarkStart w:id="4" w:name="Tc_mcRGBux2ikq5tGD1idVIXQ_2_0"/>
      <w:bookmarkStart w:id="5" w:name="_3f2e243f_f4f9_4645_b9a6_0e558707b513"/>
      <w:bookmarkStart w:id="6" w:name="Tc_WYXSZcLrLUG1YDIZo546og_2_2"/>
      <w:bookmarkStart w:id="7" w:name="Tc_mcRGBux2ikq5tGD1idVIXQ_2_0"/>
      <w:bookmarkStart w:id="8" w:name="_3f2e243f_f4f9_4645_b9a6_0e558707b513"/>
      <w:bookmarkEnd w:id="6"/>
      <w:bookmarkEnd w:id="7"/>
      <w:bookmarkEnd w:id="8"/>
    </w:p>
    <w:tbl>
      <w:tblPr>
        <w:tblW w:w="4038" w:type="dxa"/>
        <w:jc w:val="left"/>
        <w:tblInd w:w="0" w:type="dxa"/>
        <w:tblLayout w:type="fixed"/>
        <w:tblCellMar>
          <w:top w:w="0" w:type="dxa"/>
          <w:left w:w="0" w:type="dxa"/>
          <w:bottom w:w="0" w:type="dxa"/>
          <w:right w:w="0" w:type="dxa"/>
        </w:tblCellMar>
      </w:tblPr>
      <w:tblGrid>
        <w:gridCol w:w="2236"/>
        <w:gridCol w:w="346"/>
        <w:gridCol w:w="1456"/>
      </w:tblGrid>
      <w:tr>
        <w:trPr/>
        <w:tc>
          <w:tcPr>
            <w:tcW w:w="22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924560" cy="175260"/>
                      <wp:effectExtent l="0" t="0" r="0" b="0"/>
                      <wp:wrapNone/>
                      <wp:docPr id="1" name="Frame1"/>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3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Cayman Islands</w:t>
            </w:r>
          </w:p>
        </w:tc>
        <w:tc>
          <w:tcPr>
            <w:tcW w:w="346" w:type="dxa"/>
            <w:tcBorders/>
            <w:vAlign w:val="center"/>
          </w:tcPr>
          <w:p>
            <w:pPr>
              <w:pStyle w:val="TableContents"/>
              <w:bidi w:val="0"/>
              <w:spacing w:before="0" w:after="0"/>
              <w:ind w:left="0" w:right="0" w:hanging="0"/>
              <w:jc w:val="left"/>
              <w:rPr/>
            </w:pPr>
            <w:r>
              <w:rPr/>
              <w:t>  ​ ​ ​</w:t>
            </w:r>
          </w:p>
        </w:tc>
        <w:tc>
          <w:tcPr>
            <w:tcW w:w="145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N/A</w:t>
            </w:r>
          </w:p>
        </w:tc>
      </w:tr>
      <w:tr>
        <w:trPr/>
        <w:tc>
          <w:tcPr>
            <w:tcW w:w="2236" w:type="dxa"/>
            <w:tcBorders>
              <w:top w:val="single" w:sz="8" w:space="0" w:color="000000"/>
            </w:tcBorders>
            <w:tcMar>
              <w:top w:w="28" w:type="dxa"/>
            </w:tcMar>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w:t>
              <w:br/>
              <w:t>incorporation or organization)</w:t>
            </w:r>
          </w:p>
        </w:tc>
        <w:tc>
          <w:tcPr>
            <w:tcW w:w="346" w:type="dxa"/>
            <w:tcBorders/>
            <w:vAlign w:val="center"/>
          </w:tcPr>
          <w:p>
            <w:pPr>
              <w:pStyle w:val="TableContents"/>
              <w:bidi w:val="0"/>
              <w:spacing w:before="0" w:after="0"/>
              <w:ind w:left="0" w:right="0" w:hanging="0"/>
              <w:jc w:val="left"/>
              <w:rPr/>
            </w:pPr>
            <w:r>
              <w:rPr/>
              <w:t>​</w:t>
            </w:r>
          </w:p>
        </w:tc>
        <w:tc>
          <w:tcPr>
            <w:tcW w:w="145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(I.R.S. Employer </w:t>
              <w:br/>
              <w:t>Identification No.)</w:t>
            </w:r>
          </w:p>
        </w:tc>
      </w:tr>
    </w:tbl>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9" w:name="Tc_Jih0ptRwDEuZfTCQNPqtTA_2_2"/>
      <w:bookmarkStart w:id="10" w:name="Tc_cHr7mmuRw0e2OZOmk8bFnw_2_0"/>
      <w:bookmarkStart w:id="11" w:name="Tc_ZcLFK46N60GA1ure6Qbvcg_1_0"/>
      <w:bookmarkStart w:id="12" w:name="_eb518597_575f_4212_b044_5b3fdb391558"/>
      <w:bookmarkStart w:id="13" w:name="Tc_Jih0ptRwDEuZfTCQNPqtTA_2_2"/>
      <w:bookmarkStart w:id="14" w:name="Tc_cHr7mmuRw0e2OZOmk8bFnw_2_0"/>
      <w:bookmarkStart w:id="15" w:name="Tc_ZcLFK46N60GA1ure6Qbvcg_1_0"/>
      <w:bookmarkStart w:id="16" w:name="_eb518597_575f_4212_b044_5b3fdb391558"/>
      <w:bookmarkEnd w:id="13"/>
      <w:bookmarkEnd w:id="14"/>
      <w:bookmarkEnd w:id="15"/>
      <w:bookmarkEnd w:id="16"/>
    </w:p>
    <w:tbl>
      <w:tblPr>
        <w:tblW w:w="4203" w:type="dxa"/>
        <w:jc w:val="left"/>
        <w:tblInd w:w="0" w:type="dxa"/>
        <w:tblLayout w:type="fixed"/>
        <w:tblCellMar>
          <w:top w:w="0" w:type="dxa"/>
          <w:left w:w="0" w:type="dxa"/>
          <w:bottom w:w="0" w:type="dxa"/>
          <w:right w:w="0" w:type="dxa"/>
        </w:tblCellMar>
      </w:tblPr>
      <w:tblGrid>
        <w:gridCol w:w="2926"/>
        <w:gridCol w:w="346"/>
        <w:gridCol w:w="931"/>
      </w:tblGrid>
      <w:tr>
        <w:trPr/>
        <w:tc>
          <w:tcPr>
            <w:tcW w:w="2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91185" cy="175260"/>
                      <wp:effectExtent l="0" t="0" r="0" b="0"/>
                      <wp:wrapNone/>
                      <wp:docPr id="2" name="Frame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505 Fifth Avenue, 15th Floor</w:t>
            </w:r>
            <w:r>
              <w:rPr>
                <w:rFonts w:ascii="Times New Roman;Times;serif" w:hAnsi="Times New Roman;Times;serif"/>
                <w:sz w:val="20"/>
              </w:rPr>
              <w:t xml:space="preserve"> </w:t>
            </w:r>
            <w:r>
              <w:rPr>
                <w:rFonts w:ascii="Times New Roman;Times;serif" w:hAnsi="Times New Roman;Times;serif"/>
                <w:sz w:val="18"/>
              </w:rPr>
              <w:br/>
            </w:r>
            <w:r>
              <w:rPr>
                <w:rFonts w:ascii="Times New Roman;Times;serif" w:hAnsi="Times New Roman;Times;serif"/>
                <w:b/>
                <w:sz w:val="18"/>
              </w:rPr>
              <w:t>New York, New York</w:t>
            </w:r>
          </w:p>
        </w:tc>
        <w:tc>
          <w:tcPr>
            <w:tcW w:w="346" w:type="dxa"/>
            <w:tcBorders/>
            <w:vAlign w:val="center"/>
          </w:tcPr>
          <w:p>
            <w:pPr>
              <w:pStyle w:val="TableContents"/>
              <w:bidi w:val="0"/>
              <w:spacing w:before="0" w:after="0"/>
              <w:ind w:left="0" w:right="0" w:hanging="0"/>
              <w:jc w:val="left"/>
              <w:rPr/>
            </w:pPr>
            <w:r>
              <w:rPr/>
              <w:t>  ​ ​ ​</w:t>
            </w:r>
          </w:p>
        </w:tc>
        <w:tc>
          <w:tcPr>
            <w:tcW w:w="93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10017</w:t>
            </w:r>
          </w:p>
        </w:tc>
      </w:tr>
      <w:tr>
        <w:trPr/>
        <w:tc>
          <w:tcPr>
            <w:tcW w:w="292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346" w:type="dxa"/>
            <w:tcBorders/>
            <w:vAlign w:val="center"/>
          </w:tcPr>
          <w:p>
            <w:pPr>
              <w:pStyle w:val="TableContents"/>
              <w:bidi w:val="0"/>
              <w:spacing w:before="0" w:after="0"/>
              <w:ind w:left="0" w:right="0" w:hanging="0"/>
              <w:jc w:val="left"/>
              <w:rPr/>
            </w:pPr>
            <w:r>
              <w:rPr/>
              <w:t>​</w:t>
            </w:r>
          </w:p>
        </w:tc>
        <w:tc>
          <w:tcPr>
            <w:tcW w:w="93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(212) 461-6363</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Not Applicable</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former address and former fiscal year, if changed since last report)</w:t>
      </w:r>
    </w:p>
    <w:p>
      <w:pPr>
        <w:pStyle w:val="TextBody"/>
        <w:bidi w:val="0"/>
        <w:spacing w:before="0" w:after="240"/>
        <w:ind w:left="0" w:right="0" w:hanging="0"/>
        <w:jc w:val="center"/>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7" w:name="Tc_yDw8BL_MCkyFGCYG-cBluw_1_4"/>
      <w:bookmarkStart w:id="18" w:name="Tc_azcNUoSnIEC1nu1NrLbz_w_1_2"/>
      <w:bookmarkStart w:id="19" w:name="Tc_JRhPY5gxCEOuN68iB1-PIA_1_0"/>
      <w:bookmarkStart w:id="20" w:name="_b4d44f44_3112_47c3_9fb7_2f523706aea5"/>
      <w:bookmarkStart w:id="21" w:name="Tc_yDw8BL_MCkyFGCYG-cBluw_1_4"/>
      <w:bookmarkStart w:id="22" w:name="Tc_azcNUoSnIEC1nu1NrLbz_w_1_2"/>
      <w:bookmarkStart w:id="23" w:name="Tc_JRhPY5gxCEOuN68iB1-PIA_1_0"/>
      <w:bookmarkStart w:id="24" w:name="_b4d44f44_3112_47c3_9fb7_2f523706aea5"/>
      <w:bookmarkEnd w:id="21"/>
      <w:bookmarkEnd w:id="22"/>
      <w:bookmarkEnd w:id="23"/>
      <w:bookmarkEnd w:id="24"/>
    </w:p>
    <w:tbl>
      <w:tblPr>
        <w:tblW w:w="10205" w:type="dxa"/>
        <w:jc w:val="left"/>
        <w:tblInd w:w="0" w:type="dxa"/>
        <w:tblLayout w:type="fixed"/>
        <w:tblCellMar>
          <w:top w:w="0" w:type="dxa"/>
          <w:left w:w="0" w:type="dxa"/>
          <w:bottom w:w="0" w:type="dxa"/>
          <w:right w:w="0" w:type="dxa"/>
        </w:tblCellMar>
      </w:tblPr>
      <w:tblGrid>
        <w:gridCol w:w="5929"/>
        <w:gridCol w:w="346"/>
        <w:gridCol w:w="1229"/>
        <w:gridCol w:w="346"/>
        <w:gridCol w:w="2355"/>
      </w:tblGrid>
      <w:tr>
        <w:trPr/>
        <w:tc>
          <w:tcPr>
            <w:tcW w:w="59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764915" cy="175260"/>
                      <wp:effectExtent l="0" t="0" r="0" b="0"/>
                      <wp:wrapNone/>
                      <wp:docPr id="3" name="Frame3"/>
                      <a:graphic xmlns:a="http://schemas.openxmlformats.org/drawingml/2006/main">
                        <a:graphicData uri="http://schemas.microsoft.com/office/word/2010/wordprocessingShape">
                          <wps:wsp>
                            <wps:cNvSpPr txBox="1"/>
                            <wps:spPr>
                              <a:xfrm>
                                <a:off x="0" y="0"/>
                                <a:ext cx="3764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780415" cy="175260"/>
                      <wp:effectExtent l="0" t="0" r="0" b="0"/>
                      <wp:wrapNone/>
                      <wp:docPr id="4" name="Frame4"/>
                      <a:graphic xmlns:a="http://schemas.openxmlformats.org/drawingml/2006/main">
                        <a:graphicData uri="http://schemas.microsoft.com/office/word/2010/wordprocessingShape">
                          <wps:wsp>
                            <wps:cNvSpPr txBox="1"/>
                            <wps:spPr>
                              <a:xfrm>
                                <a:off x="0" y="0"/>
                                <a:ext cx="780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355" w:type="dxa"/>
            <w:tcBorders/>
            <w:vAlign w:val="center"/>
          </w:tcPr>
          <w:p>
            <w:pPr>
              <w:pStyle w:val="TableContents"/>
              <w:bidi w:val="0"/>
              <w:spacing w:before="0" w:after="0"/>
              <w:ind w:left="0" w:right="0" w:hanging="0"/>
              <w:jc w:val="left"/>
              <w:rPr/>
            </w:pPr>
            <w:r>
              <w:rPr/>
              <w:t>​</w:t>
            </w:r>
          </w:p>
        </w:tc>
      </w:tr>
      <w:tr>
        <w:trPr/>
        <w:tc>
          <w:tcPr>
            <w:tcW w:w="592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Title of each class</w:t>
            </w:r>
          </w:p>
        </w:tc>
        <w:tc>
          <w:tcPr>
            <w:tcW w:w="346" w:type="dxa"/>
            <w:tcBorders/>
            <w:vAlign w:val="center"/>
          </w:tcPr>
          <w:p>
            <w:pPr>
              <w:pStyle w:val="TableContents"/>
              <w:bidi w:val="0"/>
              <w:spacing w:before="0" w:after="0"/>
              <w:ind w:left="0" w:right="0" w:hanging="0"/>
              <w:jc w:val="left"/>
              <w:rPr/>
            </w:pPr>
            <w:r>
              <w:rPr/>
              <w:t>  ​ ​ ​</w:t>
            </w:r>
          </w:p>
        </w:tc>
        <w:tc>
          <w:tcPr>
            <w:tcW w:w="122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Trading Symbol(s)</w:t>
            </w:r>
          </w:p>
        </w:tc>
        <w:tc>
          <w:tcPr>
            <w:tcW w:w="346" w:type="dxa"/>
            <w:tcBorders/>
            <w:vAlign w:val="center"/>
          </w:tcPr>
          <w:p>
            <w:pPr>
              <w:pStyle w:val="TableContents"/>
              <w:bidi w:val="0"/>
              <w:spacing w:before="0" w:after="0"/>
              <w:ind w:left="0" w:right="0" w:hanging="0"/>
              <w:jc w:val="center"/>
              <w:rPr/>
            </w:pPr>
            <w:r>
              <w:rPr/>
              <w:t>  ​ ​ ​</w:t>
            </w:r>
          </w:p>
        </w:tc>
        <w:tc>
          <w:tcPr>
            <w:tcW w:w="23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Name of each exchange on which registered</w:t>
            </w:r>
          </w:p>
        </w:tc>
      </w:tr>
      <w:tr>
        <w:trPr/>
        <w:tc>
          <w:tcPr>
            <w:tcW w:w="5929"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Units, each consisting of one Class A ordinary share and one-half of one redeemable warrant</w:t>
            </w:r>
          </w:p>
        </w:tc>
        <w:tc>
          <w:tcPr>
            <w:tcW w:w="346" w:type="dxa"/>
            <w:tcBorders/>
            <w:vAlign w:val="center"/>
          </w:tcPr>
          <w:p>
            <w:pPr>
              <w:pStyle w:val="TableContents"/>
              <w:bidi w:val="0"/>
              <w:spacing w:before="0" w:after="0"/>
              <w:ind w:left="0" w:right="0" w:hanging="0"/>
              <w:jc w:val="both"/>
              <w:rPr/>
            </w:pPr>
            <w:r>
              <w:rPr/>
              <w:t> </w:t>
            </w:r>
          </w:p>
        </w:tc>
        <w:tc>
          <w:tcPr>
            <w:tcW w:w="1229"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CGCTU</w:t>
            </w:r>
          </w:p>
        </w:tc>
        <w:tc>
          <w:tcPr>
            <w:tcW w:w="346" w:type="dxa"/>
            <w:tcBorders/>
            <w:vAlign w:val="center"/>
          </w:tcPr>
          <w:p>
            <w:pPr>
              <w:pStyle w:val="TableContents"/>
              <w:bidi w:val="0"/>
              <w:spacing w:before="0" w:after="0"/>
              <w:ind w:left="0" w:right="0" w:hanging="0"/>
              <w:jc w:val="center"/>
              <w:rPr/>
            </w:pPr>
            <w:r>
              <w:rPr/>
              <w:t> </w:t>
            </w:r>
          </w:p>
        </w:tc>
        <w:tc>
          <w:tcPr>
            <w:tcW w:w="235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Nasdaq Stock Market LLC</w:t>
            </w:r>
          </w:p>
        </w:tc>
      </w:tr>
      <w:tr>
        <w:trPr/>
        <w:tc>
          <w:tcPr>
            <w:tcW w:w="5929"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Class A ordinary shares, par value $0.0001 per share</w:t>
            </w:r>
          </w:p>
        </w:tc>
        <w:tc>
          <w:tcPr>
            <w:tcW w:w="346" w:type="dxa"/>
            <w:tcBorders/>
            <w:vAlign w:val="center"/>
          </w:tcPr>
          <w:p>
            <w:pPr>
              <w:pStyle w:val="TableContents"/>
              <w:bidi w:val="0"/>
              <w:spacing w:before="0" w:after="0"/>
              <w:ind w:left="0" w:right="0" w:hanging="0"/>
              <w:jc w:val="left"/>
              <w:rPr/>
            </w:pPr>
            <w:r>
              <w:rPr/>
              <w:t> </w:t>
            </w:r>
          </w:p>
        </w:tc>
        <w:tc>
          <w:tcPr>
            <w:tcW w:w="1229"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CGCT</w:t>
            </w:r>
          </w:p>
        </w:tc>
        <w:tc>
          <w:tcPr>
            <w:tcW w:w="346" w:type="dxa"/>
            <w:tcBorders/>
            <w:vAlign w:val="center"/>
          </w:tcPr>
          <w:p>
            <w:pPr>
              <w:pStyle w:val="TableContents"/>
              <w:bidi w:val="0"/>
              <w:spacing w:before="0" w:after="0"/>
              <w:ind w:left="0" w:right="0" w:hanging="0"/>
              <w:jc w:val="center"/>
              <w:rPr/>
            </w:pPr>
            <w:r>
              <w:rPr/>
              <w:t> </w:t>
            </w:r>
          </w:p>
        </w:tc>
        <w:tc>
          <w:tcPr>
            <w:tcW w:w="235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Nasdaq Stock Market LLC</w:t>
            </w:r>
          </w:p>
        </w:tc>
      </w:tr>
      <w:tr>
        <w:trPr/>
        <w:tc>
          <w:tcPr>
            <w:tcW w:w="5929"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Warrants, each whole warrant exercisable for one Class A ordinary share at an exercise price of $11.50</w:t>
            </w:r>
          </w:p>
        </w:tc>
        <w:tc>
          <w:tcPr>
            <w:tcW w:w="346" w:type="dxa"/>
            <w:tcBorders/>
            <w:vAlign w:val="center"/>
          </w:tcPr>
          <w:p>
            <w:pPr>
              <w:pStyle w:val="TableContents"/>
              <w:bidi w:val="0"/>
              <w:spacing w:before="0" w:after="0"/>
              <w:ind w:left="0" w:right="0" w:hanging="0"/>
              <w:jc w:val="both"/>
              <w:rPr/>
            </w:pPr>
            <w:r>
              <w:rPr/>
              <w:t> </w:t>
            </w:r>
          </w:p>
        </w:tc>
        <w:tc>
          <w:tcPr>
            <w:tcW w:w="1229"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CGCTW</w:t>
            </w:r>
          </w:p>
        </w:tc>
        <w:tc>
          <w:tcPr>
            <w:tcW w:w="346" w:type="dxa"/>
            <w:tcBorders/>
            <w:vAlign w:val="center"/>
          </w:tcPr>
          <w:p>
            <w:pPr>
              <w:pStyle w:val="TableContents"/>
              <w:bidi w:val="0"/>
              <w:spacing w:before="0" w:after="0"/>
              <w:ind w:left="0" w:right="0" w:hanging="0"/>
              <w:jc w:val="center"/>
              <w:rPr/>
            </w:pPr>
            <w:r>
              <w:rPr/>
              <w:t> </w:t>
            </w:r>
          </w:p>
        </w:tc>
        <w:tc>
          <w:tcPr>
            <w:tcW w:w="235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Nasdaq 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5" w:name="Tc_9fOtsSSzF0enSnPpFpmtOQ_3_2"/>
      <w:bookmarkStart w:id="26" w:name="Tc_2bHVX4z8K0OUUdspNQB9FQ_2_2"/>
      <w:bookmarkStart w:id="27" w:name="Tc_umNsOD5tek2eAHuP0hmPRg_2_1"/>
      <w:bookmarkStart w:id="28" w:name="Tc_vehfp7QEAUadi6pryNlqjg_1_3"/>
      <w:bookmarkStart w:id="29" w:name="Tc_BDvZRo0lhkW3MGX1SAIhoA_1_2"/>
      <w:bookmarkStart w:id="30" w:name="Tc_4DVp0RCv8k6DSHUFw5FzaA_1_1"/>
      <w:bookmarkStart w:id="31" w:name="Tc_Cfy0Ibg_0EWhQWU9CHBf8w_1_0"/>
      <w:bookmarkStart w:id="32" w:name="_3acca8d6_23ea_4102_ae11_4cf53e702904"/>
      <w:bookmarkStart w:id="33" w:name="Tc_9fOtsSSzF0enSnPpFpmtOQ_3_2"/>
      <w:bookmarkStart w:id="34" w:name="Tc_2bHVX4z8K0OUUdspNQB9FQ_2_2"/>
      <w:bookmarkStart w:id="35" w:name="Tc_umNsOD5tek2eAHuP0hmPRg_2_1"/>
      <w:bookmarkStart w:id="36" w:name="Tc_vehfp7QEAUadi6pryNlqjg_1_3"/>
      <w:bookmarkStart w:id="37" w:name="Tc_BDvZRo0lhkW3MGX1SAIhoA_1_2"/>
      <w:bookmarkStart w:id="38" w:name="Tc_4DVp0RCv8k6DSHUFw5FzaA_1_1"/>
      <w:bookmarkStart w:id="39" w:name="Tc_Cfy0Ibg_0EWhQWU9CHBf8w_1_0"/>
      <w:bookmarkStart w:id="40" w:name="_3acca8d6_23ea_4102_ae11_4cf53e702904"/>
      <w:bookmarkEnd w:id="33"/>
      <w:bookmarkEnd w:id="34"/>
      <w:bookmarkEnd w:id="35"/>
      <w:bookmarkEnd w:id="36"/>
      <w:bookmarkEnd w:id="37"/>
      <w:bookmarkEnd w:id="38"/>
      <w:bookmarkEnd w:id="39"/>
      <w:bookmarkEnd w:id="40"/>
    </w:p>
    <w:tbl>
      <w:tblPr>
        <w:tblW w:w="4384" w:type="dxa"/>
        <w:jc w:val="left"/>
        <w:tblInd w:w="0" w:type="dxa"/>
        <w:tblLayout w:type="fixed"/>
        <w:tblCellMar>
          <w:top w:w="0" w:type="dxa"/>
          <w:left w:w="0" w:type="dxa"/>
          <w:bottom w:w="0" w:type="dxa"/>
          <w:right w:w="0" w:type="dxa"/>
        </w:tblCellMar>
      </w:tblPr>
      <w:tblGrid>
        <w:gridCol w:w="1666"/>
        <w:gridCol w:w="316"/>
        <w:gridCol w:w="2041"/>
        <w:gridCol w:w="361"/>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057910" cy="175260"/>
                      <wp:effectExtent l="0" t="0" r="0" b="0"/>
                      <wp:wrapNone/>
                      <wp:docPr id="5" name="Frame5"/>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0660" cy="175260"/>
                      <wp:effectExtent l="0" t="0" r="0" b="0"/>
                      <wp:wrapNone/>
                      <wp:docPr id="6" name="Frame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296035" cy="175260"/>
                      <wp:effectExtent l="0" t="0" r="0" b="0"/>
                      <wp:wrapNone/>
                      <wp:docPr id="7" name="Frame7"/>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29235" cy="175260"/>
                      <wp:effectExtent l="0" t="0" r="0" b="0"/>
                      <wp:wrapNone/>
                      <wp:docPr id="8" name="Frame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6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As of May 15, 2026, there were 27,600,000 Class A ordinary shares, par value $0.0001 per share, and 6,900,000 Class B ordinary shares, par value $0.0001 per share, issued and outstanding.</w:t>
      </w:r>
    </w:p>
    <w:p>
      <w:pPr>
        <w:pStyle w:val="TextBody"/>
        <w:bidi w:val="0"/>
        <w:spacing w:before="0" w:after="240"/>
        <w:ind w:left="0" w:right="0" w:hanging="0"/>
        <w:jc w:val="both"/>
        <w:rPr/>
      </w:pPr>
      <w:r>
        <w:rPr/>
        <w:t>​</w:t>
      </w:r>
    </w:p>
    <w:p>
      <w:pPr>
        <w:pStyle w:val="TextBody"/>
        <w:pBdr>
          <w:top w:val="single" w:sz="8" w:space="1" w:color="000000"/>
          <w:bottom w:val="single" w:sz="24" w:space="1" w:color="000000"/>
        </w:pBdr>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1" w:name="_3b48f611_7f2e_4726_8b6d_647b15439ab8"/>
      <w:bookmarkEnd w:id="41"/>
      <w:r>
        <w:rPr>
          <w:rFonts w:ascii="Times New Roman;Times;serif" w:hAnsi="Times New Roman;Times;serif"/>
          <w:b/>
          <w:sz w:val="20"/>
        </w:rPr>
        <w:t>CARTESIAN GROWTH CORPORATION III</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 FOR THE QUARTERLY PERIOD ENDED MARCH 31, 2026</w:t>
      </w:r>
    </w:p>
    <w:p>
      <w:pPr>
        <w:pStyle w:val="TextBody"/>
        <w:bidi w:val="0"/>
        <w:spacing w:before="0" w:after="0"/>
        <w:ind w:left="0" w:right="0" w:hanging="0"/>
        <w:jc w:val="center"/>
        <w:rPr>
          <w:rFonts w:ascii="Times New Roman;Times;serif" w:hAnsi="Times New Roman;Times;serif"/>
          <w:b/>
          <w:sz w:val="20"/>
        </w:rPr>
      </w:pPr>
      <w:bookmarkStart w:id="42" w:name="TOC"/>
      <w:bookmarkEnd w:id="42"/>
      <w:r>
        <w:rPr>
          <w:rFonts w:ascii="Times New Roman;Times;serif" w:hAnsi="Times New Roman;Times;serif"/>
          <w:b/>
          <w:sz w:val="20"/>
        </w:rPr>
        <w:t>TABLE OF CONTENTS</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9694"/>
        <w:gridCol w:w="511"/>
      </w:tblGrid>
      <w:tr>
        <w:trPr/>
        <w:tc>
          <w:tcPr>
            <w:tcW w:w="9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155690" cy="175260"/>
                      <wp:effectExtent l="0" t="0" r="0" b="0"/>
                      <wp:wrapNone/>
                      <wp:docPr id="9" name="Frame9"/>
                      <a:graphic xmlns:a="http://schemas.openxmlformats.org/drawingml/2006/main">
                        <a:graphicData uri="http://schemas.microsoft.com/office/word/2010/wordprocessingShape">
                          <wps:wsp>
                            <wps:cNvSpPr txBox="1"/>
                            <wps:spPr>
                              <a:xfrm>
                                <a:off x="0" y="0"/>
                                <a:ext cx="6155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324485" cy="175260"/>
                      <wp:effectExtent l="0" t="0" r="0" b="0"/>
                      <wp:wrapNone/>
                      <wp:docPr id="10" name="Frame1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694" w:type="dxa"/>
            <w:tcBorders/>
            <w:vAlign w:val="center"/>
          </w:tcPr>
          <w:p>
            <w:pPr>
              <w:pStyle w:val="TableContents"/>
              <w:bidi w:val="0"/>
              <w:spacing w:before="0" w:after="0"/>
              <w:ind w:left="0" w:right="0" w:hanging="0"/>
              <w:jc w:val="left"/>
              <w:rPr/>
            </w:pPr>
            <w:hyperlink w:anchor="PARTIFINANCIALINFORMATION_316539">
              <w:r>
                <w:rPr>
                  <w:rStyle w:val="InternetLink"/>
                  <w:rFonts w:ascii="Times New Roman;Times;serif" w:hAnsi="Times New Roman;Times;serif"/>
                  <w:b w:val="false"/>
                  <w:i w:val="false"/>
                  <w:caps w:val="false"/>
                  <w:smallCaps w:val="false"/>
                  <w:sz w:val="20"/>
                </w:rPr>
                <w:t>Part I. Financial Information</w:t>
              </w:r>
            </w:hyperlink>
          </w:p>
        </w:tc>
        <w:tc>
          <w:tcPr>
            <w:tcW w:w="511" w:type="dxa"/>
            <w:tcBorders>
              <w:top w:val="single" w:sz="8" w:space="0" w:color="000000"/>
            </w:tcBorders>
            <w:tcMar>
              <w:top w:w="28" w:type="dxa"/>
            </w:tcMar>
            <w:vAlign w:val="center"/>
          </w:tcPr>
          <w:p>
            <w:pPr>
              <w:pStyle w:val="TableContents"/>
              <w:bidi w:val="0"/>
              <w:spacing w:before="0" w:after="0"/>
              <w:ind w:left="0" w:right="0" w:hanging="0"/>
              <w:jc w:val="center"/>
              <w:rPr/>
            </w:pPr>
            <w:r>
              <w:rPr/>
              <w:t>​</w:t>
            </w:r>
          </w:p>
        </w:tc>
      </w:tr>
      <w:tr>
        <w:trPr/>
        <w:tc>
          <w:tcPr>
            <w:tcW w:w="9694" w:type="dxa"/>
            <w:tcBorders/>
            <w:vAlign w:val="center"/>
          </w:tcPr>
          <w:p>
            <w:pPr>
              <w:pStyle w:val="TableContents"/>
              <w:bidi w:val="0"/>
              <w:spacing w:before="0" w:after="0"/>
              <w:ind w:left="0" w:right="0" w:hanging="0"/>
              <w:jc w:val="left"/>
              <w:rPr/>
            </w:pPr>
            <w:hyperlink w:anchor="Item1FinancialStatements_500129">
              <w:r>
                <w:rPr>
                  <w:rStyle w:val="InternetLink"/>
                  <w:rFonts w:ascii="Times New Roman;Times;serif" w:hAnsi="Times New Roman;Times;serif"/>
                  <w:b w:val="false"/>
                  <w:i w:val="false"/>
                  <w:caps w:val="false"/>
                  <w:smallCaps w:val="false"/>
                  <w:sz w:val="20"/>
                </w:rPr>
                <w:t>Item 1. Financial Statements</w:t>
              </w:r>
            </w:hyperlink>
          </w:p>
        </w:tc>
        <w:tc>
          <w:tcPr>
            <w:tcW w:w="511" w:type="dxa"/>
            <w:tcBorders/>
            <w:vAlign w:val="center"/>
          </w:tcPr>
          <w:p>
            <w:pPr>
              <w:pStyle w:val="TableContents"/>
              <w:bidi w:val="0"/>
              <w:spacing w:before="0" w:after="0"/>
              <w:ind w:left="0" w:right="0" w:hanging="0"/>
              <w:jc w:val="center"/>
              <w:rPr/>
            </w:pPr>
            <w:r>
              <w:rPr/>
              <w:t>​</w:t>
            </w:r>
          </w:p>
        </w:tc>
      </w:tr>
      <w:tr>
        <w:trPr/>
        <w:tc>
          <w:tcPr>
            <w:tcW w:w="9694" w:type="dxa"/>
            <w:tcBorders/>
            <w:vAlign w:val="center"/>
          </w:tcPr>
          <w:p>
            <w:pPr>
              <w:pStyle w:val="TableContents"/>
              <w:bidi w:val="0"/>
              <w:spacing w:before="0" w:after="0"/>
              <w:ind w:left="0" w:right="0" w:hanging="0"/>
              <w:jc w:val="left"/>
              <w:rPr/>
            </w:pPr>
            <w:hyperlink w:anchor="CONDENSEDBALANCESHEETS_533849">
              <w:r>
                <w:rPr>
                  <w:rStyle w:val="InternetLink"/>
                  <w:rFonts w:ascii="Times New Roman;Times;serif" w:hAnsi="Times New Roman;Times;serif"/>
                  <w:b w:val="false"/>
                  <w:i w:val="false"/>
                  <w:caps w:val="false"/>
                  <w:smallCaps w:val="false"/>
                  <w:sz w:val="20"/>
                </w:rPr>
                <w:t>Condensed Balance Sheets as of March 31, 2026 (Unaudited) and December 31, 2025</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9694" w:type="dxa"/>
            <w:tcBorders/>
            <w:vAlign w:val="center"/>
          </w:tcPr>
          <w:p>
            <w:pPr>
              <w:pStyle w:val="TableContents"/>
              <w:bidi w:val="0"/>
              <w:spacing w:before="0" w:after="0"/>
              <w:ind w:left="0" w:right="0" w:hanging="0"/>
              <w:jc w:val="left"/>
              <w:rPr/>
            </w:pPr>
            <w:hyperlink w:anchor="CONDENSEDSTATEMENTOFOPERATIONS_744640">
              <w:r>
                <w:rPr>
                  <w:rStyle w:val="InternetLink"/>
                  <w:rFonts w:ascii="Times New Roman;Times;serif" w:hAnsi="Times New Roman;Times;serif"/>
                  <w:b w:val="false"/>
                  <w:i w:val="false"/>
                  <w:caps w:val="false"/>
                  <w:smallCaps w:val="false"/>
                  <w:sz w:val="20"/>
                </w:rPr>
                <w:t>Condensed Statements of Operations For the Three Months Ended March 31, 2026 and 2025 (Unaudited)</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9694" w:type="dxa"/>
            <w:tcBorders/>
            <w:vAlign w:val="center"/>
          </w:tcPr>
          <w:p>
            <w:pPr>
              <w:pStyle w:val="TableContents"/>
              <w:bidi w:val="0"/>
              <w:spacing w:before="0" w:after="0"/>
              <w:ind w:left="0" w:right="0" w:hanging="0"/>
              <w:jc w:val="left"/>
              <w:rPr/>
            </w:pPr>
            <w:hyperlink w:anchor="CONDENSEDSTATEMENTOFCHANGESINSHAREHOLDER">
              <w:r>
                <w:rPr>
                  <w:rStyle w:val="InternetLink"/>
                  <w:rFonts w:ascii="Times New Roman;Times;serif" w:hAnsi="Times New Roman;Times;serif"/>
                  <w:b w:val="false"/>
                  <w:i w:val="false"/>
                  <w:caps w:val="false"/>
                  <w:smallCaps w:val="false"/>
                  <w:sz w:val="20"/>
                </w:rPr>
                <w:t>Condensed Statements of Changes in Shareholders’ Deficit For the Three Months Ended March 31, 2026 and 2025 (Unaudited)</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9694" w:type="dxa"/>
            <w:tcBorders/>
            <w:vAlign w:val="center"/>
          </w:tcPr>
          <w:p>
            <w:pPr>
              <w:pStyle w:val="TableContents"/>
              <w:bidi w:val="0"/>
              <w:spacing w:before="0" w:after="0"/>
              <w:ind w:left="0" w:right="0" w:hanging="0"/>
              <w:jc w:val="left"/>
              <w:rPr/>
            </w:pPr>
            <w:hyperlink w:anchor="CONDENSEDSTATEMENTOFCASHFLOWS_350042">
              <w:r>
                <w:rPr>
                  <w:rStyle w:val="InternetLink"/>
                  <w:rFonts w:ascii="Times New Roman;Times;serif" w:hAnsi="Times New Roman;Times;serif"/>
                  <w:b w:val="false"/>
                  <w:i w:val="false"/>
                  <w:caps w:val="false"/>
                  <w:smallCaps w:val="false"/>
                  <w:sz w:val="20"/>
                </w:rPr>
                <w:t>Condensed Statement of Cash Flows For the Three Months ended March 31, 2026 and 2025 (Unaudited)</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9694" w:type="dxa"/>
            <w:tcBorders/>
            <w:vAlign w:val="center"/>
          </w:tcPr>
          <w:p>
            <w:pPr>
              <w:pStyle w:val="TableContents"/>
              <w:bidi w:val="0"/>
              <w:spacing w:before="0" w:after="0"/>
              <w:ind w:left="0" w:right="0" w:hanging="0"/>
              <w:jc w:val="left"/>
              <w:rPr/>
            </w:pPr>
            <w:hyperlink w:anchor="NOTE1DESCRIPTIONOFORGANIZATIONANDBUSINES">
              <w:r>
                <w:rPr>
                  <w:rStyle w:val="InternetLink"/>
                  <w:rFonts w:ascii="Times New Roman;Times;serif" w:hAnsi="Times New Roman;Times;serif"/>
                  <w:b w:val="false"/>
                  <w:i w:val="false"/>
                  <w:caps w:val="false"/>
                  <w:smallCaps w:val="false"/>
                  <w:sz w:val="20"/>
                </w:rPr>
                <w:t>Notes to Condensed Financial Statements (Unaudited)</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9694"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r>
      <w:tr>
        <w:trPr/>
        <w:tc>
          <w:tcPr>
            <w:tcW w:w="9694"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9694" w:type="dxa"/>
            <w:tcBorders/>
            <w:vAlign w:val="center"/>
          </w:tcPr>
          <w:p>
            <w:pPr>
              <w:pStyle w:val="TableContents"/>
              <w:bidi w:val="0"/>
              <w:spacing w:before="0" w:after="0"/>
              <w:ind w:left="0" w:right="0" w:hanging="0"/>
              <w:jc w:val="left"/>
              <w:rPr/>
            </w:pPr>
            <w:hyperlink w:anchor="Item4ControlsandProcedures_639045">
              <w:r>
                <w:rPr>
                  <w:rStyle w:val="InternetLink"/>
                  <w:rFonts w:ascii="Times New Roman;Times;serif" w:hAnsi="Times New Roman;Times;serif"/>
                  <w:b w:val="false"/>
                  <w:i w:val="false"/>
                  <w:caps w:val="false"/>
                  <w:smallCaps w:val="false"/>
                  <w:sz w:val="20"/>
                </w:rPr>
                <w:t>Item 4. Controls and Procedures</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9694" w:type="dxa"/>
            <w:tcBorders/>
            <w:vAlign w:val="center"/>
          </w:tcPr>
          <w:p>
            <w:pPr>
              <w:pStyle w:val="TableContents"/>
              <w:bidi w:val="0"/>
              <w:spacing w:before="0" w:after="0"/>
              <w:ind w:left="0" w:right="0" w:hanging="0"/>
              <w:jc w:val="left"/>
              <w:rPr/>
            </w:pPr>
            <w:hyperlink w:anchor="PARTIIOTHERINFORMATION_449603">
              <w:r>
                <w:rPr>
                  <w:rStyle w:val="InternetLink"/>
                  <w:rFonts w:ascii="Times New Roman;Times;serif" w:hAnsi="Times New Roman;Times;serif"/>
                  <w:b w:val="false"/>
                  <w:i w:val="false"/>
                  <w:caps w:val="false"/>
                  <w:smallCaps w:val="false"/>
                  <w:sz w:val="20"/>
                </w:rPr>
                <w:t>Part II. Other Information</w:t>
              </w:r>
            </w:hyperlink>
          </w:p>
        </w:tc>
        <w:tc>
          <w:tcPr>
            <w:tcW w:w="511" w:type="dxa"/>
            <w:tcBorders/>
            <w:vAlign w:val="center"/>
          </w:tcPr>
          <w:p>
            <w:pPr>
              <w:pStyle w:val="TableContents"/>
              <w:bidi w:val="0"/>
              <w:spacing w:before="0" w:after="0"/>
              <w:ind w:left="0" w:right="0" w:hanging="0"/>
              <w:jc w:val="center"/>
              <w:rPr/>
            </w:pPr>
            <w:r>
              <w:rPr/>
              <w:t>​</w:t>
            </w:r>
          </w:p>
        </w:tc>
      </w:tr>
      <w:tr>
        <w:trPr/>
        <w:tc>
          <w:tcPr>
            <w:tcW w:w="9694" w:type="dxa"/>
            <w:tcBorders/>
            <w:vAlign w:val="center"/>
          </w:tcPr>
          <w:p>
            <w:pPr>
              <w:pStyle w:val="TableContents"/>
              <w:bidi w:val="0"/>
              <w:spacing w:before="0" w:after="0"/>
              <w:ind w:left="0" w:right="0" w:hanging="0"/>
              <w:jc w:val="left"/>
              <w:rPr/>
            </w:pPr>
            <w:hyperlink w:anchor="Item1LegalProceedings_701065">
              <w:r>
                <w:rPr>
                  <w:rStyle w:val="InternetLink"/>
                  <w:rFonts w:ascii="Times New Roman;Times;serif" w:hAnsi="Times New Roman;Times;serif"/>
                  <w:b w:val="false"/>
                  <w:i w:val="false"/>
                  <w:caps w:val="false"/>
                  <w:smallCaps w:val="false"/>
                  <w:sz w:val="20"/>
                </w:rPr>
                <w:t>Item 1. Legal Proceedings</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tc>
      </w:tr>
      <w:tr>
        <w:trPr/>
        <w:tc>
          <w:tcPr>
            <w:tcW w:w="9694" w:type="dxa"/>
            <w:tcBorders/>
            <w:vAlign w:val="center"/>
          </w:tcPr>
          <w:p>
            <w:pPr>
              <w:pStyle w:val="TableContents"/>
              <w:bidi w:val="0"/>
              <w:spacing w:before="0" w:after="0"/>
              <w:ind w:left="0" w:right="0" w:hanging="0"/>
              <w:jc w:val="left"/>
              <w:rPr/>
            </w:pPr>
            <w:hyperlink w:anchor="Item1ARiskFactors_695825">
              <w:r>
                <w:rPr>
                  <w:rStyle w:val="InternetLink"/>
                  <w:rFonts w:ascii="Times New Roman;Times;serif" w:hAnsi="Times New Roman;Times;serif"/>
                  <w:b w:val="false"/>
                  <w:i w:val="false"/>
                  <w:caps w:val="false"/>
                  <w:smallCaps w:val="false"/>
                  <w:sz w:val="20"/>
                </w:rPr>
                <w:t>Item 1A. Risk Factors</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tc>
      </w:tr>
      <w:tr>
        <w:trPr/>
        <w:tc>
          <w:tcPr>
            <w:tcW w:w="9694"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tc>
      </w:tr>
      <w:tr>
        <w:trPr/>
        <w:tc>
          <w:tcPr>
            <w:tcW w:w="9694" w:type="dxa"/>
            <w:tcBorders/>
            <w:vAlign w:val="center"/>
          </w:tcPr>
          <w:p>
            <w:pPr>
              <w:pStyle w:val="TableContents"/>
              <w:bidi w:val="0"/>
              <w:spacing w:before="0" w:after="0"/>
              <w:ind w:left="0" w:right="0" w:hanging="0"/>
              <w:jc w:val="left"/>
              <w:rPr/>
            </w:pPr>
            <w:hyperlink w:anchor="Item3DefaultsUponSeniorSecurities_755967">
              <w:r>
                <w:rPr>
                  <w:rStyle w:val="InternetLink"/>
                  <w:rFonts w:ascii="Times New Roman;Times;serif" w:hAnsi="Times New Roman;Times;serif"/>
                  <w:b w:val="false"/>
                  <w:i w:val="false"/>
                  <w:caps w:val="false"/>
                  <w:smallCaps w:val="false"/>
                  <w:sz w:val="20"/>
                </w:rPr>
                <w:t>Item 3. Defaults Upon Senior Securities</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tc>
      </w:tr>
      <w:tr>
        <w:trPr/>
        <w:tc>
          <w:tcPr>
            <w:tcW w:w="9694" w:type="dxa"/>
            <w:tcBorders/>
            <w:vAlign w:val="center"/>
          </w:tcPr>
          <w:p>
            <w:pPr>
              <w:pStyle w:val="TableContents"/>
              <w:bidi w:val="0"/>
              <w:spacing w:before="0" w:after="0"/>
              <w:ind w:left="0" w:right="0" w:hanging="0"/>
              <w:jc w:val="left"/>
              <w:rPr/>
            </w:pPr>
            <w:hyperlink w:anchor="Item4MineSafetyDisclosures_952065">
              <w:r>
                <w:rPr>
                  <w:rStyle w:val="InternetLink"/>
                  <w:rFonts w:ascii="Times New Roman;Times;serif" w:hAnsi="Times New Roman;Times;serif"/>
                  <w:b w:val="false"/>
                  <w:i w:val="false"/>
                  <w:caps w:val="false"/>
                  <w:smallCaps w:val="false"/>
                  <w:sz w:val="20"/>
                </w:rPr>
                <w:t>Item 4. Mine Safety Disclosures</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tc>
      </w:tr>
      <w:tr>
        <w:trPr/>
        <w:tc>
          <w:tcPr>
            <w:tcW w:w="9694" w:type="dxa"/>
            <w:tcBorders/>
            <w:vAlign w:val="center"/>
          </w:tcPr>
          <w:p>
            <w:pPr>
              <w:pStyle w:val="TableContents"/>
              <w:bidi w:val="0"/>
              <w:spacing w:before="0" w:after="0"/>
              <w:ind w:left="0" w:right="0" w:hanging="0"/>
              <w:jc w:val="left"/>
              <w:rPr/>
            </w:pPr>
            <w:hyperlink w:anchor="Item5OtherInformation_79743">
              <w:r>
                <w:rPr>
                  <w:rStyle w:val="InternetLink"/>
                  <w:rFonts w:ascii="Times New Roman;Times;serif" w:hAnsi="Times New Roman;Times;serif"/>
                  <w:b w:val="false"/>
                  <w:i w:val="false"/>
                  <w:caps w:val="false"/>
                  <w:smallCaps w:val="false"/>
                  <w:sz w:val="20"/>
                </w:rPr>
                <w:t>Item 5. Other Information</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tc>
      </w:tr>
      <w:tr>
        <w:trPr/>
        <w:tc>
          <w:tcPr>
            <w:tcW w:w="9694" w:type="dxa"/>
            <w:tcBorders/>
            <w:vAlign w:val="center"/>
          </w:tcPr>
          <w:p>
            <w:pPr>
              <w:pStyle w:val="TableContents"/>
              <w:bidi w:val="0"/>
              <w:spacing w:before="0" w:after="0"/>
              <w:ind w:left="0" w:right="0" w:hanging="0"/>
              <w:jc w:val="left"/>
              <w:rPr/>
            </w:pPr>
            <w:hyperlink w:anchor="Item6Exhibits_619042">
              <w:r>
                <w:rPr>
                  <w:rStyle w:val="InternetLink"/>
                  <w:rFonts w:ascii="Times New Roman;Times;serif" w:hAnsi="Times New Roman;Times;serif"/>
                  <w:b w:val="false"/>
                  <w:i w:val="false"/>
                  <w:caps w:val="false"/>
                  <w:smallCaps w:val="false"/>
                  <w:sz w:val="20"/>
                </w:rPr>
                <w:t>Item 6. Exhibits</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tc>
      </w:tr>
      <w:tr>
        <w:trPr/>
        <w:tc>
          <w:tcPr>
            <w:tcW w:w="9694" w:type="dxa"/>
            <w:tcBorders/>
            <w:vAlign w:val="center"/>
          </w:tcPr>
          <w:p>
            <w:pPr>
              <w:pStyle w:val="TableContents"/>
              <w:bidi w:val="0"/>
              <w:spacing w:before="0" w:after="0"/>
              <w:ind w:left="0" w:right="0" w:hanging="0"/>
              <w:jc w:val="left"/>
              <w:rPr/>
            </w:pPr>
            <w:hyperlink w:anchor="SIGNATURES_422716">
              <w:r>
                <w:rPr>
                  <w:rStyle w:val="InternetLink"/>
                  <w:rFonts w:ascii="Times New Roman;Times;serif" w:hAnsi="Times New Roman;Times;serif"/>
                  <w:b w:val="false"/>
                  <w:i w:val="false"/>
                  <w:caps w:val="false"/>
                  <w:smallCaps w:val="false"/>
                  <w:sz w:val="20"/>
                </w:rPr>
                <w:t>Signatures</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3" w:name="PARTIFINANCIALINFORMATION_316539"/>
      <w:bookmarkStart w:id="44" w:name="_03514b47_e23f_4f33_a76c_6ce4d36f2af3"/>
      <w:bookmarkEnd w:id="43"/>
      <w:bookmarkEnd w:id="44"/>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b/>
          <w:sz w:val="20"/>
        </w:rPr>
      </w:pPr>
      <w:bookmarkStart w:id="45" w:name="Item1FinancialStatements_500129"/>
      <w:bookmarkEnd w:id="45"/>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CARTESIAN GROWTH CORPORATION III</w:t>
      </w:r>
    </w:p>
    <w:p>
      <w:pPr>
        <w:pStyle w:val="TextBody"/>
        <w:bidi w:val="0"/>
        <w:spacing w:before="0" w:after="0"/>
        <w:ind w:left="0" w:right="0" w:hanging="0"/>
        <w:jc w:val="center"/>
        <w:rPr>
          <w:rFonts w:ascii="Times New Roman;Times;serif" w:hAnsi="Times New Roman;Times;serif"/>
          <w:b/>
          <w:sz w:val="20"/>
        </w:rPr>
      </w:pPr>
      <w:bookmarkStart w:id="46" w:name="CONDENSEDBALANCESHEETS_533849"/>
      <w:bookmarkEnd w:id="46"/>
      <w:r>
        <w:rPr>
          <w:rFonts w:ascii="Times New Roman;Times;serif" w:hAnsi="Times New Roman;Times;serif"/>
          <w:b/>
          <w:sz w:val="20"/>
        </w:rPr>
        <w:t>CONDENSED BALANCE SHEETS</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47" w:name="Tc_jfTiAzduw0KzPOlxCfgZ0Q_32_5"/>
      <w:bookmarkStart w:id="48" w:name="Tc_VKmdiLhWzU-w8Rqtp0ts9g_32_2"/>
      <w:bookmarkStart w:id="49" w:name="Tc_1GrNmLuBzkWNOFOMQUmjGw_32_0"/>
      <w:bookmarkStart w:id="50" w:name="Tc_v81YQW7w8UqCff-dQPVXCg_31_0"/>
      <w:bookmarkStart w:id="51" w:name="Tc__mdIjdGM_EycOVTEsT7ecg_30_0"/>
      <w:bookmarkStart w:id="52" w:name="Tc_CAp0jCgB8U2yrsavJ1FJew_29_6"/>
      <w:bookmarkStart w:id="53" w:name="Tc_FfqITbhXy0KZagpfoiu44A_29_3"/>
      <w:bookmarkStart w:id="54" w:name="Tc_-t2AsSUdQEKCsze0t9fR9w_29_0"/>
      <w:bookmarkStart w:id="55" w:name="Tc_H8OXec70u0mfvmxAWx61Lw_28_0"/>
      <w:bookmarkStart w:id="56" w:name="Tc_YVcDeLDZB0q29nxG9QVm0w_27_0"/>
      <w:bookmarkStart w:id="57" w:name="Tc_EkBY_Fz7UUCPrKx1YYGPhw_26_0"/>
      <w:bookmarkStart w:id="58" w:name="Tc_fG0B6G13UkiAOjJyCTMiyw_25_0"/>
      <w:bookmarkStart w:id="59" w:name="Tc_SauQipVLqkG8L0VimIiamw_23_0"/>
      <w:bookmarkStart w:id="60" w:name="Tc_m9beQ9v3y0Ot6j9N2U5XoA_22_0"/>
      <w:bookmarkStart w:id="61" w:name="Tc_RiuwQLgpMkq863SjjXOokw_20_0"/>
      <w:bookmarkStart w:id="62" w:name="Tc_YMNz88K-CE2d83uWtLPYkg_19_0"/>
      <w:bookmarkStart w:id="63" w:name="Tc_6oPxlBq5aEWR3THVNFFXsQ_18_0"/>
      <w:bookmarkStart w:id="64" w:name="Tc_Brg9jV4G1kSBsRkErTKjww_17_0"/>
      <w:bookmarkStart w:id="65" w:name="Tc_my4jnXmu7keVl3FnJ3xURg_16_5"/>
      <w:bookmarkStart w:id="66" w:name="Tc_o2-FtkRgJUuZXv646PiTBw_16_2"/>
      <w:bookmarkStart w:id="67" w:name="Tc_B6J5CXNyZEmvQyluC2X65w_16_0"/>
      <w:bookmarkStart w:id="68" w:name="Tc_j5mOW9naXkOd2HkEqXQVaQ_15_0"/>
      <w:bookmarkStart w:id="69" w:name="Tc_q7U7TJAIUE-THVljisHWIg_14_0"/>
      <w:bookmarkStart w:id="70" w:name="Tc_6K44M2D3Hk-CN03kzKHJUw_12_5"/>
      <w:bookmarkStart w:id="71" w:name="Tc_VLdDnhMS6UC5Aun4WAZWIw_12_2"/>
      <w:bookmarkStart w:id="72" w:name="Tc_sAA0FOTMp0SUR5mYdzS4QQ_12_0"/>
      <w:bookmarkStart w:id="73" w:name="Tc_IuqPwJD-2ki9lN_XUATp4g_11_0"/>
      <w:bookmarkStart w:id="74" w:name="Tc_AaL_I85D40-IPUwvw2TZ2Q_10_0"/>
      <w:bookmarkStart w:id="75" w:name="Tc_7G27NvOq6EehWGBVevdWcg_9_0"/>
      <w:bookmarkStart w:id="76" w:name="Tc_ZLfz7Mqzc0KpW6kNPQXPVQ_8_0"/>
      <w:bookmarkStart w:id="77" w:name="Tc_anmFmA4fj0i56R38kbOFSA_7_0"/>
      <w:bookmarkStart w:id="78" w:name="Tc_TDwFBldZSkCip8iVC1uZcA_6_5"/>
      <w:bookmarkStart w:id="79" w:name="Tc_RjQRqDazz0OlSeXuXjvaaA_6_2"/>
      <w:bookmarkStart w:id="80" w:name="Tc_KCfHltbuD0-ssibKk3cIJg_6_0"/>
      <w:bookmarkStart w:id="81" w:name="Tc_paY_uT2vWUWm3ga3PnzQ2A_5_0"/>
      <w:bookmarkStart w:id="82" w:name="Tc_TFuc7lObCU-HrHPeqJZIBQ_4_0"/>
      <w:bookmarkStart w:id="83" w:name="Tc_zQzMBXVwyU6WXuVtyq5KZw_3_2"/>
      <w:bookmarkStart w:id="84" w:name="Tc_7_V6BdnkmUacfkpV6ZKexw_2_5"/>
      <w:bookmarkStart w:id="85" w:name="Tc_nq9dvqDhn0e-1sSNwp7PRA_2_2"/>
      <w:bookmarkStart w:id="86" w:name="Tc_kH1LhjiKYkiGFveuQTGzJw_1_5"/>
      <w:bookmarkStart w:id="87" w:name="Tc_8iC6WRpjRUOmQ_XHDeXhsA_1_2"/>
      <w:bookmarkStart w:id="88" w:name="_f46f7de3_9aaf_48a5_8ba7_3b4460853099"/>
      <w:bookmarkStart w:id="89" w:name="Tc_jfTiAzduw0KzPOlxCfgZ0Q_32_5"/>
      <w:bookmarkStart w:id="90" w:name="Tc_VKmdiLhWzU-w8Rqtp0ts9g_32_2"/>
      <w:bookmarkStart w:id="91" w:name="Tc_1GrNmLuBzkWNOFOMQUmjGw_32_0"/>
      <w:bookmarkStart w:id="92" w:name="Tc_v81YQW7w8UqCff-dQPVXCg_31_0"/>
      <w:bookmarkStart w:id="93" w:name="Tc__mdIjdGM_EycOVTEsT7ecg_30_0"/>
      <w:bookmarkStart w:id="94" w:name="Tc_CAp0jCgB8U2yrsavJ1FJew_29_6"/>
      <w:bookmarkStart w:id="95" w:name="Tc_FfqITbhXy0KZagpfoiu44A_29_3"/>
      <w:bookmarkStart w:id="96" w:name="Tc_-t2AsSUdQEKCsze0t9fR9w_29_0"/>
      <w:bookmarkStart w:id="97" w:name="Tc_H8OXec70u0mfvmxAWx61Lw_28_0"/>
      <w:bookmarkStart w:id="98" w:name="Tc_YVcDeLDZB0q29nxG9QVm0w_27_0"/>
      <w:bookmarkStart w:id="99" w:name="Tc_EkBY_Fz7UUCPrKx1YYGPhw_26_0"/>
      <w:bookmarkStart w:id="100" w:name="Tc_fG0B6G13UkiAOjJyCTMiyw_25_0"/>
      <w:bookmarkStart w:id="101" w:name="Tc_SauQipVLqkG8L0VimIiamw_23_0"/>
      <w:bookmarkStart w:id="102" w:name="Tc_m9beQ9v3y0Ot6j9N2U5XoA_22_0"/>
      <w:bookmarkStart w:id="103" w:name="Tc_RiuwQLgpMkq863SjjXOokw_20_0"/>
      <w:bookmarkStart w:id="104" w:name="Tc_YMNz88K-CE2d83uWtLPYkg_19_0"/>
      <w:bookmarkStart w:id="105" w:name="Tc_6oPxlBq5aEWR3THVNFFXsQ_18_0"/>
      <w:bookmarkStart w:id="106" w:name="Tc_Brg9jV4G1kSBsRkErTKjww_17_0"/>
      <w:bookmarkStart w:id="107" w:name="Tc_my4jnXmu7keVl3FnJ3xURg_16_5"/>
      <w:bookmarkStart w:id="108" w:name="Tc_o2-FtkRgJUuZXv646PiTBw_16_2"/>
      <w:bookmarkStart w:id="109" w:name="Tc_B6J5CXNyZEmvQyluC2X65w_16_0"/>
      <w:bookmarkStart w:id="110" w:name="Tc_j5mOW9naXkOd2HkEqXQVaQ_15_0"/>
      <w:bookmarkStart w:id="111" w:name="Tc_q7U7TJAIUE-THVljisHWIg_14_0"/>
      <w:bookmarkStart w:id="112" w:name="Tc_6K44M2D3Hk-CN03kzKHJUw_12_5"/>
      <w:bookmarkStart w:id="113" w:name="Tc_VLdDnhMS6UC5Aun4WAZWIw_12_2"/>
      <w:bookmarkStart w:id="114" w:name="Tc_sAA0FOTMp0SUR5mYdzS4QQ_12_0"/>
      <w:bookmarkStart w:id="115" w:name="Tc_IuqPwJD-2ki9lN_XUATp4g_11_0"/>
      <w:bookmarkStart w:id="116" w:name="Tc_AaL_I85D40-IPUwvw2TZ2Q_10_0"/>
      <w:bookmarkStart w:id="117" w:name="Tc_7G27NvOq6EehWGBVevdWcg_9_0"/>
      <w:bookmarkStart w:id="118" w:name="Tc_ZLfz7Mqzc0KpW6kNPQXPVQ_8_0"/>
      <w:bookmarkStart w:id="119" w:name="Tc_anmFmA4fj0i56R38kbOFSA_7_0"/>
      <w:bookmarkStart w:id="120" w:name="Tc_TDwFBldZSkCip8iVC1uZcA_6_5"/>
      <w:bookmarkStart w:id="121" w:name="Tc_RjQRqDazz0OlSeXuXjvaaA_6_2"/>
      <w:bookmarkStart w:id="122" w:name="Tc_KCfHltbuD0-ssibKk3cIJg_6_0"/>
      <w:bookmarkStart w:id="123" w:name="Tc_paY_uT2vWUWm3ga3PnzQ2A_5_0"/>
      <w:bookmarkStart w:id="124" w:name="Tc_TFuc7lObCU-HrHPeqJZIBQ_4_0"/>
      <w:bookmarkStart w:id="125" w:name="Tc_zQzMBXVwyU6WXuVtyq5KZw_3_2"/>
      <w:bookmarkStart w:id="126" w:name="Tc_7_V6BdnkmUacfkpV6ZKexw_2_5"/>
      <w:bookmarkStart w:id="127" w:name="Tc_nq9dvqDhn0e-1sSNwp7PRA_2_2"/>
      <w:bookmarkStart w:id="128" w:name="Tc_kH1LhjiKYkiGFveuQTGzJw_1_5"/>
      <w:bookmarkStart w:id="129" w:name="Tc_8iC6WRpjRUOmQ_XHDeXhsA_1_2"/>
      <w:bookmarkStart w:id="130" w:name="_f46f7de3_9aaf_48a5_8ba7_3b4460853099"/>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tbl>
      <w:tblPr>
        <w:tblW w:w="10205" w:type="dxa"/>
        <w:jc w:val="left"/>
        <w:tblInd w:w="0" w:type="dxa"/>
        <w:tblLayout w:type="fixed"/>
        <w:tblCellMar>
          <w:top w:w="0" w:type="dxa"/>
          <w:left w:w="0" w:type="dxa"/>
          <w:bottom w:w="0" w:type="dxa"/>
          <w:right w:w="0" w:type="dxa"/>
        </w:tblCellMar>
      </w:tblPr>
      <w:tblGrid>
        <w:gridCol w:w="6992"/>
        <w:gridCol w:w="346"/>
        <w:gridCol w:w="196"/>
        <w:gridCol w:w="1017"/>
        <w:gridCol w:w="346"/>
        <w:gridCol w:w="196"/>
        <w:gridCol w:w="1112"/>
      </w:tblGrid>
      <w:tr>
        <w:trPr/>
        <w:tc>
          <w:tcPr>
            <w:tcW w:w="69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439920" cy="175260"/>
                      <wp:effectExtent l="0" t="0" r="0" b="0"/>
                      <wp:wrapNone/>
                      <wp:docPr id="11" name="Frame11"/>
                      <a:graphic xmlns:a="http://schemas.openxmlformats.org/drawingml/2006/main">
                        <a:graphicData uri="http://schemas.microsoft.com/office/word/2010/wordprocessingShape">
                          <wps:wsp>
                            <wps:cNvSpPr txBox="1"/>
                            <wps:spPr>
                              <a:xfrm>
                                <a:off x="0" y="0"/>
                                <a:ext cx="4439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24460" cy="175260"/>
                      <wp:effectExtent l="0" t="0" r="0" b="0"/>
                      <wp:wrapNone/>
                      <wp:docPr id="13" name="Frame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5795" cy="175260"/>
                      <wp:effectExtent l="0" t="0" r="0" b="0"/>
                      <wp:wrapNone/>
                      <wp:docPr id="14" name="Frame14"/>
                      <a:graphic xmlns:a="http://schemas.openxmlformats.org/drawingml/2006/main">
                        <a:graphicData uri="http://schemas.microsoft.com/office/word/2010/wordprocessingShape">
                          <wps:wsp>
                            <wps:cNvSpPr txBox="1"/>
                            <wps:spPr>
                              <a:xfrm>
                                <a:off x="0" y="0"/>
                                <a:ext cx="645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24460" cy="175260"/>
                      <wp:effectExtent l="0" t="0" r="0" b="0"/>
                      <wp:wrapNone/>
                      <wp:docPr id="16" name="Frame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706120" cy="175260"/>
                      <wp:effectExtent l="0" t="0" r="0" b="0"/>
                      <wp:wrapNone/>
                      <wp:docPr id="17" name="Frame17"/>
                      <a:graphic xmlns:a="http://schemas.openxmlformats.org/drawingml/2006/main">
                        <a:graphicData uri="http://schemas.microsoft.com/office/word/2010/wordprocessingShape">
                          <wps:wsp>
                            <wps:cNvSpPr txBox="1"/>
                            <wps:spPr>
                              <a:xfrm>
                                <a:off x="0" y="0"/>
                                <a:ext cx="706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9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1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  ​ ​ ​</w:t>
            </w:r>
          </w:p>
        </w:tc>
        <w:tc>
          <w:tcPr>
            <w:tcW w:w="130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99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3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99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center"/>
              <w:rPr/>
            </w:pPr>
            <w:r>
              <w:rPr/>
              <w:t>​</w:t>
            </w:r>
          </w:p>
        </w:tc>
      </w:tr>
      <w:tr>
        <w:trPr/>
        <w:tc>
          <w:tcPr>
            <w:tcW w:w="699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101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1112" w:type="dxa"/>
            <w:tcBorders/>
            <w:shd w:fill="CCEEFF" w:val="clear"/>
            <w:vAlign w:val="center"/>
          </w:tcPr>
          <w:p>
            <w:pPr>
              <w:pStyle w:val="TableContents"/>
              <w:bidi w:val="0"/>
              <w:spacing w:before="0" w:after="0"/>
              <w:ind w:left="0" w:right="0" w:hanging="0"/>
              <w:jc w:val="right"/>
              <w:rPr/>
            </w:pPr>
            <w:r>
              <w:rPr/>
              <w:t>  ​</w:t>
            </w:r>
          </w:p>
        </w:tc>
      </w:tr>
      <w:tr>
        <w:trPr/>
        <w:tc>
          <w:tcPr>
            <w:tcW w:w="69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right"/>
              <w:rPr/>
            </w:pPr>
            <w:r>
              <w:rPr/>
              <w:t>​</w:t>
            </w:r>
          </w:p>
        </w:tc>
      </w:tr>
      <w:tr>
        <w:trPr/>
        <w:tc>
          <w:tcPr>
            <w:tcW w:w="69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396,210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624,163</w:t>
            </w:r>
          </w:p>
        </w:tc>
      </w:tr>
      <w:tr>
        <w:trPr/>
        <w:tc>
          <w:tcPr>
            <w:tcW w:w="69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insurance - current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112,307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112,307</w:t>
            </w:r>
          </w:p>
        </w:tc>
      </w:tr>
      <w:tr>
        <w:trPr/>
        <w:tc>
          <w:tcPr>
            <w:tcW w:w="69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3,669</w:t>
            </w:r>
          </w:p>
        </w:tc>
      </w:tr>
      <w:tr>
        <w:trPr/>
        <w:tc>
          <w:tcPr>
            <w:tcW w:w="6992"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509,350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740,139</w:t>
            </w:r>
          </w:p>
        </w:tc>
      </w:tr>
      <w:tr>
        <w:trPr/>
        <w:tc>
          <w:tcPr>
            <w:tcW w:w="69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insurance – long term</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9,359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37,435</w:t>
            </w:r>
          </w:p>
        </w:tc>
      </w:tr>
      <w:tr>
        <w:trPr/>
        <w:tc>
          <w:tcPr>
            <w:tcW w:w="69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Investments held in Trust Account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285,868,994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283,377,276</w:t>
            </w:r>
          </w:p>
        </w:tc>
      </w:tr>
      <w:tr>
        <w:trPr/>
        <w:tc>
          <w:tcPr>
            <w:tcW w:w="699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0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286,387,703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1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284,154,850</w:t>
            </w:r>
          </w:p>
        </w:tc>
      </w:tr>
      <w:tr>
        <w:trPr/>
        <w:tc>
          <w:tcPr>
            <w:tcW w:w="699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left"/>
              <w:rPr/>
            </w:pPr>
            <w:r>
              <w:rPr/>
              <w:t>​</w:t>
            </w:r>
          </w:p>
        </w:tc>
      </w:tr>
      <w:tr>
        <w:trPr/>
        <w:tc>
          <w:tcPr>
            <w:tcW w:w="699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 Class A Ordinary Shares Subject to Possible Redemption, and Shareholders’ Deficit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1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pPr>
            <w:r>
              <w:rPr/>
              <w:t>  ​</w:t>
            </w:r>
          </w:p>
        </w:tc>
      </w:tr>
      <w:tr>
        <w:trPr/>
        <w:tc>
          <w:tcPr>
            <w:tcW w:w="69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right"/>
              <w:rPr/>
            </w:pPr>
            <w:r>
              <w:rPr/>
              <w:t>​</w:t>
            </w:r>
          </w:p>
        </w:tc>
      </w:tr>
      <w:tr>
        <w:trPr/>
        <w:tc>
          <w:tcPr>
            <w:tcW w:w="69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offering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75,000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75,000</w:t>
            </w:r>
          </w:p>
        </w:tc>
      </w:tr>
      <w:tr>
        <w:trPr/>
        <w:tc>
          <w:tcPr>
            <w:tcW w:w="69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expenses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1,312,305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759,869</w:t>
            </w:r>
          </w:p>
        </w:tc>
      </w:tr>
      <w:tr>
        <w:trPr/>
        <w:tc>
          <w:tcPr>
            <w:tcW w:w="699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1,387,305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834,869</w:t>
            </w:r>
          </w:p>
        </w:tc>
      </w:tr>
      <w:tr>
        <w:trPr/>
        <w:tc>
          <w:tcPr>
            <w:tcW w:w="69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underwriting fee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13,140,000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13,140,000</w:t>
            </w:r>
          </w:p>
        </w:tc>
      </w:tr>
      <w:tr>
        <w:trPr/>
        <w:tc>
          <w:tcPr>
            <w:tcW w:w="699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14,527,305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13,974,869</w:t>
            </w:r>
          </w:p>
        </w:tc>
      </w:tr>
      <w:tr>
        <w:trPr/>
        <w:tc>
          <w:tcPr>
            <w:tcW w:w="699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left"/>
              <w:rPr/>
            </w:pPr>
            <w:r>
              <w:rPr/>
              <w:t>​</w:t>
            </w:r>
          </w:p>
        </w:tc>
      </w:tr>
      <w:tr>
        <w:trPr/>
        <w:tc>
          <w:tcPr>
            <w:tcW w:w="699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Commitments and Contingencies (Note 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1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2" w:type="dxa"/>
            <w:tcBorders/>
            <w:shd w:fill="CCEEFF" w:val="clear"/>
            <w:vAlign w:val="center"/>
          </w:tcPr>
          <w:p>
            <w:pPr>
              <w:pStyle w:val="TableContents"/>
              <w:bidi w:val="0"/>
              <w:spacing w:before="0" w:after="0"/>
              <w:ind w:left="0" w:right="0" w:hanging="0"/>
              <w:jc w:val="left"/>
              <w:rPr/>
            </w:pPr>
            <w:r>
              <w:rPr/>
              <w:t>​</w:t>
            </w:r>
          </w:p>
        </w:tc>
      </w:tr>
      <w:tr>
        <w:trPr/>
        <w:tc>
          <w:tcPr>
            <w:tcW w:w="69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Class A ordinary shares subject to possible redemption, 27,600,000 shares at redemption value of approximately $10.36 and $10.27 per share as of March 31, 2026 and December 31, 2025, respectively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285,868,994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283,377,276</w:t>
            </w:r>
          </w:p>
        </w:tc>
      </w:tr>
      <w:tr>
        <w:trPr/>
        <w:tc>
          <w:tcPr>
            <w:tcW w:w="699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1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2" w:type="dxa"/>
            <w:tcBorders/>
            <w:shd w:fill="CCEEFF" w:val="clear"/>
            <w:vAlign w:val="center"/>
          </w:tcPr>
          <w:p>
            <w:pPr>
              <w:pStyle w:val="TableContents"/>
              <w:bidi w:val="0"/>
              <w:spacing w:before="0" w:after="0"/>
              <w:ind w:left="0" w:right="0" w:hanging="0"/>
              <w:jc w:val="left"/>
              <w:rPr/>
            </w:pPr>
            <w:r>
              <w:rPr/>
              <w:t>​</w:t>
            </w:r>
          </w:p>
        </w:tc>
      </w:tr>
      <w:tr>
        <w:trPr/>
        <w:tc>
          <w:tcPr>
            <w:tcW w:w="6992"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Shareholders’ Deficit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pPr>
            <w:r>
              <w:rPr/>
              <w:t>​</w:t>
            </w:r>
          </w:p>
        </w:tc>
      </w:tr>
      <w:tr>
        <w:trPr/>
        <w:tc>
          <w:tcPr>
            <w:tcW w:w="69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Preference shares, $0.0001 par value; 1,000,000 shares authorized; none issued and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17"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69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Class A ordinary shares, $0.0001 par value; 200,000,000 shares authorized; none issued and outstanding (excluding 27,600,000 shares subject to possible redemption as of March 31, 2026 and December 31, 2025, respectively)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pPr>
            <w:r>
              <w:rPr/>
              <w:t>—</w:t>
            </w:r>
          </w:p>
        </w:tc>
      </w:tr>
      <w:tr>
        <w:trPr/>
        <w:tc>
          <w:tcPr>
            <w:tcW w:w="69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Class B ordinary shares, $0.0001 par value; 20,000,000 shares authorized; 6,900,000 shares issued and outstanding as of March 31, 2026 and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690</w:t>
            </w:r>
          </w:p>
        </w:tc>
      </w:tr>
      <w:tr>
        <w:trPr/>
        <w:tc>
          <w:tcPr>
            <w:tcW w:w="69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pPr>
            <w:r>
              <w:rPr/>
              <w:t>—</w:t>
            </w:r>
          </w:p>
        </w:tc>
      </w:tr>
      <w:tr>
        <w:trPr/>
        <w:tc>
          <w:tcPr>
            <w:tcW w:w="69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(14,009,286)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(13,197,985)</w:t>
            </w:r>
          </w:p>
        </w:tc>
      </w:tr>
      <w:tr>
        <w:trPr/>
        <w:tc>
          <w:tcPr>
            <w:tcW w:w="6992"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Shareholders’ Deficit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(14,008,596)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(13,197,295)</w:t>
            </w:r>
          </w:p>
        </w:tc>
      </w:tr>
      <w:tr>
        <w:trPr/>
        <w:tc>
          <w:tcPr>
            <w:tcW w:w="699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Liabilities, Class A Ordinary Shares Subject to Possible Redemption, and Shareholders’ Deficit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0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286,387,703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11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284,154,850</w:t>
            </w:r>
          </w:p>
        </w:tc>
      </w:tr>
    </w:tbl>
    <w:p>
      <w:pPr>
        <w:pStyle w:val="TextBody"/>
        <w:pBdr/>
        <w:bidi w:val="0"/>
        <w:spacing w:before="0" w:after="0"/>
        <w:ind w:left="0" w:right="0" w:hanging="302"/>
        <w:jc w:val="both"/>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financial statements.</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31" w:name="_a07de7ca_feed_4763_a239_50a8ec89af08"/>
      <w:bookmarkEnd w:id="131"/>
      <w:r>
        <w:rPr>
          <w:rFonts w:ascii="Times New Roman;Times;serif" w:hAnsi="Times New Roman;Times;serif"/>
          <w:b/>
          <w:sz w:val="20"/>
        </w:rPr>
        <w:t>CARTESIAN GROWTH CORPORATION III</w:t>
      </w:r>
    </w:p>
    <w:p>
      <w:pPr>
        <w:pStyle w:val="TextBody"/>
        <w:bidi w:val="0"/>
        <w:spacing w:before="0" w:after="0"/>
        <w:ind w:left="0" w:right="0" w:hanging="0"/>
        <w:jc w:val="center"/>
        <w:rPr>
          <w:rFonts w:ascii="Times New Roman;Times;serif" w:hAnsi="Times New Roman;Times;serif"/>
          <w:b/>
          <w:sz w:val="20"/>
        </w:rPr>
      </w:pPr>
      <w:bookmarkStart w:id="132" w:name="CONDENSEDSTATEMENTOFOPERATIONS_744640"/>
      <w:bookmarkEnd w:id="132"/>
      <w:r>
        <w:rPr>
          <w:rFonts w:ascii="Times New Roman;Times;serif" w:hAnsi="Times New Roman;Times;serif"/>
          <w:b/>
          <w:sz w:val="20"/>
        </w:rPr>
        <w:t>CONDENSED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33" w:name="Tc_fGsIRbqrL0uNuyKU0RFOTQ_18_5"/>
      <w:bookmarkStart w:id="134" w:name="Tc_WBLcv9hleUC1Hd9-AYo6Uw_18_2"/>
      <w:bookmarkStart w:id="135" w:name="Tc_91tO9M6Lo0Wrs9joP-SZzw_18_0"/>
      <w:bookmarkStart w:id="136" w:name="Tc_Azge-Nvn2Euy6WHtYnAaIQ_16_0"/>
      <w:bookmarkStart w:id="137" w:name="Tc_jDxELJCa60GBgizpvEJpzQ_14_6"/>
      <w:bookmarkStart w:id="138" w:name="Tc_NIBb6upPDUyzEc7fWDDxQA_14_5"/>
      <w:bookmarkStart w:id="139" w:name="Tc_i0zhJ-hNPEyL3mTIV47A3w_14_2"/>
      <w:bookmarkStart w:id="140" w:name="Tc_QLywKmf1tE2FC30S4BCASg_14_0"/>
      <w:bookmarkStart w:id="141" w:name="Tc_bA5-7eWokUCKTJb_paduXA_12_6"/>
      <w:bookmarkStart w:id="142" w:name="Tc_0_sNhhbv9kGJ5YAd-WL4cg_12_0"/>
      <w:bookmarkStart w:id="143" w:name="Tc_n4PO1lYnlEuqDEIUOVDD0A_10_5"/>
      <w:bookmarkStart w:id="144" w:name="Tc_Hx5ITOJl8024zQh8042G2g_10_2"/>
      <w:bookmarkStart w:id="145" w:name="Tc_-vDeCCC-80K9K_TIWCbW3A_10_0"/>
      <w:bookmarkStart w:id="146" w:name="Tc_LaghqtTXHEmDqi0bpyMzDg_8_6"/>
      <w:bookmarkStart w:id="147" w:name="Tc_gCdjzW548U-oNftcgEDCsQ_8_0"/>
      <w:bookmarkStart w:id="148" w:name="Tc_DGnQ2Jq2b0-pBinmyPOaQg_7_6"/>
      <w:bookmarkStart w:id="149" w:name="Tc_2BB1i_2zaECldjVrjuPWgQ_7_0"/>
      <w:bookmarkStart w:id="150" w:name="Tc_lF7RAz3u8UCcNEV0TD2JFw_6_0"/>
      <w:bookmarkStart w:id="151" w:name="Tc_CglWZqDyjkSzcRWL5aJ2Iw_4_0"/>
      <w:bookmarkStart w:id="152" w:name="Tc_fCSfS3KXzEWux8egTXsI-Q_3_5"/>
      <w:bookmarkStart w:id="153" w:name="Tc_7MFP9dw5PEWm31-sxSQ1xg_3_2"/>
      <w:bookmarkStart w:id="154" w:name="Tc_dhAkNvEh2UORCQtr6UH7Sw_3_0"/>
      <w:bookmarkStart w:id="155" w:name="Tc_gNVHVEpy-U2S-bwSmdKxgQ_2_5"/>
      <w:bookmarkStart w:id="156" w:name="Tc_e4ejKyUJBkefMyP3Zf5K5Q_2_2"/>
      <w:bookmarkStart w:id="157" w:name="Tc_HSY4BjsZY0OVNxs_xh2YJA_1_2"/>
      <w:bookmarkStart w:id="158" w:name="_f14377a5_90dc_468c_8626_a52978909fcb"/>
      <w:bookmarkStart w:id="159" w:name="_f8dad63e_7400_49e4_a0f2_761596af8de6"/>
      <w:bookmarkStart w:id="160" w:name="Tc_fGsIRbqrL0uNuyKU0RFOTQ_18_5"/>
      <w:bookmarkStart w:id="161" w:name="Tc_WBLcv9hleUC1Hd9-AYo6Uw_18_2"/>
      <w:bookmarkStart w:id="162" w:name="Tc_91tO9M6Lo0Wrs9joP-SZzw_18_0"/>
      <w:bookmarkStart w:id="163" w:name="Tc_Azge-Nvn2Euy6WHtYnAaIQ_16_0"/>
      <w:bookmarkStart w:id="164" w:name="Tc_jDxELJCa60GBgizpvEJpzQ_14_6"/>
      <w:bookmarkStart w:id="165" w:name="Tc_NIBb6upPDUyzEc7fWDDxQA_14_5"/>
      <w:bookmarkStart w:id="166" w:name="Tc_i0zhJ-hNPEyL3mTIV47A3w_14_2"/>
      <w:bookmarkStart w:id="167" w:name="Tc_QLywKmf1tE2FC30S4BCASg_14_0"/>
      <w:bookmarkStart w:id="168" w:name="Tc_bA5-7eWokUCKTJb_paduXA_12_6"/>
      <w:bookmarkStart w:id="169" w:name="Tc_0_sNhhbv9kGJ5YAd-WL4cg_12_0"/>
      <w:bookmarkStart w:id="170" w:name="Tc_n4PO1lYnlEuqDEIUOVDD0A_10_5"/>
      <w:bookmarkStart w:id="171" w:name="Tc_Hx5ITOJl8024zQh8042G2g_10_2"/>
      <w:bookmarkStart w:id="172" w:name="Tc_-vDeCCC-80K9K_TIWCbW3A_10_0"/>
      <w:bookmarkStart w:id="173" w:name="Tc_LaghqtTXHEmDqi0bpyMzDg_8_6"/>
      <w:bookmarkStart w:id="174" w:name="Tc_gCdjzW548U-oNftcgEDCsQ_8_0"/>
      <w:bookmarkStart w:id="175" w:name="Tc_DGnQ2Jq2b0-pBinmyPOaQg_7_6"/>
      <w:bookmarkStart w:id="176" w:name="Tc_2BB1i_2zaECldjVrjuPWgQ_7_0"/>
      <w:bookmarkStart w:id="177" w:name="Tc_lF7RAz3u8UCcNEV0TD2JFw_6_0"/>
      <w:bookmarkStart w:id="178" w:name="Tc_CglWZqDyjkSzcRWL5aJ2Iw_4_0"/>
      <w:bookmarkStart w:id="179" w:name="Tc_fCSfS3KXzEWux8egTXsI-Q_3_5"/>
      <w:bookmarkStart w:id="180" w:name="Tc_7MFP9dw5PEWm31-sxSQ1xg_3_2"/>
      <w:bookmarkStart w:id="181" w:name="Tc_dhAkNvEh2UORCQtr6UH7Sw_3_0"/>
      <w:bookmarkStart w:id="182" w:name="Tc_gNVHVEpy-U2S-bwSmdKxgQ_2_5"/>
      <w:bookmarkStart w:id="183" w:name="Tc_e4ejKyUJBkefMyP3Zf5K5Q_2_2"/>
      <w:bookmarkStart w:id="184" w:name="Tc_HSY4BjsZY0OVNxs_xh2YJA_1_2"/>
      <w:bookmarkStart w:id="185" w:name="_f14377a5_90dc_468c_8626_a52978909fcb"/>
      <w:bookmarkStart w:id="186" w:name="_f8dad63e_7400_49e4_a0f2_761596af8de6"/>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tbl>
      <w:tblPr>
        <w:tblW w:w="10205" w:type="dxa"/>
        <w:jc w:val="left"/>
        <w:tblInd w:w="0" w:type="dxa"/>
        <w:tblLayout w:type="fixed"/>
        <w:tblCellMar>
          <w:top w:w="0" w:type="dxa"/>
          <w:left w:w="0" w:type="dxa"/>
          <w:bottom w:w="0" w:type="dxa"/>
          <w:right w:w="0" w:type="dxa"/>
        </w:tblCellMar>
      </w:tblPr>
      <w:tblGrid>
        <w:gridCol w:w="6830"/>
        <w:gridCol w:w="346"/>
        <w:gridCol w:w="229"/>
        <w:gridCol w:w="1129"/>
        <w:gridCol w:w="376"/>
        <w:gridCol w:w="229"/>
        <w:gridCol w:w="1066"/>
      </w:tblGrid>
      <w:tr>
        <w:trPr/>
        <w:tc>
          <w:tcPr>
            <w:tcW w:w="68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337050" cy="175260"/>
                      <wp:effectExtent l="0" t="0" r="0" b="0"/>
                      <wp:wrapNone/>
                      <wp:docPr id="18" name="Frame18"/>
                      <a:graphic xmlns:a="http://schemas.openxmlformats.org/drawingml/2006/main">
                        <a:graphicData uri="http://schemas.microsoft.com/office/word/2010/wordprocessingShape">
                          <wps:wsp>
                            <wps:cNvSpPr txBox="1"/>
                            <wps:spPr>
                              <a:xfrm>
                                <a:off x="0" y="0"/>
                                <a:ext cx="4337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45415" cy="175260"/>
                      <wp:effectExtent l="0" t="0" r="0" b="0"/>
                      <wp:wrapNone/>
                      <wp:docPr id="20" name="Frame20"/>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716915" cy="175260"/>
                      <wp:effectExtent l="0" t="0" r="0" b="0"/>
                      <wp:wrapNone/>
                      <wp:docPr id="21" name="Frame21"/>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38760" cy="175260"/>
                      <wp:effectExtent l="0" t="0" r="0" b="0"/>
                      <wp:wrapNone/>
                      <wp:docPr id="22" name="Frame22"/>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45415" cy="175260"/>
                      <wp:effectExtent l="0" t="0" r="0" b="0"/>
                      <wp:wrapNone/>
                      <wp:docPr id="23" name="Frame23"/>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76910" cy="175260"/>
                      <wp:effectExtent l="0" t="0" r="0" b="0"/>
                      <wp:wrapNone/>
                      <wp:docPr id="24" name="Frame24"/>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2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r>
      <w:tr>
        <w:trPr/>
        <w:tc>
          <w:tcPr>
            <w:tcW w:w="68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6" w:type="dxa"/>
            <w:tcBorders/>
            <w:vAlign w:val="center"/>
          </w:tcPr>
          <w:p>
            <w:pPr>
              <w:pStyle w:val="TableContents"/>
              <w:bidi w:val="0"/>
              <w:spacing w:before="0" w:after="1"/>
              <w:ind w:left="0" w:right="0" w:hanging="0"/>
              <w:jc w:val="left"/>
              <w:rPr/>
            </w:pPr>
            <w:r>
              <w:rPr/>
              <w:t>  ​ ​ ​</w:t>
            </w:r>
          </w:p>
        </w:tc>
        <w:tc>
          <w:tcPr>
            <w:tcW w:w="12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83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costs</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811,301</w:t>
            </w:r>
          </w:p>
        </w:tc>
        <w:tc>
          <w:tcPr>
            <w:tcW w:w="376"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20,449</w:t>
            </w:r>
          </w:p>
        </w:tc>
      </w:tr>
      <w:tr>
        <w:trPr/>
        <w:tc>
          <w:tcPr>
            <w:tcW w:w="6830"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34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112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(811,301)</w:t>
            </w:r>
          </w:p>
        </w:tc>
        <w:tc>
          <w:tcPr>
            <w:tcW w:w="37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(20,449)</w:t>
            </w:r>
          </w:p>
        </w:tc>
      </w:tr>
      <w:tr>
        <w:trPr/>
        <w:tc>
          <w:tcPr>
            <w:tcW w:w="6830" w:type="dxa"/>
            <w:tcBorders/>
            <w:shd w:fill="CCEEFF" w:val="clear"/>
            <w:vAlign w:val="center"/>
          </w:tcPr>
          <w:p>
            <w:pPr>
              <w:pStyle w:val="TableContents"/>
              <w:pBdr/>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1129" w:type="dxa"/>
            <w:tcBorders/>
            <w:shd w:fill="CCEEFF" w:val="clear"/>
            <w:vAlign w:val="center"/>
          </w:tcPr>
          <w:p>
            <w:pPr>
              <w:pStyle w:val="TableContents"/>
              <w:bidi w:val="0"/>
              <w:spacing w:before="0" w:after="1"/>
              <w:ind w:left="0" w:right="0" w:hanging="0"/>
              <w:jc w:val="right"/>
              <w:rPr/>
            </w:pPr>
            <w:r>
              <w:rPr/>
              <w:t>​</w:t>
            </w:r>
          </w:p>
        </w:tc>
        <w:tc>
          <w:tcPr>
            <w:tcW w:w="37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pPr>
            <w:r>
              <w:rPr/>
              <w:t>​</w:t>
            </w:r>
          </w:p>
        </w:tc>
      </w:tr>
      <w:tr>
        <w:trPr/>
        <w:tc>
          <w:tcPr>
            <w:tcW w:w="683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1129" w:type="dxa"/>
            <w:tcBorders/>
            <w:vAlign w:val="center"/>
          </w:tcPr>
          <w:p>
            <w:pPr>
              <w:pStyle w:val="TableContents"/>
              <w:bidi w:val="0"/>
              <w:spacing w:before="0" w:after="1"/>
              <w:ind w:left="0" w:right="0" w:hanging="0"/>
              <w:jc w:val="right"/>
              <w:rPr/>
            </w:pPr>
            <w:r>
              <w:rPr/>
              <w:t>​</w:t>
            </w:r>
          </w:p>
        </w:tc>
        <w:tc>
          <w:tcPr>
            <w:tcW w:w="37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pPr>
            <w:r>
              <w:rPr/>
              <w:t>​</w:t>
            </w:r>
          </w:p>
        </w:tc>
      </w:tr>
      <w:tr>
        <w:trPr/>
        <w:tc>
          <w:tcPr>
            <w:tcW w:w="683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earned on investments held in Trust Account</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2,491,718</w:t>
            </w:r>
          </w:p>
        </w:tc>
        <w:tc>
          <w:tcPr>
            <w:tcW w:w="376"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83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2,491,718</w:t>
            </w:r>
          </w:p>
        </w:tc>
        <w:tc>
          <w:tcPr>
            <w:tcW w:w="37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830" w:type="dxa"/>
            <w:tcBorders/>
            <w:shd w:fill="CCEEFF" w:val="clear"/>
            <w:vAlign w:val="center"/>
          </w:tcPr>
          <w:p>
            <w:pPr>
              <w:pStyle w:val="TableContents"/>
              <w:pBdr/>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1129" w:type="dxa"/>
            <w:tcBorders/>
            <w:shd w:fill="CCEEFF" w:val="clear"/>
            <w:vAlign w:val="center"/>
          </w:tcPr>
          <w:p>
            <w:pPr>
              <w:pStyle w:val="TableContents"/>
              <w:bidi w:val="0"/>
              <w:spacing w:before="0" w:after="1"/>
              <w:ind w:left="0" w:right="0" w:hanging="0"/>
              <w:jc w:val="right"/>
              <w:rPr/>
            </w:pPr>
            <w:r>
              <w:rPr/>
              <w:t>​</w:t>
            </w:r>
          </w:p>
        </w:tc>
        <w:tc>
          <w:tcPr>
            <w:tcW w:w="37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pPr>
            <w:r>
              <w:rPr/>
              <w:t>​</w:t>
            </w:r>
          </w:p>
        </w:tc>
      </w:tr>
      <w:tr>
        <w:trPr/>
        <w:tc>
          <w:tcPr>
            <w:tcW w:w="6830"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346" w:type="dxa"/>
            <w:tcBorders/>
            <w:vAlign w:val="center"/>
          </w:tcPr>
          <w:p>
            <w:pPr>
              <w:pStyle w:val="TableContents"/>
              <w:bidi w:val="0"/>
              <w:spacing w:before="0" w:after="1"/>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1,680,417</w:t>
            </w:r>
          </w:p>
        </w:tc>
        <w:tc>
          <w:tcPr>
            <w:tcW w:w="376" w:type="dxa"/>
            <w:tcBorders/>
            <w:vAlign w:val="center"/>
          </w:tcPr>
          <w:p>
            <w:pPr>
              <w:pStyle w:val="TableContents"/>
              <w:bidi w:val="0"/>
              <w:spacing w:before="0" w:after="1"/>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(20,449)</w:t>
            </w:r>
          </w:p>
        </w:tc>
      </w:tr>
      <w:tr>
        <w:trPr/>
        <w:tc>
          <w:tcPr>
            <w:tcW w:w="6830" w:type="dxa"/>
            <w:tcBorders/>
            <w:shd w:fill="CCEEFF" w:val="clear"/>
            <w:vAlign w:val="center"/>
          </w:tcPr>
          <w:p>
            <w:pPr>
              <w:pStyle w:val="TableContents"/>
              <w:pBdr/>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1129" w:type="dxa"/>
            <w:tcBorders/>
            <w:shd w:fill="CCEEFF" w:val="clear"/>
            <w:vAlign w:val="center"/>
          </w:tcPr>
          <w:p>
            <w:pPr>
              <w:pStyle w:val="TableContents"/>
              <w:bidi w:val="0"/>
              <w:spacing w:before="0" w:after="1"/>
              <w:ind w:left="0" w:right="0" w:hanging="0"/>
              <w:jc w:val="right"/>
              <w:rPr/>
            </w:pPr>
            <w:r>
              <w:rPr/>
              <w:t>​</w:t>
            </w:r>
          </w:p>
        </w:tc>
        <w:tc>
          <w:tcPr>
            <w:tcW w:w="37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pPr>
            <w:r>
              <w:rPr/>
              <w:t>​</w:t>
            </w:r>
          </w:p>
        </w:tc>
      </w:tr>
      <w:tr>
        <w:trPr/>
        <w:tc>
          <w:tcPr>
            <w:tcW w:w="683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weighted average shares outstanding, Class A ordinary shares subject to redemption</w:t>
            </w:r>
          </w:p>
        </w:tc>
        <w:tc>
          <w:tcPr>
            <w:tcW w:w="346" w:type="dxa"/>
            <w:tcBorders/>
            <w:vAlign w:val="center"/>
          </w:tcPr>
          <w:p>
            <w:pPr>
              <w:pStyle w:val="TableContents"/>
              <w:bidi w:val="0"/>
              <w:spacing w:before="0" w:after="1"/>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1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27,600,000</w:t>
            </w:r>
          </w:p>
        </w:tc>
        <w:tc>
          <w:tcPr>
            <w:tcW w:w="376" w:type="dxa"/>
            <w:tcBorders/>
            <w:vAlign w:val="center"/>
          </w:tcPr>
          <w:p>
            <w:pPr>
              <w:pStyle w:val="TableContents"/>
              <w:bidi w:val="0"/>
              <w:spacing w:before="0" w:after="1"/>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06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r>
      <w:tr>
        <w:trPr/>
        <w:tc>
          <w:tcPr>
            <w:tcW w:w="6830" w:type="dxa"/>
            <w:tcBorders/>
            <w:shd w:fill="CCEEFF" w:val="clear"/>
            <w:vAlign w:val="center"/>
          </w:tcPr>
          <w:p>
            <w:pPr>
              <w:pStyle w:val="TableContents"/>
              <w:pBdr/>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1129" w:type="dxa"/>
            <w:tcBorders/>
            <w:shd w:fill="CCEEFF" w:val="clear"/>
            <w:vAlign w:val="center"/>
          </w:tcPr>
          <w:p>
            <w:pPr>
              <w:pStyle w:val="TableContents"/>
              <w:bidi w:val="0"/>
              <w:spacing w:before="0" w:after="1"/>
              <w:ind w:left="0" w:right="0" w:hanging="0"/>
              <w:jc w:val="right"/>
              <w:rPr/>
            </w:pPr>
            <w:r>
              <w:rPr/>
              <w:t>​</w:t>
            </w:r>
          </w:p>
        </w:tc>
        <w:tc>
          <w:tcPr>
            <w:tcW w:w="37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pPr>
            <w:r>
              <w:rPr/>
              <w:t>​</w:t>
            </w:r>
          </w:p>
        </w:tc>
      </w:tr>
      <w:tr>
        <w:trPr/>
        <w:tc>
          <w:tcPr>
            <w:tcW w:w="6830"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and diluted net income (loss) per share, Class A ordinary shares subject to redemption</w:t>
            </w:r>
          </w:p>
        </w:tc>
        <w:tc>
          <w:tcPr>
            <w:tcW w:w="346" w:type="dxa"/>
            <w:tcBorders/>
            <w:vAlign w:val="center"/>
          </w:tcPr>
          <w:p>
            <w:pPr>
              <w:pStyle w:val="TableContents"/>
              <w:bidi w:val="0"/>
              <w:spacing w:before="0" w:after="1"/>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0.05</w:t>
            </w:r>
          </w:p>
        </w:tc>
        <w:tc>
          <w:tcPr>
            <w:tcW w:w="376" w:type="dxa"/>
            <w:tcBorders/>
            <w:vAlign w:val="center"/>
          </w:tcPr>
          <w:p>
            <w:pPr>
              <w:pStyle w:val="TableContents"/>
              <w:bidi w:val="0"/>
              <w:spacing w:before="0" w:after="1"/>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6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r>
      <w:tr>
        <w:trPr/>
        <w:tc>
          <w:tcPr>
            <w:tcW w:w="683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1129" w:type="dxa"/>
            <w:tcBorders/>
            <w:shd w:fill="CCEEFF" w:val="clear"/>
            <w:vAlign w:val="center"/>
          </w:tcPr>
          <w:p>
            <w:pPr>
              <w:pStyle w:val="TableContents"/>
              <w:bidi w:val="0"/>
              <w:spacing w:before="0" w:after="1"/>
              <w:ind w:left="0" w:right="0" w:hanging="0"/>
              <w:jc w:val="right"/>
              <w:rPr/>
            </w:pPr>
            <w:r>
              <w:rPr/>
              <w:t>​</w:t>
            </w:r>
          </w:p>
        </w:tc>
        <w:tc>
          <w:tcPr>
            <w:tcW w:w="37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pPr>
            <w:r>
              <w:rPr/>
              <w:t>​</w:t>
            </w:r>
          </w:p>
        </w:tc>
      </w:tr>
      <w:tr>
        <w:trPr/>
        <w:tc>
          <w:tcPr>
            <w:tcW w:w="683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weighted average shares outstanding, Class B ordinary shares</w:t>
            </w:r>
          </w:p>
        </w:tc>
        <w:tc>
          <w:tcPr>
            <w:tcW w:w="346" w:type="dxa"/>
            <w:tcBorders/>
            <w:vAlign w:val="center"/>
          </w:tcPr>
          <w:p>
            <w:pPr>
              <w:pStyle w:val="TableContents"/>
              <w:bidi w:val="0"/>
              <w:spacing w:before="0" w:after="1"/>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1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6,900,000</w:t>
            </w:r>
          </w:p>
        </w:tc>
        <w:tc>
          <w:tcPr>
            <w:tcW w:w="376" w:type="dxa"/>
            <w:tcBorders/>
            <w:vAlign w:val="center"/>
          </w:tcPr>
          <w:p>
            <w:pPr>
              <w:pStyle w:val="TableContents"/>
              <w:bidi w:val="0"/>
              <w:spacing w:before="0" w:after="1"/>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0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6,900,000</w:t>
            </w:r>
          </w:p>
        </w:tc>
      </w:tr>
      <w:tr>
        <w:trPr/>
        <w:tc>
          <w:tcPr>
            <w:tcW w:w="6830" w:type="dxa"/>
            <w:tcBorders/>
            <w:shd w:fill="CCEEFF" w:val="clear"/>
            <w:vAlign w:val="center"/>
          </w:tcPr>
          <w:p>
            <w:pPr>
              <w:pStyle w:val="TableContents"/>
              <w:pBdr/>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1129" w:type="dxa"/>
            <w:tcBorders/>
            <w:shd w:fill="CCEEFF" w:val="clear"/>
            <w:vAlign w:val="center"/>
          </w:tcPr>
          <w:p>
            <w:pPr>
              <w:pStyle w:val="TableContents"/>
              <w:bidi w:val="0"/>
              <w:spacing w:before="0" w:after="1"/>
              <w:ind w:left="0" w:right="0" w:hanging="0"/>
              <w:jc w:val="right"/>
              <w:rPr/>
            </w:pPr>
            <w:r>
              <w:rPr/>
              <w:t>​</w:t>
            </w:r>
          </w:p>
        </w:tc>
        <w:tc>
          <w:tcPr>
            <w:tcW w:w="37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pPr>
            <w:r>
              <w:rPr/>
              <w:t>​</w:t>
            </w:r>
          </w:p>
        </w:tc>
      </w:tr>
      <w:tr>
        <w:trPr/>
        <w:tc>
          <w:tcPr>
            <w:tcW w:w="6830"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and diluted net income (loss) per share, Class B ordinary shares</w:t>
            </w:r>
          </w:p>
        </w:tc>
        <w:tc>
          <w:tcPr>
            <w:tcW w:w="346" w:type="dxa"/>
            <w:tcBorders/>
            <w:vAlign w:val="center"/>
          </w:tcPr>
          <w:p>
            <w:pPr>
              <w:pStyle w:val="TableContents"/>
              <w:bidi w:val="0"/>
              <w:spacing w:before="0" w:after="1"/>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0.05</w:t>
            </w:r>
          </w:p>
        </w:tc>
        <w:tc>
          <w:tcPr>
            <w:tcW w:w="376" w:type="dxa"/>
            <w:tcBorders/>
            <w:vAlign w:val="center"/>
          </w:tcPr>
          <w:p>
            <w:pPr>
              <w:pStyle w:val="TableContents"/>
              <w:bidi w:val="0"/>
              <w:spacing w:before="0" w:after="1"/>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(0.00)</w:t>
            </w:r>
          </w:p>
        </w:tc>
      </w:tr>
    </w:tbl>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87" w:name="_ecb2ccb8_b1aa_46be_a7d3_6a3ec78a00db"/>
      <w:bookmarkEnd w:id="187"/>
      <w:r>
        <w:rPr>
          <w:rFonts w:ascii="Times New Roman;Times;serif" w:hAnsi="Times New Roman;Times;serif"/>
          <w:b/>
          <w:sz w:val="20"/>
        </w:rPr>
        <w:t>CARTESIAN GROWTH CORPORATION III</w:t>
      </w:r>
    </w:p>
    <w:p>
      <w:pPr>
        <w:pStyle w:val="TextBody"/>
        <w:bidi w:val="0"/>
        <w:spacing w:before="0" w:after="0"/>
        <w:ind w:left="0" w:right="0" w:hanging="0"/>
        <w:jc w:val="center"/>
        <w:rPr>
          <w:rFonts w:ascii="Times New Roman;Times;serif" w:hAnsi="Times New Roman;Times;serif"/>
          <w:b/>
          <w:sz w:val="20"/>
        </w:rPr>
      </w:pPr>
      <w:bookmarkStart w:id="188" w:name="CONDENSEDSTATEMENTOFCHANGESINSHAREHOLDER"/>
      <w:bookmarkEnd w:id="188"/>
      <w:r>
        <w:rPr>
          <w:rFonts w:ascii="Times New Roman;Times;serif" w:hAnsi="Times New Roman;Times;serif"/>
          <w:b/>
          <w:sz w:val="20"/>
        </w:rPr>
        <w:t>CONDENSED STATEMENTS OF CHANGES IN SHAREHOLDERS’ DEFICIT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FOR THE THREE MONTHS ENDED MARCH 31, 2026 </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89" w:name="Tc_4vcad1WL0kSpbkxXb28oXw_10_13"/>
      <w:bookmarkStart w:id="190" w:name="Tc_vWk-gXd94ESreeKRIzRVFQ_10_10"/>
      <w:bookmarkStart w:id="191" w:name="Tc_3ZdOY7YjJEmx8Lf1BOs2sw_10_8"/>
      <w:bookmarkStart w:id="192" w:name="Tc_bD5bta_m9ke45Uq2xcPOFw_10_7"/>
      <w:bookmarkStart w:id="193" w:name="Tc_fc8m46siYkGPhqHZ9NoX2A_10_4"/>
      <w:bookmarkStart w:id="194" w:name="Tc_apwxAGMFh0-vP-2lUWVC7w_10_0"/>
      <w:bookmarkStart w:id="195" w:name="Tc_u7tqa3D6OEeeh9CO4xko8g_8_8"/>
      <w:bookmarkStart w:id="196" w:name="Tc_klNOf5fGY0mVraFeUcWoxg_8_5"/>
      <w:bookmarkStart w:id="197" w:name="Tc_d3dos-RvCkKR3tdkrCQn3w_8_2"/>
      <w:bookmarkStart w:id="198" w:name="Tc_IGD-3m76eEWxoP8Wv6OOJg_8_0"/>
      <w:bookmarkStart w:id="199" w:name="Tc_wU8kEmW8G06BUa_zxlPc1A_6_8"/>
      <w:bookmarkStart w:id="200" w:name="Tc_FO6C_TbGMEKkqcs8XEFadQ_6_5"/>
      <w:bookmarkStart w:id="201" w:name="Tc_YzhLnBtTE0-Kap-HCXUL2g_6_2"/>
      <w:bookmarkStart w:id="202" w:name="Tc_H-guyNUGyk-VUy6Pb3ry2g_6_0"/>
      <w:bookmarkStart w:id="203" w:name="Tc_yYX4kwsDoUuJtevV5eaUHw_4_13"/>
      <w:bookmarkStart w:id="204" w:name="Tc_kDFJucjnTEWrSCov0TiF6w_4_10"/>
      <w:bookmarkStart w:id="205" w:name="Tc_WYGiS9ra2EuAdC09cduRZw_4_8"/>
      <w:bookmarkStart w:id="206" w:name="Tc_4I2YTdsNPkuwpxUQWfkCDg_4_7"/>
      <w:bookmarkStart w:id="207" w:name="Tc_TqXpzQyEKEOmuSWc0AwDRQ_4_4"/>
      <w:bookmarkStart w:id="208" w:name="Tc_fkdB1plO8EWnK4R3sqUQCA_4_0"/>
      <w:bookmarkStart w:id="209" w:name="Tc_gL5W5PGRj02vJJK8TR9Zaw_3_13"/>
      <w:bookmarkStart w:id="210" w:name="Tc_ng_Jk3AGTUqjdJlpyDkZhg_3_10"/>
      <w:bookmarkStart w:id="211" w:name="Tc_ag3iYIfv-UOSqmkedFKb3Q_3_7"/>
      <w:bookmarkStart w:id="212" w:name="Tc_7dCPbuDJ2ECTWgREKJufLw_3_4"/>
      <w:bookmarkStart w:id="213" w:name="Tc_fWzxDdQnR0m5VMxpGTLVkQ_3_2"/>
      <w:bookmarkStart w:id="214" w:name="Tc_oxoy-MEOvk2HBVmozbNXQg_2_13"/>
      <w:bookmarkStart w:id="215" w:name="Tc_rjqaHSnKAkCj7Ka-ypE_TQ_2_10"/>
      <w:bookmarkStart w:id="216" w:name="Tc_d4wKuJu4zkeuBkrFSCN8Mg_2_7"/>
      <w:bookmarkStart w:id="217" w:name="Tc_IjLDrTeihEabrORtkFmD3w_2_2"/>
      <w:bookmarkStart w:id="218" w:name="Tc_iJM21s6yo0ygEu77-rsX4Q_1_13"/>
      <w:bookmarkStart w:id="219" w:name="Tc_wadDyEAVFUymGlcTRWOAgg_1_7"/>
      <w:bookmarkStart w:id="220" w:name="Tc_x5SGtczJDkCFTRcW-LVlKA_1_2"/>
      <w:bookmarkStart w:id="221" w:name="_411d34ef_481d_4952_9205_84a606027687"/>
      <w:bookmarkStart w:id="222" w:name="Tc_4vcad1WL0kSpbkxXb28oXw_10_13"/>
      <w:bookmarkStart w:id="223" w:name="Tc_vWk-gXd94ESreeKRIzRVFQ_10_10"/>
      <w:bookmarkStart w:id="224" w:name="Tc_3ZdOY7YjJEmx8Lf1BOs2sw_10_8"/>
      <w:bookmarkStart w:id="225" w:name="Tc_bD5bta_m9ke45Uq2xcPOFw_10_7"/>
      <w:bookmarkStart w:id="226" w:name="Tc_fc8m46siYkGPhqHZ9NoX2A_10_4"/>
      <w:bookmarkStart w:id="227" w:name="Tc_apwxAGMFh0-vP-2lUWVC7w_10_0"/>
      <w:bookmarkStart w:id="228" w:name="Tc_u7tqa3D6OEeeh9CO4xko8g_8_8"/>
      <w:bookmarkStart w:id="229" w:name="Tc_klNOf5fGY0mVraFeUcWoxg_8_5"/>
      <w:bookmarkStart w:id="230" w:name="Tc_d3dos-RvCkKR3tdkrCQn3w_8_2"/>
      <w:bookmarkStart w:id="231" w:name="Tc_IGD-3m76eEWxoP8Wv6OOJg_8_0"/>
      <w:bookmarkStart w:id="232" w:name="Tc_wU8kEmW8G06BUa_zxlPc1A_6_8"/>
      <w:bookmarkStart w:id="233" w:name="Tc_FO6C_TbGMEKkqcs8XEFadQ_6_5"/>
      <w:bookmarkStart w:id="234" w:name="Tc_YzhLnBtTE0-Kap-HCXUL2g_6_2"/>
      <w:bookmarkStart w:id="235" w:name="Tc_H-guyNUGyk-VUy6Pb3ry2g_6_0"/>
      <w:bookmarkStart w:id="236" w:name="Tc_yYX4kwsDoUuJtevV5eaUHw_4_13"/>
      <w:bookmarkStart w:id="237" w:name="Tc_kDFJucjnTEWrSCov0TiF6w_4_10"/>
      <w:bookmarkStart w:id="238" w:name="Tc_WYGiS9ra2EuAdC09cduRZw_4_8"/>
      <w:bookmarkStart w:id="239" w:name="Tc_4I2YTdsNPkuwpxUQWfkCDg_4_7"/>
      <w:bookmarkStart w:id="240" w:name="Tc_TqXpzQyEKEOmuSWc0AwDRQ_4_4"/>
      <w:bookmarkStart w:id="241" w:name="Tc_fkdB1plO8EWnK4R3sqUQCA_4_0"/>
      <w:bookmarkStart w:id="242" w:name="Tc_gL5W5PGRj02vJJK8TR9Zaw_3_13"/>
      <w:bookmarkStart w:id="243" w:name="Tc_ng_Jk3AGTUqjdJlpyDkZhg_3_10"/>
      <w:bookmarkStart w:id="244" w:name="Tc_ag3iYIfv-UOSqmkedFKb3Q_3_7"/>
      <w:bookmarkStart w:id="245" w:name="Tc_7dCPbuDJ2ECTWgREKJufLw_3_4"/>
      <w:bookmarkStart w:id="246" w:name="Tc_fWzxDdQnR0m5VMxpGTLVkQ_3_2"/>
      <w:bookmarkStart w:id="247" w:name="Tc_oxoy-MEOvk2HBVmozbNXQg_2_13"/>
      <w:bookmarkStart w:id="248" w:name="Tc_rjqaHSnKAkCj7Ka-ypE_TQ_2_10"/>
      <w:bookmarkStart w:id="249" w:name="Tc_d4wKuJu4zkeuBkrFSCN8Mg_2_7"/>
      <w:bookmarkStart w:id="250" w:name="Tc_IjLDrTeihEabrORtkFmD3w_2_2"/>
      <w:bookmarkStart w:id="251" w:name="Tc_iJM21s6yo0ygEu77-rsX4Q_1_13"/>
      <w:bookmarkStart w:id="252" w:name="Tc_wadDyEAVFUymGlcTRWOAgg_1_7"/>
      <w:bookmarkStart w:id="253" w:name="Tc_x5SGtczJDkCFTRcW-LVlKA_1_2"/>
      <w:bookmarkStart w:id="254" w:name="_411d34ef_481d_4952_9205_84a606027687"/>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tbl>
      <w:tblPr>
        <w:tblW w:w="10205" w:type="dxa"/>
        <w:jc w:val="left"/>
        <w:tblInd w:w="0" w:type="dxa"/>
        <w:tblLayout w:type="fixed"/>
        <w:tblCellMar>
          <w:top w:w="0" w:type="dxa"/>
          <w:left w:w="0" w:type="dxa"/>
          <w:bottom w:w="0" w:type="dxa"/>
          <w:right w:w="0" w:type="dxa"/>
        </w:tblCellMar>
      </w:tblPr>
      <w:tblGrid>
        <w:gridCol w:w="3223"/>
        <w:gridCol w:w="346"/>
        <w:gridCol w:w="931"/>
        <w:gridCol w:w="346"/>
        <w:gridCol w:w="230"/>
        <w:gridCol w:w="461"/>
        <w:gridCol w:w="346"/>
        <w:gridCol w:w="346"/>
        <w:gridCol w:w="570"/>
        <w:gridCol w:w="346"/>
        <w:gridCol w:w="211"/>
        <w:gridCol w:w="1123"/>
        <w:gridCol w:w="346"/>
        <w:gridCol w:w="211"/>
        <w:gridCol w:w="1169"/>
      </w:tblGrid>
      <w:tr>
        <w:trPr/>
        <w:tc>
          <w:tcPr>
            <w:tcW w:w="3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46605" cy="175260"/>
                      <wp:effectExtent l="0" t="0" r="0" b="0"/>
                      <wp:wrapNone/>
                      <wp:docPr id="25" name="Frame25"/>
                      <a:graphic xmlns:a="http://schemas.openxmlformats.org/drawingml/2006/main">
                        <a:graphicData uri="http://schemas.microsoft.com/office/word/2010/wordprocessingShape">
                          <wps:wsp>
                            <wps:cNvSpPr txBox="1"/>
                            <wps:spPr>
                              <a:xfrm>
                                <a:off x="0" y="0"/>
                                <a:ext cx="2046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91185" cy="175260"/>
                      <wp:effectExtent l="0" t="0" r="0" b="0"/>
                      <wp:wrapNone/>
                      <wp:docPr id="27" name="Frame2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46050" cy="175260"/>
                      <wp:effectExtent l="0" t="0" r="0" b="0"/>
                      <wp:wrapNone/>
                      <wp:docPr id="29" name="Frame29"/>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92735" cy="175260"/>
                      <wp:effectExtent l="0" t="0" r="0" b="0"/>
                      <wp:wrapNone/>
                      <wp:docPr id="30" name="Frame30"/>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361950" cy="175260"/>
                      <wp:effectExtent l="0" t="0" r="0" b="0"/>
                      <wp:wrapNone/>
                      <wp:docPr id="33" name="Frame33"/>
                      <a:graphic xmlns:a="http://schemas.openxmlformats.org/drawingml/2006/main">
                        <a:graphicData uri="http://schemas.microsoft.com/office/word/2010/wordprocessingShape">
                          <wps:wsp>
                            <wps:cNvSpPr txBox="1"/>
                            <wps:spPr>
                              <a:xfrm>
                                <a:off x="0" y="0"/>
                                <a:ext cx="361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5"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713105" cy="175260"/>
                      <wp:effectExtent l="0" t="0" r="0" b="0"/>
                      <wp:wrapNone/>
                      <wp:docPr id="36" name="Frame36"/>
                      <a:graphic xmlns:a="http://schemas.openxmlformats.org/drawingml/2006/main">
                        <a:graphicData uri="http://schemas.microsoft.com/office/word/2010/wordprocessingShape">
                          <wps:wsp>
                            <wps:cNvSpPr txBox="1"/>
                            <wps:spPr>
                              <a:xfrm>
                                <a:off x="0" y="0"/>
                                <a:ext cx="713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742315" cy="175260"/>
                      <wp:effectExtent l="0" t="0" r="0" b="0"/>
                      <wp:wrapNone/>
                      <wp:docPr id="39" name="Frame39"/>
                      <a:graphic xmlns:a="http://schemas.openxmlformats.org/drawingml/2006/main">
                        <a:graphicData uri="http://schemas.microsoft.com/office/word/2010/wordprocessingShape">
                          <wps:wsp>
                            <wps:cNvSpPr txBox="1"/>
                            <wps:spPr>
                              <a:xfrm>
                                <a:off x="0" y="0"/>
                                <a:ext cx="742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2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8" w:type="dxa"/>
            <w:gridSpan w:val="4"/>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Class B</w:t>
            </w:r>
            <w:r>
              <w:rPr>
                <w:rFonts w:ascii="Times New Roman;Times;serif" w:hAnsi="Times New Roman;Times;serif"/>
                <w:sz w:val="16"/>
              </w:rPr>
              <w:t> </w:t>
            </w:r>
          </w:p>
        </w:tc>
        <w:tc>
          <w:tcPr>
            <w:tcW w:w="346" w:type="dxa"/>
            <w:tcBorders/>
            <w:vAlign w:val="center"/>
          </w:tcPr>
          <w:p>
            <w:pPr>
              <w:pStyle w:val="TableContents"/>
              <w:bidi w:val="0"/>
              <w:spacing w:before="0" w:after="1"/>
              <w:ind w:left="0" w:right="0" w:hanging="0"/>
              <w:jc w:val="left"/>
              <w:rPr/>
            </w:pPr>
            <w:r>
              <w:rPr/>
              <w:t>​</w:t>
            </w:r>
          </w:p>
        </w:tc>
        <w:tc>
          <w:tcPr>
            <w:tcW w:w="9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2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380"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Total</w:t>
            </w:r>
            <w:r>
              <w:rPr>
                <w:rFonts w:ascii="Times New Roman;Times;serif" w:hAnsi="Times New Roman;Times;serif"/>
                <w:sz w:val="16"/>
              </w:rPr>
              <w:t> </w:t>
            </w:r>
          </w:p>
        </w:tc>
      </w:tr>
      <w:tr>
        <w:trPr/>
        <w:tc>
          <w:tcPr>
            <w:tcW w:w="322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46" w:type="dxa"/>
            <w:tcBorders/>
            <w:vAlign w:val="center"/>
          </w:tcPr>
          <w:p>
            <w:pPr>
              <w:pStyle w:val="TableContents"/>
              <w:bidi w:val="0"/>
              <w:spacing w:before="0" w:after="1"/>
              <w:ind w:left="0" w:right="0" w:hanging="0"/>
              <w:jc w:val="left"/>
              <w:rPr/>
            </w:pPr>
            <w:r>
              <w:rPr/>
              <w:t>​</w:t>
            </w:r>
          </w:p>
        </w:tc>
        <w:tc>
          <w:tcPr>
            <w:tcW w:w="9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left"/>
              <w:rPr/>
            </w:pPr>
            <w:r>
              <w:rPr/>
              <w:t>​</w:t>
            </w:r>
          </w:p>
        </w:tc>
        <w:tc>
          <w:tcPr>
            <w:tcW w:w="133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138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Shareholders’</w:t>
            </w:r>
          </w:p>
        </w:tc>
      </w:tr>
      <w:tr>
        <w:trPr/>
        <w:tc>
          <w:tcPr>
            <w:tcW w:w="322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  ​ ​ ​</w:t>
            </w:r>
          </w:p>
        </w:tc>
        <w:tc>
          <w:tcPr>
            <w:tcW w:w="133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left"/>
              <w:rPr/>
            </w:pPr>
            <w:r>
              <w:rPr/>
              <w:t>  ​ ​ ​</w:t>
            </w:r>
          </w:p>
        </w:tc>
        <w:tc>
          <w:tcPr>
            <w:tcW w:w="13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r>
      <w:tr>
        <w:trPr/>
        <w:tc>
          <w:tcPr>
            <w:tcW w:w="3223"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 December 31, 2025</w:t>
            </w:r>
          </w:p>
        </w:tc>
        <w:tc>
          <w:tcPr>
            <w:tcW w:w="346" w:type="dxa"/>
            <w:tcBorders/>
            <w:shd w:fill="CCEEFF" w:val="clear"/>
            <w:vAlign w:val="center"/>
          </w:tcPr>
          <w:p>
            <w:pPr>
              <w:pStyle w:val="TableContents"/>
              <w:bidi w:val="0"/>
              <w:spacing w:before="0" w:after="1"/>
              <w:ind w:left="0" w:right="0" w:hanging="0"/>
              <w:jc w:val="left"/>
              <w:rPr/>
            </w:pPr>
            <w:r>
              <w:rPr/>
              <w:t>  ​ ​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6,900,000</w:t>
            </w:r>
          </w:p>
        </w:tc>
        <w:tc>
          <w:tcPr>
            <w:tcW w:w="346" w:type="dxa"/>
            <w:tcBorders/>
            <w:shd w:fill="CCEEFF" w:val="clear"/>
            <w:vAlign w:val="center"/>
          </w:tcPr>
          <w:p>
            <w:pPr>
              <w:pStyle w:val="TableContents"/>
              <w:bidi w:val="0"/>
              <w:spacing w:before="0" w:after="1"/>
              <w:ind w:left="0" w:right="0" w:hanging="0"/>
              <w:jc w:val="left"/>
              <w:rPr/>
            </w:pPr>
            <w:r>
              <w:rPr/>
              <w:t>  ​ ​ ​</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690</w:t>
            </w:r>
          </w:p>
        </w:tc>
        <w:tc>
          <w:tcPr>
            <w:tcW w:w="346" w:type="dxa"/>
            <w:tcBorders/>
            <w:shd w:fill="CCEEFF" w:val="clear"/>
            <w:vAlign w:val="center"/>
          </w:tcPr>
          <w:p>
            <w:pPr>
              <w:pStyle w:val="TableContents"/>
              <w:bidi w:val="0"/>
              <w:spacing w:before="0" w:after="1"/>
              <w:ind w:left="0" w:right="0" w:hanging="0"/>
              <w:jc w:val="left"/>
              <w:rPr/>
            </w:pPr>
            <w:r>
              <w:rPr/>
              <w:t>  ​ ​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2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(13,197,985)</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6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(13,197,295)</w:t>
            </w:r>
          </w:p>
        </w:tc>
      </w:tr>
      <w:tr>
        <w:trPr/>
        <w:tc>
          <w:tcPr>
            <w:tcW w:w="322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2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69" w:type="dxa"/>
            <w:tcBorders/>
            <w:vAlign w:val="center"/>
          </w:tcPr>
          <w:p>
            <w:pPr>
              <w:pStyle w:val="TableContents"/>
              <w:bidi w:val="0"/>
              <w:spacing w:before="0" w:after="1"/>
              <w:ind w:left="0" w:right="0" w:hanging="0"/>
              <w:jc w:val="left"/>
              <w:rPr/>
            </w:pPr>
            <w:r>
              <w:rPr/>
              <w:t>​</w:t>
            </w:r>
          </w:p>
        </w:tc>
      </w:tr>
      <w:tr>
        <w:trPr/>
        <w:tc>
          <w:tcPr>
            <w:tcW w:w="322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Remeasurement of Class A ordinary shares to redemption amount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(2,491,718)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(2,491,718)</w:t>
            </w:r>
          </w:p>
        </w:tc>
      </w:tr>
      <w:tr>
        <w:trPr/>
        <w:tc>
          <w:tcPr>
            <w:tcW w:w="322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2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69" w:type="dxa"/>
            <w:tcBorders/>
            <w:vAlign w:val="center"/>
          </w:tcPr>
          <w:p>
            <w:pPr>
              <w:pStyle w:val="TableContents"/>
              <w:bidi w:val="0"/>
              <w:spacing w:before="0" w:after="1"/>
              <w:ind w:left="0" w:right="0" w:hanging="0"/>
              <w:jc w:val="left"/>
              <w:rPr/>
            </w:pPr>
            <w:r>
              <w:rPr/>
              <w:t>​</w:t>
            </w:r>
          </w:p>
        </w:tc>
      </w:tr>
      <w:tr>
        <w:trPr/>
        <w:tc>
          <w:tcPr>
            <w:tcW w:w="322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1,680,417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1,680,417</w:t>
            </w:r>
          </w:p>
        </w:tc>
      </w:tr>
      <w:tr>
        <w:trPr/>
        <w:tc>
          <w:tcPr>
            <w:tcW w:w="322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2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69" w:type="dxa"/>
            <w:tcBorders/>
            <w:vAlign w:val="center"/>
          </w:tcPr>
          <w:p>
            <w:pPr>
              <w:pStyle w:val="TableContents"/>
              <w:bidi w:val="0"/>
              <w:spacing w:before="0" w:after="1"/>
              <w:ind w:left="0" w:right="0" w:hanging="0"/>
              <w:jc w:val="left"/>
              <w:rPr/>
            </w:pPr>
            <w:r>
              <w:rPr/>
              <w:t>​</w:t>
            </w:r>
          </w:p>
        </w:tc>
      </w:tr>
      <w:tr>
        <w:trPr/>
        <w:tc>
          <w:tcPr>
            <w:tcW w:w="3223"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 March 31, 2026</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6,900,000</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690</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(14,009,286)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6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(14,008,596)</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FOR THE THREE MONTHS ENDED MARCH 31, 2025 </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55" w:name="Tc_jUlfw3KSdE2ayCCHR2xvtg_8_13"/>
      <w:bookmarkStart w:id="256" w:name="Tc__Wfy3vJyF0qdRr91BDVM5g_8_10"/>
      <w:bookmarkStart w:id="257" w:name="Tc_b8GDThU8LUy5K668TJpVnA_8_7"/>
      <w:bookmarkStart w:id="258" w:name="Tc_ffg4dCvg7E-U5oCo6YS1Bg_8_4"/>
      <w:bookmarkStart w:id="259" w:name="Tc_ncm23aL-MkuUEDpmnxeghg_8_0"/>
      <w:bookmarkStart w:id="260" w:name="Tc_9v53Xd0up0CEd34nPUIc0A_6_8"/>
      <w:bookmarkStart w:id="261" w:name="Tc_t2jZqQAgC0e8dG4R32R8Xw_6_5"/>
      <w:bookmarkStart w:id="262" w:name="Tc__7XeJyGadk2TH8aMlpaZhw_6_2"/>
      <w:bookmarkStart w:id="263" w:name="Tc_3dj78s7clUSk0qEGkDS0aQ_6_0"/>
      <w:bookmarkStart w:id="264" w:name="Tc_8HNEonstrUmYhKmMlx23rQ_4_13"/>
      <w:bookmarkStart w:id="265" w:name="Tc_OAvT2Onh_0SRvUMA7QQ_jQ_4_10"/>
      <w:bookmarkStart w:id="266" w:name="Tc_Kt75iYQZp0SQsBo2dVdNvw_4_7"/>
      <w:bookmarkStart w:id="267" w:name="Tc_AprNovl4H0mybIPWmmvMPw_4_4"/>
      <w:bookmarkStart w:id="268" w:name="Tc_G8iAkeKfekGCVRLTEoQVTg_4_0"/>
      <w:bookmarkStart w:id="269" w:name="Tc_j0w38vu5S02EJbW5uECw1g_3_13"/>
      <w:bookmarkStart w:id="270" w:name="Tc_iHyyRaqxIEisVTO6jtMMCg_3_10"/>
      <w:bookmarkStart w:id="271" w:name="Tc_GLKdtXE8S0a9TmUiTx2KIQ_3_7"/>
      <w:bookmarkStart w:id="272" w:name="Tc_0U1Qf84yBkOaZQNnuDOGkw_3_4"/>
      <w:bookmarkStart w:id="273" w:name="Tc_46SVz4ulskKttjMSIKpcnw_3_2"/>
      <w:bookmarkStart w:id="274" w:name="Tc_6VYwr5-VbEmyVkqUCNIUbQ_2_13"/>
      <w:bookmarkStart w:id="275" w:name="Tc_Mv_NUzPrNEW6L4LUwN_o3A_2_10"/>
      <w:bookmarkStart w:id="276" w:name="Tc_2NSzYhj-oEay_p_Db-Ex9g_2_7"/>
      <w:bookmarkStart w:id="277" w:name="Tc_WiZbmBSrKkGR2cWTBbVaCw_2_2"/>
      <w:bookmarkStart w:id="278" w:name="Tc_k8yCbTNbXkuRA-mL2M9suw_1_13"/>
      <w:bookmarkStart w:id="279" w:name="Tc_3FEGKHDcxka6fsvQW-YlEw_1_7"/>
      <w:bookmarkStart w:id="280" w:name="Tc_sOVyp_4QsUKMTJAihXw7YA_1_2"/>
      <w:bookmarkStart w:id="281" w:name="_add44798_7ea4_4646_af19_3caf2446ccce"/>
      <w:bookmarkStart w:id="282" w:name="Tc_jUlfw3KSdE2ayCCHR2xvtg_8_13"/>
      <w:bookmarkStart w:id="283" w:name="Tc__Wfy3vJyF0qdRr91BDVM5g_8_10"/>
      <w:bookmarkStart w:id="284" w:name="Tc_b8GDThU8LUy5K668TJpVnA_8_7"/>
      <w:bookmarkStart w:id="285" w:name="Tc_ffg4dCvg7E-U5oCo6YS1Bg_8_4"/>
      <w:bookmarkStart w:id="286" w:name="Tc_ncm23aL-MkuUEDpmnxeghg_8_0"/>
      <w:bookmarkStart w:id="287" w:name="Tc_9v53Xd0up0CEd34nPUIc0A_6_8"/>
      <w:bookmarkStart w:id="288" w:name="Tc_t2jZqQAgC0e8dG4R32R8Xw_6_5"/>
      <w:bookmarkStart w:id="289" w:name="Tc__7XeJyGadk2TH8aMlpaZhw_6_2"/>
      <w:bookmarkStart w:id="290" w:name="Tc_3dj78s7clUSk0qEGkDS0aQ_6_0"/>
      <w:bookmarkStart w:id="291" w:name="Tc_8HNEonstrUmYhKmMlx23rQ_4_13"/>
      <w:bookmarkStart w:id="292" w:name="Tc_OAvT2Onh_0SRvUMA7QQ_jQ_4_10"/>
      <w:bookmarkStart w:id="293" w:name="Tc_Kt75iYQZp0SQsBo2dVdNvw_4_7"/>
      <w:bookmarkStart w:id="294" w:name="Tc_AprNovl4H0mybIPWmmvMPw_4_4"/>
      <w:bookmarkStart w:id="295" w:name="Tc_G8iAkeKfekGCVRLTEoQVTg_4_0"/>
      <w:bookmarkStart w:id="296" w:name="Tc_j0w38vu5S02EJbW5uECw1g_3_13"/>
      <w:bookmarkStart w:id="297" w:name="Tc_iHyyRaqxIEisVTO6jtMMCg_3_10"/>
      <w:bookmarkStart w:id="298" w:name="Tc_GLKdtXE8S0a9TmUiTx2KIQ_3_7"/>
      <w:bookmarkStart w:id="299" w:name="Tc_0U1Qf84yBkOaZQNnuDOGkw_3_4"/>
      <w:bookmarkStart w:id="300" w:name="Tc_46SVz4ulskKttjMSIKpcnw_3_2"/>
      <w:bookmarkStart w:id="301" w:name="Tc_6VYwr5-VbEmyVkqUCNIUbQ_2_13"/>
      <w:bookmarkStart w:id="302" w:name="Tc_Mv_NUzPrNEW6L4LUwN_o3A_2_10"/>
      <w:bookmarkStart w:id="303" w:name="Tc_2NSzYhj-oEay_p_Db-Ex9g_2_7"/>
      <w:bookmarkStart w:id="304" w:name="Tc_WiZbmBSrKkGR2cWTBbVaCw_2_2"/>
      <w:bookmarkStart w:id="305" w:name="Tc_k8yCbTNbXkuRA-mL2M9suw_1_13"/>
      <w:bookmarkStart w:id="306" w:name="Tc_3FEGKHDcxka6fsvQW-YlEw_1_7"/>
      <w:bookmarkStart w:id="307" w:name="Tc_sOVyp_4QsUKMTJAihXw7YA_1_2"/>
      <w:bookmarkStart w:id="308" w:name="_add44798_7ea4_4646_af19_3caf2446ccce"/>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tbl>
      <w:tblPr>
        <w:tblW w:w="9190" w:type="dxa"/>
        <w:jc w:val="left"/>
        <w:tblInd w:w="0" w:type="dxa"/>
        <w:tblLayout w:type="fixed"/>
        <w:tblCellMar>
          <w:top w:w="0" w:type="dxa"/>
          <w:left w:w="0" w:type="dxa"/>
          <w:bottom w:w="0" w:type="dxa"/>
          <w:right w:w="0" w:type="dxa"/>
        </w:tblCellMar>
      </w:tblPr>
      <w:tblGrid>
        <w:gridCol w:w="2716"/>
        <w:gridCol w:w="346"/>
        <w:gridCol w:w="931"/>
        <w:gridCol w:w="346"/>
        <w:gridCol w:w="230"/>
        <w:gridCol w:w="461"/>
        <w:gridCol w:w="346"/>
        <w:gridCol w:w="217"/>
        <w:gridCol w:w="699"/>
        <w:gridCol w:w="346"/>
        <w:gridCol w:w="234"/>
        <w:gridCol w:w="817"/>
        <w:gridCol w:w="346"/>
        <w:gridCol w:w="245"/>
        <w:gridCol w:w="910"/>
      </w:tblGrid>
      <w:tr>
        <w:trPr/>
        <w:tc>
          <w:tcPr>
            <w:tcW w:w="2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724660" cy="175260"/>
                      <wp:effectExtent l="0" t="0" r="0" b="0"/>
                      <wp:wrapNone/>
                      <wp:docPr id="40" name="Frame40"/>
                      <a:graphic xmlns:a="http://schemas.openxmlformats.org/drawingml/2006/main">
                        <a:graphicData uri="http://schemas.microsoft.com/office/word/2010/wordprocessingShape">
                          <wps:wsp>
                            <wps:cNvSpPr txBox="1"/>
                            <wps:spPr>
                              <a:xfrm>
                                <a:off x="0" y="0"/>
                                <a:ext cx="1724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91185" cy="175260"/>
                      <wp:effectExtent l="0" t="0" r="0" b="0"/>
                      <wp:wrapNone/>
                      <wp:docPr id="42" name="Frame4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46050" cy="175260"/>
                      <wp:effectExtent l="0" t="0" r="0" b="0"/>
                      <wp:wrapNone/>
                      <wp:docPr id="44" name="Frame44"/>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92735" cy="175260"/>
                      <wp:effectExtent l="0" t="0" r="0" b="0"/>
                      <wp:wrapNone/>
                      <wp:docPr id="45" name="Frame45"/>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7795" cy="175260"/>
                      <wp:effectExtent l="0" t="0" r="0" b="0"/>
                      <wp:wrapNone/>
                      <wp:docPr id="47" name="Frame47"/>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43865" cy="175260"/>
                      <wp:effectExtent l="0" t="0" r="0" b="0"/>
                      <wp:wrapNone/>
                      <wp:docPr id="48" name="Frame48"/>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48590" cy="175260"/>
                      <wp:effectExtent l="0" t="0" r="0" b="0"/>
                      <wp:wrapNone/>
                      <wp:docPr id="50" name="Frame50"/>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18795" cy="175260"/>
                      <wp:effectExtent l="0" t="0" r="0" b="0"/>
                      <wp:wrapNone/>
                      <wp:docPr id="51" name="Frame51"/>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55575" cy="175260"/>
                      <wp:effectExtent l="0" t="0" r="0" b="0"/>
                      <wp:wrapNone/>
                      <wp:docPr id="53" name="Frame53"/>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77850" cy="175260"/>
                      <wp:effectExtent l="0" t="0" r="0" b="0"/>
                      <wp:wrapNone/>
                      <wp:docPr id="54" name="Frame54"/>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8" w:type="dxa"/>
            <w:gridSpan w:val="4"/>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Class B</w:t>
            </w:r>
            <w:r>
              <w:rPr>
                <w:rFonts w:ascii="Times New Roman;Times;serif" w:hAnsi="Times New Roman;Times;serif"/>
                <w:sz w:val="16"/>
              </w:rPr>
              <w:t> </w:t>
            </w:r>
          </w:p>
        </w:tc>
        <w:tc>
          <w:tcPr>
            <w:tcW w:w="346" w:type="dxa"/>
            <w:tcBorders/>
            <w:vAlign w:val="center"/>
          </w:tcPr>
          <w:p>
            <w:pPr>
              <w:pStyle w:val="TableContents"/>
              <w:bidi w:val="0"/>
              <w:spacing w:before="0" w:after="1"/>
              <w:ind w:left="0" w:right="0" w:hanging="0"/>
              <w:jc w:val="left"/>
              <w:rPr/>
            </w:pPr>
            <w:r>
              <w:rPr/>
              <w:t>​</w:t>
            </w:r>
          </w:p>
        </w:tc>
        <w:tc>
          <w:tcPr>
            <w:tcW w:w="9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 </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55"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Total</w:t>
            </w:r>
            <w:r>
              <w:rPr>
                <w:rFonts w:ascii="Times New Roman;Times;serif" w:hAnsi="Times New Roman;Times;serif"/>
                <w:sz w:val="16"/>
              </w:rPr>
              <w:t> </w:t>
            </w:r>
          </w:p>
        </w:tc>
      </w:tr>
      <w:tr>
        <w:trPr/>
        <w:tc>
          <w:tcPr>
            <w:tcW w:w="27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46" w:type="dxa"/>
            <w:tcBorders/>
            <w:vAlign w:val="center"/>
          </w:tcPr>
          <w:p>
            <w:pPr>
              <w:pStyle w:val="TableContents"/>
              <w:bidi w:val="0"/>
              <w:spacing w:before="0" w:after="1"/>
              <w:ind w:left="0" w:right="0" w:hanging="0"/>
              <w:jc w:val="left"/>
              <w:rPr/>
            </w:pPr>
            <w:r>
              <w:rPr/>
              <w:t>​</w:t>
            </w:r>
          </w:p>
        </w:tc>
        <w:tc>
          <w:tcPr>
            <w:tcW w:w="9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115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Shareholders’</w:t>
            </w:r>
          </w:p>
        </w:tc>
      </w:tr>
      <w:tr>
        <w:trPr/>
        <w:tc>
          <w:tcPr>
            <w:tcW w:w="27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left"/>
              <w:rPr/>
            </w:pPr>
            <w:r>
              <w:rPr/>
              <w:t>  ​ ​ ​</w:t>
            </w:r>
          </w:p>
        </w:tc>
        <w:tc>
          <w:tcPr>
            <w:tcW w:w="11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r>
      <w:tr>
        <w:trPr/>
        <w:tc>
          <w:tcPr>
            <w:tcW w:w="271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Balance – January 1, 2025</w:t>
            </w:r>
            <w:r>
              <w:rPr>
                <w:rFonts w:ascii="Times New Roman;Times;serif" w:hAnsi="Times New Roman;Times;serif"/>
                <w:b/>
                <w:sz w:val="15"/>
              </w:rPr>
              <w:t>(1)(2)</w:t>
            </w:r>
          </w:p>
        </w:tc>
        <w:tc>
          <w:tcPr>
            <w:tcW w:w="346" w:type="dxa"/>
            <w:tcBorders/>
            <w:shd w:fill="CCEEFF" w:val="clear"/>
            <w:vAlign w:val="center"/>
          </w:tcPr>
          <w:p>
            <w:pPr>
              <w:pStyle w:val="TableContents"/>
              <w:bidi w:val="0"/>
              <w:spacing w:before="0" w:after="1"/>
              <w:ind w:left="0" w:right="0" w:hanging="0"/>
              <w:jc w:val="left"/>
              <w:rPr/>
            </w:pPr>
            <w:r>
              <w:rPr/>
              <w:t>  ​ ​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6,900,000</w:t>
            </w:r>
          </w:p>
        </w:tc>
        <w:tc>
          <w:tcPr>
            <w:tcW w:w="346" w:type="dxa"/>
            <w:tcBorders/>
            <w:shd w:fill="CCEEFF" w:val="clear"/>
            <w:vAlign w:val="center"/>
          </w:tcPr>
          <w:p>
            <w:pPr>
              <w:pStyle w:val="TableContents"/>
              <w:bidi w:val="0"/>
              <w:spacing w:before="0" w:after="1"/>
              <w:ind w:left="0" w:right="0" w:hanging="0"/>
              <w:jc w:val="left"/>
              <w:rPr/>
            </w:pPr>
            <w:r>
              <w:rPr/>
              <w:t>  ​ ​ ​</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690</w:t>
            </w:r>
          </w:p>
        </w:tc>
        <w:tc>
          <w:tcPr>
            <w:tcW w:w="346" w:type="dxa"/>
            <w:tcBorders/>
            <w:shd w:fill="CCEEFF" w:val="clear"/>
            <w:vAlign w:val="center"/>
          </w:tcPr>
          <w:p>
            <w:pPr>
              <w:pStyle w:val="TableContents"/>
              <w:bidi w:val="0"/>
              <w:spacing w:before="0" w:after="1"/>
              <w:ind w:left="0" w:right="0" w:hanging="0"/>
              <w:jc w:val="left"/>
              <w:rPr/>
            </w:pPr>
            <w:r>
              <w:rPr/>
              <w:t>  ​ ​ ​</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24,310</w:t>
            </w:r>
          </w:p>
        </w:tc>
        <w:tc>
          <w:tcPr>
            <w:tcW w:w="346" w:type="dxa"/>
            <w:tcBorders/>
            <w:shd w:fill="CCEEFF" w:val="clear"/>
            <w:vAlign w:val="center"/>
          </w:tcPr>
          <w:p>
            <w:pPr>
              <w:pStyle w:val="TableContents"/>
              <w:bidi w:val="0"/>
              <w:spacing w:before="0" w:after="1"/>
              <w:ind w:left="0" w:right="0" w:hanging="0"/>
              <w:jc w:val="left"/>
              <w:rPr/>
            </w:pPr>
            <w:r>
              <w:rPr/>
              <w:t>  ​ ​ ​</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(42,620)</w:t>
            </w:r>
          </w:p>
        </w:tc>
        <w:tc>
          <w:tcPr>
            <w:tcW w:w="346" w:type="dxa"/>
            <w:tcBorders/>
            <w:shd w:fill="CCEEFF" w:val="clear"/>
            <w:vAlign w:val="center"/>
          </w:tcPr>
          <w:p>
            <w:pPr>
              <w:pStyle w:val="TableContents"/>
              <w:bidi w:val="0"/>
              <w:spacing w:before="0" w:after="1"/>
              <w:ind w:left="0" w:right="0" w:hanging="0"/>
              <w:jc w:val="left"/>
              <w:rPr/>
            </w:pPr>
            <w:r>
              <w:rPr/>
              <w:t>  ​ ​ ​</w:t>
            </w:r>
          </w:p>
        </w:tc>
        <w:tc>
          <w:tcPr>
            <w:tcW w:w="24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10"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(17,620)</w:t>
            </w:r>
          </w:p>
        </w:tc>
      </w:tr>
      <w:tr>
        <w:trPr/>
        <w:tc>
          <w:tcPr>
            <w:tcW w:w="27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69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910" w:type="dxa"/>
            <w:tcBorders/>
            <w:vAlign w:val="center"/>
          </w:tcPr>
          <w:p>
            <w:pPr>
              <w:pStyle w:val="TableContents"/>
              <w:bidi w:val="0"/>
              <w:spacing w:before="0" w:after="1"/>
              <w:ind w:left="0" w:right="0" w:hanging="0"/>
              <w:jc w:val="left"/>
              <w:rPr/>
            </w:pPr>
            <w:r>
              <w:rPr/>
              <w:t>​</w:t>
            </w:r>
          </w:p>
        </w:tc>
      </w:tr>
      <w:tr>
        <w:trPr/>
        <w:tc>
          <w:tcPr>
            <w:tcW w:w="27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(20,449)</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(20,449)</w:t>
            </w:r>
          </w:p>
        </w:tc>
      </w:tr>
      <w:tr>
        <w:trPr/>
        <w:tc>
          <w:tcPr>
            <w:tcW w:w="27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69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910" w:type="dxa"/>
            <w:tcBorders/>
            <w:vAlign w:val="center"/>
          </w:tcPr>
          <w:p>
            <w:pPr>
              <w:pStyle w:val="TableContents"/>
              <w:bidi w:val="0"/>
              <w:spacing w:before="0" w:after="1"/>
              <w:ind w:left="0" w:right="0" w:hanging="0"/>
              <w:jc w:val="left"/>
              <w:rPr/>
            </w:pPr>
            <w:r>
              <w:rPr/>
              <w:t>​</w:t>
            </w:r>
          </w:p>
        </w:tc>
      </w:tr>
      <w:tr>
        <w:trPr/>
        <w:tc>
          <w:tcPr>
            <w:tcW w:w="271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Balance – March 31, 2025</w:t>
            </w:r>
            <w:r>
              <w:rPr>
                <w:rFonts w:ascii="Times New Roman;Times;serif" w:hAnsi="Times New Roman;Times;serif"/>
                <w:b/>
                <w:sz w:val="15"/>
              </w:rPr>
              <w:t>(1)(2)</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6,900,000</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690</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24,310</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(63,069)</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(38,069)</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On May 1, 2025, pursuant to a share recapitalization, the Company issued an additional 1,150,000</w:t>
            </w:r>
            <w:r>
              <w:rPr>
                <w:caps w:val="false"/>
                <w:smallCaps w:val="false"/>
              </w:rPr>
              <w:t xml:space="preserve"> </w:t>
            </w:r>
            <w:r>
              <w:rPr>
                <w:rFonts w:ascii="Times New Roman;Times;serif" w:hAnsi="Times New Roman;Times;serif"/>
                <w:b w:val="false"/>
                <w:i w:val="false"/>
                <w:caps w:val="false"/>
                <w:smallCaps w:val="false"/>
                <w:sz w:val="20"/>
              </w:rPr>
              <w:t>founder shares to the Sponsor (with DirectorCo waiving its entitlement to be issued additional founder shares in connection therewith and directing its allotment to be issued to the Sponsor), resulting in the Company’s initial shareholders holding an aggregate of 6,900,000</w:t>
            </w:r>
            <w:r>
              <w:rPr>
                <w:caps w:val="false"/>
                <w:smallCaps w:val="false"/>
              </w:rPr>
              <w:t xml:space="preserve"> </w:t>
            </w:r>
            <w:r>
              <w:rPr>
                <w:rFonts w:ascii="Times New Roman;Times;serif" w:hAnsi="Times New Roman;Times;serif"/>
                <w:b w:val="false"/>
                <w:i w:val="false"/>
                <w:caps w:val="false"/>
                <w:smallCaps w:val="false"/>
                <w:sz w:val="20"/>
              </w:rPr>
              <w:t>founder shares. All share and per share data have been retrospectively presented.</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Includes an aggregate of up to 900,000</w:t>
            </w:r>
            <w:r>
              <w:rPr>
                <w:caps w:val="false"/>
                <w:smallCaps w:val="false"/>
              </w:rPr>
              <w:t xml:space="preserve"> </w:t>
            </w:r>
            <w:r>
              <w:rPr>
                <w:rFonts w:ascii="Times New Roman;Times;serif" w:hAnsi="Times New Roman;Times;serif"/>
                <w:b w:val="false"/>
                <w:i w:val="false"/>
                <w:caps w:val="false"/>
                <w:smallCaps w:val="false"/>
                <w:sz w:val="20"/>
              </w:rPr>
              <w:t>founder shares that were subject to forfeiture by the Sponsor depending on the extent to which the underwriters’ over-allotment option was exercised. On May 2, 2025, the underwriters exercised their over-allotment option in full, which was settled as part of the closing of the Initial Public Offering. As such, 900,000</w:t>
            </w:r>
            <w:r>
              <w:rPr>
                <w:caps w:val="false"/>
                <w:smallCaps w:val="false"/>
              </w:rPr>
              <w:t xml:space="preserve"> </w:t>
            </w:r>
            <w:r>
              <w:rPr>
                <w:rFonts w:ascii="Times New Roman;Times;serif" w:hAnsi="Times New Roman;Times;serif"/>
                <w:b w:val="false"/>
                <w:i w:val="false"/>
                <w:caps w:val="false"/>
                <w:smallCaps w:val="false"/>
                <w:sz w:val="20"/>
              </w:rPr>
              <w:t>founder shares are no longer subject to forfeiture by the Sponsor.</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09" w:name="_8a626996_f916_42ea_9bff_5c7edb515458"/>
      <w:bookmarkEnd w:id="309"/>
      <w:r>
        <w:rPr>
          <w:rFonts w:ascii="Times New Roman;Times;serif" w:hAnsi="Times New Roman;Times;serif"/>
          <w:b/>
          <w:sz w:val="20"/>
        </w:rPr>
        <w:t>CARTESIAN GROWTH CORPORATION III</w:t>
      </w:r>
    </w:p>
    <w:p>
      <w:pPr>
        <w:pStyle w:val="TextBody"/>
        <w:bidi w:val="0"/>
        <w:spacing w:before="0" w:after="0"/>
        <w:ind w:left="0" w:right="0" w:hanging="0"/>
        <w:jc w:val="center"/>
        <w:rPr>
          <w:rFonts w:ascii="Times New Roman;Times;serif" w:hAnsi="Times New Roman;Times;serif"/>
          <w:b/>
          <w:sz w:val="20"/>
        </w:rPr>
      </w:pPr>
      <w:bookmarkStart w:id="310" w:name="CONDENSEDSTATEMENTOFCASHFLOWS_350042"/>
      <w:bookmarkEnd w:id="310"/>
      <w:r>
        <w:rPr>
          <w:rFonts w:ascii="Times New Roman;Times;serif" w:hAnsi="Times New Roman;Times;serif"/>
          <w:b/>
          <w:sz w:val="20"/>
        </w:rPr>
        <w:t>CONDENSED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11" w:name="Tc_YqpkHTuEE0uuMlQJLsqwbQ_31_6"/>
      <w:bookmarkStart w:id="312" w:name="Tc_1HGGJqEngU-E0PwADv_85w_31_3"/>
      <w:bookmarkStart w:id="313" w:name="Tc_d3LTYYLswUijIcMTvyJAbA_31_0"/>
      <w:bookmarkStart w:id="314" w:name="Tc_Q9mpYskAaEiVbRFbnZHbFQ_30_3"/>
      <w:bookmarkStart w:id="315" w:name="Tc_XpGuuQSjE0m_BVo2XhQb6g_30_0"/>
      <w:bookmarkStart w:id="316" w:name="Tc_LS6io8C0gk-Epn8YMNAGhw_29_3"/>
      <w:bookmarkStart w:id="317" w:name="Tc_uJ9EPRpTk0Kv6kHv7zlCHg_29_0"/>
      <w:bookmarkStart w:id="318" w:name="Tc_vA2p7PrRGU2lcwG7CNwm1Q_28_3"/>
      <w:bookmarkStart w:id="319" w:name="Tc_iml1eaQqSEySJfN-1xy4HQ_28_0"/>
      <w:bookmarkStart w:id="320" w:name="Tc_LRk9fmnd3kC3Bkt08IxxGA_27_6"/>
      <w:bookmarkStart w:id="321" w:name="Tc_KuDjnKIuj0mc7yQs5teB3A_27_3"/>
      <w:bookmarkStart w:id="322" w:name="Tc_wudXlVAvmESOg7jP1bz3vg_27_0"/>
      <w:bookmarkStart w:id="323" w:name="Tc_lCrcWVeDE0uyxXdDGW1e_A_26_6"/>
      <w:bookmarkStart w:id="324" w:name="Tc_b1XFvrW51kOjQbyfJ3Nr_A_26_0"/>
      <w:bookmarkStart w:id="325" w:name="Tc_DUa0_GEnF02ZcSyU2HZyGg_25_6"/>
      <w:bookmarkStart w:id="326" w:name="Tc_SVCAUQkBh061SshHpGKkCg_25_5"/>
      <w:bookmarkStart w:id="327" w:name="Tc_33dRos5AL0iswcD2CmQT1w_25_3"/>
      <w:bookmarkStart w:id="328" w:name="Tc_-ek95vCnF0K1ytnTVZty4Q_25_2"/>
      <w:bookmarkStart w:id="329" w:name="Tc_CbTWq8Uknk6L-9ILOIkjcQ_25_0"/>
      <w:bookmarkStart w:id="330" w:name="Tc_kv5AMiFRqUCoEU6Bt469eg_24_0"/>
      <w:bookmarkStart w:id="331" w:name="Tc_W6w8XBiakEyJcerlySA3Bw_22_5"/>
      <w:bookmarkStart w:id="332" w:name="Tc_jgCM7OxevU21SN_QfP4R0A_22_2"/>
      <w:bookmarkStart w:id="333" w:name="Tc_9Wk0iVANmUqERy_BQia2Gw_22_0"/>
      <w:bookmarkStart w:id="334" w:name="Tc_YcMmIPp3KUeHE7T6758VwQ_21_6"/>
      <w:bookmarkStart w:id="335" w:name="Tc_gjPPlAd_y0G8cB69Ys8YZQ_21_0"/>
      <w:bookmarkStart w:id="336" w:name="Tc_CNKr6OGYOkOM5fbKSmFQsg_20_0"/>
      <w:bookmarkStart w:id="337" w:name="Tc__OQHzQM1Uk-0NeCVIXwcNg_18_6"/>
      <w:bookmarkStart w:id="338" w:name="Tc_Q_KgXpZO1ESDpVmZx5U7oA_18_3"/>
      <w:bookmarkStart w:id="339" w:name="Tc__qjXEQRJ_EOBIh2y0K5xJQ_18_0"/>
      <w:bookmarkStart w:id="340" w:name="Tc_ZM4aUYwlzUKtSCJ889OGRA_17_0"/>
      <w:bookmarkStart w:id="341" w:name="Tc__0ZleVisLkqj6uqqHuoAMw_15_6"/>
      <w:bookmarkStart w:id="342" w:name="Tc_Y_hv09wcPUOz-dIxTbT-Lg_15_3"/>
      <w:bookmarkStart w:id="343" w:name="Tc_wxbCFGy0WE2ApCg8j1vAQA_15_0"/>
      <w:bookmarkStart w:id="344" w:name="Tc_FO9Utas7aUidufhAhJs6rQ_14_0"/>
      <w:bookmarkStart w:id="345" w:name="Tc_gR1c7tTOG0WM3eXRJ2WUCA_12_6"/>
      <w:bookmarkStart w:id="346" w:name="Tc_CIkV1CpiC0Giv0-R9LFpcw_12_0"/>
      <w:bookmarkStart w:id="347" w:name="Tc_xnPdzcLwpkiSnRwzjQ3m3A_11_6"/>
      <w:bookmarkStart w:id="348" w:name="Tc_yPcIMT-YWEOZJxWlbgVKkw_11_0"/>
      <w:bookmarkStart w:id="349" w:name="Tc_4KRaq6e2sU6dQSWugJwkZA_10_6"/>
      <w:bookmarkStart w:id="350" w:name="Tc_rLkE_OQ7EkKcl7cYkBFBKg_10_0"/>
      <w:bookmarkStart w:id="351" w:name="Tc_chWRjXR1EECgfIDwDx2aMg_9_6"/>
      <w:bookmarkStart w:id="352" w:name="Tc_-3onP46PrEaco-wqwN981g_9_0"/>
      <w:bookmarkStart w:id="353" w:name="Tc_ROHvwgffiEOR7_0vulzhFw_8_0"/>
      <w:bookmarkStart w:id="354" w:name="Tc_MZG9RPPG5E2kanwZGyjPIw_7_6"/>
      <w:bookmarkStart w:id="355" w:name="Tc_t7WFU9r8ZkO58yN5PzJ3xw_7_0"/>
      <w:bookmarkStart w:id="356" w:name="Tc_kP64wd55y0KTFZk4LfcGfQ_6_3"/>
      <w:bookmarkStart w:id="357" w:name="Tc_wvY_9tDt6kCx7bJdYcNLMw_6_0"/>
      <w:bookmarkStart w:id="358" w:name="Tc_MNVutjKEXkq6og01JFTRkg_5_0"/>
      <w:bookmarkStart w:id="359" w:name="Tc_6QjPHXsIKU-xuXu0J8udZQ_4_5"/>
      <w:bookmarkStart w:id="360" w:name="Tc_uydLvNyc1UySQh18eBsA-w_4_2"/>
      <w:bookmarkStart w:id="361" w:name="Tc_KymNYbdfWk-VXCGKVbf4Ew_4_0"/>
      <w:bookmarkStart w:id="362" w:name="Tc_Y5BG8rHg2Uq2pAl7ujnOOA_3_0"/>
      <w:bookmarkStart w:id="363" w:name="Tc_-Pjrcsd-ykiLDSAhXaIV1g_2_5"/>
      <w:bookmarkStart w:id="364" w:name="Tc_tQdRBQ3Fx0ySW_P9B1vlFQ_2_2"/>
      <w:bookmarkStart w:id="365" w:name="Tc_XkyacYNiJ0-VrnzEodzh2g_1_2"/>
      <w:bookmarkStart w:id="366" w:name="_8eb22f91_61ae_459f_b068_c86e0057d925"/>
      <w:bookmarkStart w:id="367" w:name="Tc_YqpkHTuEE0uuMlQJLsqwbQ_31_6"/>
      <w:bookmarkStart w:id="368" w:name="Tc_1HGGJqEngU-E0PwADv_85w_31_3"/>
      <w:bookmarkStart w:id="369" w:name="Tc_d3LTYYLswUijIcMTvyJAbA_31_0"/>
      <w:bookmarkStart w:id="370" w:name="Tc_Q9mpYskAaEiVbRFbnZHbFQ_30_3"/>
      <w:bookmarkStart w:id="371" w:name="Tc_XpGuuQSjE0m_BVo2XhQb6g_30_0"/>
      <w:bookmarkStart w:id="372" w:name="Tc_LS6io8C0gk-Epn8YMNAGhw_29_3"/>
      <w:bookmarkStart w:id="373" w:name="Tc_uJ9EPRpTk0Kv6kHv7zlCHg_29_0"/>
      <w:bookmarkStart w:id="374" w:name="Tc_vA2p7PrRGU2lcwG7CNwm1Q_28_3"/>
      <w:bookmarkStart w:id="375" w:name="Tc_iml1eaQqSEySJfN-1xy4HQ_28_0"/>
      <w:bookmarkStart w:id="376" w:name="Tc_LRk9fmnd3kC3Bkt08IxxGA_27_6"/>
      <w:bookmarkStart w:id="377" w:name="Tc_KuDjnKIuj0mc7yQs5teB3A_27_3"/>
      <w:bookmarkStart w:id="378" w:name="Tc_wudXlVAvmESOg7jP1bz3vg_27_0"/>
      <w:bookmarkStart w:id="379" w:name="Tc_lCrcWVeDE0uyxXdDGW1e_A_26_6"/>
      <w:bookmarkStart w:id="380" w:name="Tc_b1XFvrW51kOjQbyfJ3Nr_A_26_0"/>
      <w:bookmarkStart w:id="381" w:name="Tc_DUa0_GEnF02ZcSyU2HZyGg_25_6"/>
      <w:bookmarkStart w:id="382" w:name="Tc_SVCAUQkBh061SshHpGKkCg_25_5"/>
      <w:bookmarkStart w:id="383" w:name="Tc_33dRos5AL0iswcD2CmQT1w_25_3"/>
      <w:bookmarkStart w:id="384" w:name="Tc_-ek95vCnF0K1ytnTVZty4Q_25_2"/>
      <w:bookmarkStart w:id="385" w:name="Tc_CbTWq8Uknk6L-9ILOIkjcQ_25_0"/>
      <w:bookmarkStart w:id="386" w:name="Tc_kv5AMiFRqUCoEU6Bt469eg_24_0"/>
      <w:bookmarkStart w:id="387" w:name="Tc_W6w8XBiakEyJcerlySA3Bw_22_5"/>
      <w:bookmarkStart w:id="388" w:name="Tc_jgCM7OxevU21SN_QfP4R0A_22_2"/>
      <w:bookmarkStart w:id="389" w:name="Tc_9Wk0iVANmUqERy_BQia2Gw_22_0"/>
      <w:bookmarkStart w:id="390" w:name="Tc_YcMmIPp3KUeHE7T6758VwQ_21_6"/>
      <w:bookmarkStart w:id="391" w:name="Tc_gjPPlAd_y0G8cB69Ys8YZQ_21_0"/>
      <w:bookmarkStart w:id="392" w:name="Tc_CNKr6OGYOkOM5fbKSmFQsg_20_0"/>
      <w:bookmarkStart w:id="393" w:name="Tc__OQHzQM1Uk-0NeCVIXwcNg_18_6"/>
      <w:bookmarkStart w:id="394" w:name="Tc_Q_KgXpZO1ESDpVmZx5U7oA_18_3"/>
      <w:bookmarkStart w:id="395" w:name="Tc__qjXEQRJ_EOBIh2y0K5xJQ_18_0"/>
      <w:bookmarkStart w:id="396" w:name="Tc_ZM4aUYwlzUKtSCJ889OGRA_17_0"/>
      <w:bookmarkStart w:id="397" w:name="Tc__0ZleVisLkqj6uqqHuoAMw_15_6"/>
      <w:bookmarkStart w:id="398" w:name="Tc_Y_hv09wcPUOz-dIxTbT-Lg_15_3"/>
      <w:bookmarkStart w:id="399" w:name="Tc_wxbCFGy0WE2ApCg8j1vAQA_15_0"/>
      <w:bookmarkStart w:id="400" w:name="Tc_FO9Utas7aUidufhAhJs6rQ_14_0"/>
      <w:bookmarkStart w:id="401" w:name="Tc_gR1c7tTOG0WM3eXRJ2WUCA_12_6"/>
      <w:bookmarkStart w:id="402" w:name="Tc_CIkV1CpiC0Giv0-R9LFpcw_12_0"/>
      <w:bookmarkStart w:id="403" w:name="Tc_xnPdzcLwpkiSnRwzjQ3m3A_11_6"/>
      <w:bookmarkStart w:id="404" w:name="Tc_yPcIMT-YWEOZJxWlbgVKkw_11_0"/>
      <w:bookmarkStart w:id="405" w:name="Tc_4KRaq6e2sU6dQSWugJwkZA_10_6"/>
      <w:bookmarkStart w:id="406" w:name="Tc_rLkE_OQ7EkKcl7cYkBFBKg_10_0"/>
      <w:bookmarkStart w:id="407" w:name="Tc_chWRjXR1EECgfIDwDx2aMg_9_6"/>
      <w:bookmarkStart w:id="408" w:name="Tc_-3onP46PrEaco-wqwN981g_9_0"/>
      <w:bookmarkStart w:id="409" w:name="Tc_ROHvwgffiEOR7_0vulzhFw_8_0"/>
      <w:bookmarkStart w:id="410" w:name="Tc_MZG9RPPG5E2kanwZGyjPIw_7_6"/>
      <w:bookmarkStart w:id="411" w:name="Tc_t7WFU9r8ZkO58yN5PzJ3xw_7_0"/>
      <w:bookmarkStart w:id="412" w:name="Tc_kP64wd55y0KTFZk4LfcGfQ_6_3"/>
      <w:bookmarkStart w:id="413" w:name="Tc_wvY_9tDt6kCx7bJdYcNLMw_6_0"/>
      <w:bookmarkStart w:id="414" w:name="Tc_MNVutjKEXkq6og01JFTRkg_5_0"/>
      <w:bookmarkStart w:id="415" w:name="Tc_6QjPHXsIKU-xuXu0J8udZQ_4_5"/>
      <w:bookmarkStart w:id="416" w:name="Tc_uydLvNyc1UySQh18eBsA-w_4_2"/>
      <w:bookmarkStart w:id="417" w:name="Tc_KymNYbdfWk-VXCGKVbf4Ew_4_0"/>
      <w:bookmarkStart w:id="418" w:name="Tc_Y5BG8rHg2Uq2pAl7ujnOOA_3_0"/>
      <w:bookmarkStart w:id="419" w:name="Tc_-Pjrcsd-ykiLDSAhXaIV1g_2_5"/>
      <w:bookmarkStart w:id="420" w:name="Tc_tQdRBQ3Fx0ySW_P9B1vlFQ_2_2"/>
      <w:bookmarkStart w:id="421" w:name="Tc_XkyacYNiJ0-VrnzEodzh2g_1_2"/>
      <w:bookmarkStart w:id="422" w:name="_8eb22f91_61ae_459f_b068_c86e0057d925"/>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tbl>
      <w:tblPr>
        <w:tblW w:w="10205" w:type="dxa"/>
        <w:jc w:val="left"/>
        <w:tblInd w:w="0" w:type="dxa"/>
        <w:tblLayout w:type="fixed"/>
        <w:tblCellMar>
          <w:top w:w="0" w:type="dxa"/>
          <w:left w:w="0" w:type="dxa"/>
          <w:bottom w:w="0" w:type="dxa"/>
          <w:right w:w="0" w:type="dxa"/>
        </w:tblCellMar>
      </w:tblPr>
      <w:tblGrid>
        <w:gridCol w:w="7202"/>
        <w:gridCol w:w="346"/>
        <w:gridCol w:w="211"/>
        <w:gridCol w:w="1048"/>
        <w:gridCol w:w="346"/>
        <w:gridCol w:w="211"/>
        <w:gridCol w:w="841"/>
      </w:tblGrid>
      <w:tr>
        <w:trPr/>
        <w:tc>
          <w:tcPr>
            <w:tcW w:w="7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573270" cy="175260"/>
                      <wp:effectExtent l="0" t="0" r="0" b="0"/>
                      <wp:wrapNone/>
                      <wp:docPr id="55" name="Frame55"/>
                      <a:graphic xmlns:a="http://schemas.openxmlformats.org/drawingml/2006/main">
                        <a:graphicData uri="http://schemas.microsoft.com/office/word/2010/wordprocessingShape">
                          <wps:wsp>
                            <wps:cNvSpPr txBox="1"/>
                            <wps:spPr>
                              <a:xfrm>
                                <a:off x="0" y="0"/>
                                <a:ext cx="4573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7"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65480" cy="175260"/>
                      <wp:effectExtent l="0" t="0" r="0" b="0"/>
                      <wp:wrapNone/>
                      <wp:docPr id="58" name="Frame58"/>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60" name="Frame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34035" cy="175260"/>
                      <wp:effectExtent l="0" t="0" r="0" b="0"/>
                      <wp:wrapNone/>
                      <wp:docPr id="61" name="Frame6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0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5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720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5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20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72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1,680,417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(20,449)</w:t>
            </w:r>
          </w:p>
        </w:tc>
      </w:tr>
      <w:tr>
        <w:trPr/>
        <w:tc>
          <w:tcPr>
            <w:tcW w:w="72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to reconcile net income (loss) to 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72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 of operation costs through promissory note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20,449</w:t>
            </w:r>
          </w:p>
        </w:tc>
      </w:tr>
      <w:tr>
        <w:trPr/>
        <w:tc>
          <w:tcPr>
            <w:tcW w:w="72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earned on marketable securities held in Trust Account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(2,491,718)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72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72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72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 term prepaid insurance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28,076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72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552,436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720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used in operating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(227,953)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720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720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r>
      <w:tr>
        <w:trPr/>
        <w:tc>
          <w:tcPr>
            <w:tcW w:w="720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used in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720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r>
      <w:tr>
        <w:trPr/>
        <w:tc>
          <w:tcPr>
            <w:tcW w:w="720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720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used in 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720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720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Change in Cash</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(227,953)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2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624,163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720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 End of period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396,210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20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720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Non-Cash investing and 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r>
      <w:tr>
        <w:trPr/>
        <w:tc>
          <w:tcPr>
            <w:tcW w:w="72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services contributed by Sponsor through promissory note – related party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72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Remeasurement of Class A ordinary shares to redemption value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2,491,718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72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offering costs paid by Sponsor in exchange for issuance of Class B ordinary shares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72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costs included in accrued offering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273,763</w:t>
            </w:r>
          </w:p>
        </w:tc>
      </w:tr>
      <w:tr>
        <w:trPr/>
        <w:tc>
          <w:tcPr>
            <w:tcW w:w="72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offering costs paid through promissory note – related party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165,299</w:t>
            </w:r>
          </w:p>
        </w:tc>
      </w:tr>
      <w:tr>
        <w:trPr/>
        <w:tc>
          <w:tcPr>
            <w:tcW w:w="72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offering costs applied to prepaid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3,202</w:t>
            </w:r>
          </w:p>
        </w:tc>
      </w:tr>
      <w:tr>
        <w:trPr/>
        <w:tc>
          <w:tcPr>
            <w:tcW w:w="72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underwriting fee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CARTESIAN GROWTH CORPORATION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bookmarkStart w:id="423" w:name="NOTE1DESCRIPTIONOFORGANIZATIONANDBUSINES"/>
      <w:bookmarkEnd w:id="423"/>
      <w:r>
        <w:rPr>
          <w:rFonts w:ascii="Times New Roman;Times;serif" w:hAnsi="Times New Roman;Times;serif"/>
          <w:b/>
          <w:sz w:val="20"/>
        </w:rPr>
        <w:t>NOTE 1. DESCRIPTION OF ORGANIZATION AND BUSINESS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Cartesian Growth Corporation III (the “Company”) is a blank check company incorporated as a Cayman Islands exempted corporation on October 29, 2024. The Company was incorporated for the purpose of effecting a merger, amalgamation, share exchange, asset acquisition, share purchase, reorganization or similar business combination with one or more businesses or entities (the “Business Combination”). Prior to the consummation of its initial public offering (“Initial Public Offering”), the Company had not, nor had anyone on its behalf, engaged in any substantive discussions, directly or indirectly, with any Business Combination target with respect to an initial Business Combination with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2026, the Company has not commenced any operations. All activity for the period from October 29, 2024 (inception) through March 31, 2026 relates to the Company’s formation and the Initial Public Offering, which is described below, and subsequent to the Initial Public Offering, identifying a target company for a Business Combination. The Company will not generate any operating revenues until after the completion of its initial Business Combination, at the earliest. Subsequent to the Initial Public Offering, the Company generates non-operating income in the form of interest income on cash and cash equivalents from the proceeds derived from the Initial Public Offering, which have been placed in the Trust Account (as defined below). The Company has selected December 31 as its fiscal year end.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Company’s Sponsor is CGC III Sponsor LLC (the “Sponsor”). The registration statements for the Company’s Initial Public Offering became effective on May 1, 2025. On May 5, 2025, the Company consummated the Initial Public Offering of 27,600,000 units (the “Units”), which includes the full exercise by the underwriters of their over-allotment option of 3,600,000 Units, at $10.00 per Unit, generating gross proceeds of $276,000,000. Simultaneously with the closing of the Initial Public Offering, the Company consummated the sale of an aggregate of 6,800,000 Private Placement Warrants (the “Private Placement Warrants”) to the Sponsor and Cantor Fitzgerald &amp; Co. (“Cantor”), the representative of the underwriters of the Initial Public Offering, at a price of $1.00 per warrant, generating gross proceeds of $6,800,000. Of those 6,800,000 Private Placement Warrants, the Sponsor purchased 4,400,000 Private Placement Warrants and Cantor purchased 2,400,000 Private Placement Warrants. Each Unit consists of one Class A ordinary share and </w:t>
      </w:r>
      <w:r>
        <w:rPr>
          <w:rFonts w:ascii="Times New Roman;Times;serif" w:hAnsi="Times New Roman;Times;serif"/>
          <w:b w:val="false"/>
          <w:i w:val="false"/>
          <w:caps w:val="false"/>
          <w:smallCaps w:val="false"/>
          <w:sz w:val="20"/>
        </w:rPr>
        <w:t>one</w:t>
      </w:r>
      <w:r>
        <w:rPr>
          <w:rFonts w:ascii="Times New Roman;Times;serif" w:hAnsi="Times New Roman;Times;serif"/>
          <w:sz w:val="20"/>
        </w:rPr>
        <w:t>-half of one redeemable warrant. Each whole warrant entitles the holder to purchase one Class A ordinary share at a price of $11.50 per share. The Company’s management has broad discretion with respect to the specific application of the net proceeds of the Initial Public Offering and the Private Placement Warrants, although substantially all of the net proceeds are intended to be generally applied toward consummating a Business Combination (less deferred underwriting commissions).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Transaction costs amounted to $18,821,468, consisting of $4,800,000 of cash underwriting fee, $13,140,000 of deferred underwriting fee and $881,468 of other offering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Business Combination must be with one or more target businesses that together have a fair market value equal to at least 80% of the net balance in the Trust Account (excluding the amount of deferred underwriting discounts held and taxes payable on the income earned on the Trust Account) at the time of the signing an agreement to enter into a Business Combination. However,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There is no assurance that the Company will be able to successfully effect a Business Combination.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Following the closing of the Initial Public Offering on May 5, 2025, an amount of $276,000,000 ($10.00 per Unit) from the net proceeds of the sale of the Units, and a portion of the net proceeds from the sale of the Private Placement Warrants, was placed in a trust account (the “Trust Account”) and initially invested only in U.S. government treasury obligations with a maturity of 185 days or less or in money market funds meeting certain conditions under Rule 2a-7 under the Investment Company Act which invest only in direct U.S. government treasury obligations; the holding of these assets in this form is intended to be temporary and for the sole purpose of facilitating the intended Business Combination. To mitigate the risk that the Company might be deemed to be an investment company for purposes of the Investment Company Act, which risk increases the longer that the Company holds investments in the Trust Account, the Company may, at any time (based on the management team’s ongoing assessment of all factors related to the Company’s potential status under the Investment Company Act), instruct the trustee to liquidate the investments held in the Trust Account and instead to hold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CARTESIAN GROWTH CORPORATION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funds in the Trust Account in cash or in an interest bearing demand deposit account at a bank. Except with respect to interest earned on the funds held in the Trust Account that may be released to the Company to pay its taxes, if any, the proceeds from the Initial Public Offering and the sale of the Private Placement Warrants will not be released from the Trust Account until the earliest of (i) the completion of the Company’s initial Business Combination, (ii) the redemption of the Company’s public shares if the Company is unable to complete the initial Business Combination within 24 months from the closing of the Initial Public Offering, or by such earlier date as the Company’s board of directors may approve, or such other time period in which the Company must complete an initial Business Combination pursuant to an amendment to the Company’s amended and restated memorandum and articles of association (the “Articles”) approved by the Company’s shareholders (the “Completion Window”), subject to applicable law, or (iii) the redemption of the Company’s public shares properly submitted in connection with a shareholder vote to amend the Articles to (A) modify the substance or timing of the Company’s obligation to allow redemption in connection with the initial Business Combination or to redeem 100% of the Company’s public shares if the Company has not consummated an initial Business Combination within the Completion Window or (B) with respect to any other material provisions relating to shareholders’ rights or pre-initial Business Combination activity. The proceeds deposited in the Trust Account could become subject to the claims of the Company’s creditors, if any, which could have priority over the claims of the Company’s public shareholders.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will provide the Company’s public shareholders with the opportunity to redeem all or a portion of their public shares upon the completion of the initial Business Combination either (i) in connection with a general meeting called to approve the initial Business Combination or (ii) without a shareholder vote by means of a tender offer. The decision as to whether the Company will seek shareholder approval of a proposed initial Business Combination or conduct a tender offer will be made by the Company, solely in its discretion. The public shareholders will be entitled to redeem their shares at a per share price, payable in cash, equal to the aggregate amount then on deposit in the Trust Account calculated as of </w:t>
      </w:r>
      <w:r>
        <w:rPr>
          <w:rFonts w:ascii="Times New Roman;Times;serif" w:hAnsi="Times New Roman;Times;serif"/>
          <w:b w:val="false"/>
          <w:i w:val="false"/>
          <w:caps w:val="false"/>
          <w:smallCaps w:val="false"/>
          <w:sz w:val="20"/>
        </w:rPr>
        <w:t>two</w:t>
      </w:r>
      <w:r>
        <w:rPr>
          <w:rFonts w:ascii="Times New Roman;Times;serif" w:hAnsi="Times New Roman;Times;serif"/>
          <w:sz w:val="20"/>
        </w:rPr>
        <w:t> business days prior to the consummation of the initial Business Combination, including interest earned on the funds held in the Trust Account (less taxes payable, but without deduction for any excise or similar tax that may be due or payable), divided by the number of then-outstanding public shares. The amount in the Trust Account is initially anticipated to be $10.00 per public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ordinary shares subject to redemption were recorded at a redemption value and classified as temporary equity upon the completion of the Initial Public Offering, in accordance with Financial Accounting Standards Board (“FASB”) Accounting Standards Codification (“ASC”) Topic 480, “Distinguishing Liabilities from Equity.”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will have only the duration of the Completion Window to complete the initial Business Combination. However, if the Company is unable to complete its initial Business Combination within the Completion Window, the Company will as promptly as reasonably possible but not more than </w:t>
      </w:r>
      <w:r>
        <w:rPr>
          <w:rFonts w:ascii="Times New Roman;Times;serif" w:hAnsi="Times New Roman;Times;serif"/>
          <w:b w:val="false"/>
          <w:i w:val="false"/>
          <w:caps w:val="false"/>
          <w:smallCaps w:val="false"/>
          <w:sz w:val="20"/>
        </w:rPr>
        <w:t>ten</w:t>
      </w:r>
      <w:r>
        <w:rPr>
          <w:rFonts w:ascii="Times New Roman;Times;serif" w:hAnsi="Times New Roman;Times;serif"/>
          <w:sz w:val="20"/>
        </w:rPr>
        <w:t> business days thereafter, redeem the public shares, at a per share price, payable in cash, equal to the aggregate amount then on deposit in the Trust Account, including interest earned on the funds held in the Trust Account (less taxes payable, but without deduction for any excise or similar tax that may be due or payable, and less up to $100,000 of interest to pay dissolution expenses), divided by the number of then-outstanding public shares, which redemption will constitute full and complete payment for the public shares and completely extinguish public shareholders’ rights as shareholders (including the right to receive further liquidating distributions, if any), subject to the Company’s obligations under Cayman Islands law to provide for claims of creditors and subject to the other requirements of applicable law.</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Sponsor, CGC III Sponsor DirectorCo LLC (“DirectorCo”), and the Company’s officers and directors have entered into letter agreements with the Company, pursuant to which they have agreed to (i) waive their redemption rights with respect to their founder shares and public shares in connection with the completion of the initial Business Combination; (ii) waive their redemption rights with respect to their founder shares and public shares in connection with a shareholder vote to approve an amendment to the Articles; (iii) waive their rights to liquidating distributions from the Trust Account with respect to their founder shares if the Company fails to complete the initial Business Combination within the Completion Window, although they will be entitled to liquidating distributions from the Trust Account with respect to any public shares they hold if the Company fails to complete the initial Business Combination within the Completion Window and to liquidating distributions from assets outside the Trust Account; and (iv) vote any founder shares held by them and any public shares purchased during or after the Initial Public Offering (including in open market and privately negotiated transactions, aside from shares they may purchase in compliance with the requirements of Rule 14e-5 under the Securities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CARTESIAN GROWTH CORPORATION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Exchange Act of 1934, as amended (the “Exchange Act”), which would not be voted in favor of approving the Business Combination) in favor of the initial Business Combination.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Sponsor has agreed that it will be liable to the Company if and to the extent any claims by a third party for services rendered or products sold to the Company (except for the Company’s independent registered public accounting firm),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(but without deduction for any excise or similar tax that may be due or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However, the Company has not asked the Sponsor to reserve for such indemnification obligations, nor has the Company independently verified whether the Sponsor has sufficient funds to satisfy its indemnity obligations and the Company believes that the Sponsor’s only assets are securities of the Company. Therefore, the Company cannot assure that the Sponsor would be able to satisfy those obligations.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SUMMARY OF 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U.S. Securities and Exchange Commission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unaudited condensed financial statements should be read in conjunction with the Company’s Annual Report on Form 10-K for the year ended December 31, 2025, as filed with the SEC on March 23, 2026. The interim results for the three months ended March 31, 2026 and 2025 are not necessarily indicative of the results to be expected for the year ending December 31, 2026 or for any future periods.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Liquidity and Capital Resources and Going Concern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liquidity needs up to March 31, 2026 had been satisfied through the loan from the Sponsor under an unsecured promissory note (the “Sponsor Promissory Note”) of up to $250,000 (see Note 5). As of March 31, 2026, the Company had $396,210 cash and a working capital deficit of $877,955.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order to fund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Up to $1,500,000 of such Working Capital Loans may be convertible into warrants of the post-Business Combination entity at a price of $1.00 per warrant at the option of the lender. The warrants would be identical to the Private Placement Warrants. As of March 31, 2026 and December 31, 2025, the Company had no borrowings under the Working Capital Loans.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Company’s assessment of going concern considerations in accordance with Accounting Standards Codification (“ASC”) 205-40, “Presentation of Financial Statements - Going Concern,” management has determined that the Company’s liquidity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CARTESIAN GROWTH CORPORATION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condition raises substantial doubt about the Company’s ability to continue as a going concern. No adjustments have been made to the carrying amounts of assets or liabilities should the Company be required to liquidate after the Completion Window.</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Segment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complies with ASU 2023-07, Segment Reporting (Topic 280): Improvements to Reportable Segment Disclosures (“ASU 2023-07”), which improves reportable segment disclosure requirements, primarily through enhanced disclosures about significant segment expenses among other disclosure requirements. The Company adopted ASU 2023-07 on January 1, 2024. The amendments will be applied retrospectively to all prior periods presented in the accompanying unaudited condensed financial statements (see Note 9).</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the unaudited condensed financial statements in conformity with GAAP requires the Company’s management to make estimates and assumptions that affect the reported amounts of assets and liabilities and disclosure of contingent assets and liabilities at the date of the unaudited condensed financial statements and the reported amounts of revenues and expenses during the reporting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Making estimates requires management to exercise significant judgment. It is at least reasonably possible that the estimate of the effect of a condition, situation or set of circumstances that existed at the date of the unaudited condensed financial statements, which management considered in formulating its estimate, could change in the near term due to one or more future confirming events. Accordingly, the actual results could differ significantly from those estimates.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considers all short-term investments with an original maturity of three months or less when purchased to be cash equivalents. The Company had $396,210 and $624,163 in cash and no cash equivalents as of March 31, 2026 and December 31, 2025,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CARTESIAN GROWTH CORPORATION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Investments Held in Trust Account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2026 and December 31, 2025, the assets held in the Trust Account, amounting to $285,868,994 and $283,377,276, respectively, were held in mutual funds primarily invested in U.S. Treasury Bills with a maturity of 185 days or less.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Investments held in the Trust Account are presented at fair value at each condensed balance sheet date, with unrealized gains and losses resulting from changes in fair value included in earnings as a component of interest and dividend income earned on investments held in the Trust Account in the accompanying statements 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Concentration of Credit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Financial instruments that potentially subject the Company to concentrations of credit risk consist of a cash account in a financial institution, which, at times, may exceed the Federal Deposit Insurance Corporation coverage limit of $250,000. Any loss incurred or a lack of access to such funds could have a significant adverse impact on the Company’s financial condition, results of operations, and cash flows.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complies with the requirements of the ASC 340-10-S99 and SEC Staff Accounting Bulletin Topic 5A, “Expenses of Offering.” Offering costs consist principally of professional and registration fees that are related to the Initial Public Offering. FASB ASC 470-20, “Debt with Conversion and Other Options,” addresses the allocation of proceeds from the issuance of convertible debt into its equity and debt components. The Company applies this guidance to allocate Initial Public Offering proceeds from the Units between Class A ordinary shares and warrants, using the relative fair value method by allocating Initial Public Offering proceeds first to assigned value of the warrants and then to the Class A ordinary shares. Offering costs allocated to the Class A ordinary shares were charged to temporary equity and offering costs allocated to the public warrants and Private Placement Warrants were charged to shareholder’s deficit as public warrants and Private Placement Warrants after management’s evaluation were accounted for under equity treatment.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Fair Value of 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of the Company’s assets and liabilities, which qualify as financial instruments under FASB ASC 820, “Fair Value Measurements and Disclosures,” approximates the carrying amounts represented in the condensed balance sheets, primarily due to its short-term nature.</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accounts for income taxes under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ASC Topic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March 31, 2026 and December 31, 2025, there were no unrecognized tax benefits and no amounts accrued for interest and penalties. The Company is currently not aware of any issues under review that could result in significant payments, accruals or material deviation from its position.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CARTESIAN GROWTH CORPORATION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rFonts w:ascii="Times New Roman;Times;serif" w:hAnsi="Times New Roman;Times;serif"/>
          <w:sz w:val="20"/>
        </w:rPr>
      </w:pPr>
      <w:bookmarkStart w:id="424" w:name="Tc_uhe1qWLENk2LmAW-csDAsQ_10_2"/>
      <w:bookmarkStart w:id="425" w:name="Tc_MlUXM8oTEU2LMoBg3yc8Gg_10_0"/>
      <w:bookmarkStart w:id="426" w:name="Tc_kXwgr0hSZ06sXx-YXeIofA_9_0"/>
      <w:bookmarkStart w:id="427" w:name="Tc_Mu983TB_LkOgtF75-z5-2g_8_0"/>
      <w:bookmarkStart w:id="428" w:name="Tc_X6dGLcZQxkymQ0rc477S9w_7_2"/>
      <w:bookmarkStart w:id="429" w:name="Tc_zwFgOS77TUC5VEsZytZIow_7_0"/>
      <w:bookmarkStart w:id="430" w:name="Tc_-4XrgDFlb0WlJVW9jB_mNw_6_0"/>
      <w:bookmarkStart w:id="431" w:name="Tc_oPu-sNEObEmJzn7tszHM9Q_5_0"/>
      <w:bookmarkStart w:id="432" w:name="Tc_sFbsWAuIJU-Uzi8fMjI_uw_4_0"/>
      <w:bookmarkStart w:id="433" w:name="Tc_IfKkjPCyLU-nh8aj4Zof0Q_3_0"/>
      <w:bookmarkStart w:id="434" w:name="Tc_8PVjE-jMDU2wVsmv6qt4og_2_0"/>
      <w:bookmarkStart w:id="435" w:name="Tc_zSUeuF9mYkSzJzQcfi5aZA_1_2"/>
      <w:bookmarkStart w:id="436" w:name="Tc_E9ruKepoMUyyWJicoTs1_w_1_0"/>
      <w:bookmarkStart w:id="437" w:name="_268c95d2_63d5_43de_bde0_2e6ec08d09a5"/>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r>
        <w:rPr>
          <w:rFonts w:ascii="Times New Roman;Times;serif" w:hAnsi="Times New Roman;Times;serif"/>
          <w:sz w:val="20"/>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periods presented.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Class A Ordinary Shares Subject to Possible Redemption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public shares contain a redemption feature which allows for the redemption of such public shares in connection with the Company’s liquidation, or if there is a shareholder vote or tender offer in connection with the Company’s initial Business Combination. In accordance with ASC 480-10-S99, the Company classifies public shares subject to redemption outside of permanent equity as the redemption provisions are not solely within the control of the Company. The Company recognizes changes in redemption value immediately as they occur and will adjust the carrying value of redeemable shares to equal the redemption value at the end of each reporting period. Immediately upon the closing of the Initial Public Offering, the Company recognized the accretion from initial book value to redemption value. The change in the carrying value of redeemable shares will result in charges against additional paid-in capital (to the extent available) and then to accumulated deficit. Accordingly, as of March 31, 2026 and December 31, 2025, Class A ordinary shares subject to possible redemption are presented at redemption value as temporary equity, outside of the shareholders’ deficit section of the Company’s condensed balance sheets. As of March 31, 2026 and December 31, 2025, the Class A ordinary shares subject to possible redemption reflected in the condensed balance sheets are reconciled in the following table:</w:t>
      </w:r>
    </w:p>
    <w:p>
      <w:pPr>
        <w:pStyle w:val="TextBody"/>
        <w:bidi w:val="0"/>
        <w:spacing w:before="0" w:after="0"/>
        <w:ind w:left="0" w:right="0" w:hanging="0"/>
        <w:jc w:val="left"/>
        <w:rPr/>
      </w:pPr>
      <w:r>
        <w:rPr/>
        <w:t>​</w:t>
      </w:r>
    </w:p>
    <w:tbl>
      <w:tblPr>
        <w:tblW w:w="8014" w:type="dxa"/>
        <w:jc w:val="left"/>
        <w:tblInd w:w="0" w:type="dxa"/>
        <w:tblLayout w:type="fixed"/>
        <w:tblCellMar>
          <w:top w:w="0" w:type="dxa"/>
          <w:left w:w="0" w:type="dxa"/>
          <w:bottom w:w="0" w:type="dxa"/>
          <w:right w:w="0" w:type="dxa"/>
        </w:tblCellMar>
      </w:tblPr>
      <w:tblGrid>
        <w:gridCol w:w="6211"/>
        <w:gridCol w:w="346"/>
        <w:gridCol w:w="211"/>
        <w:gridCol w:w="1246"/>
      </w:tblGrid>
      <w:tr>
        <w:trPr/>
        <w:tc>
          <w:tcPr>
            <w:tcW w:w="6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3943985" cy="175260"/>
                      <wp:effectExtent l="0" t="0" r="0" b="0"/>
                      <wp:wrapNone/>
                      <wp:docPr id="62" name="Frame62"/>
                      <a:graphic xmlns:a="http://schemas.openxmlformats.org/drawingml/2006/main">
                        <a:graphicData uri="http://schemas.microsoft.com/office/word/2010/wordprocessingShape">
                          <wps:wsp>
                            <wps:cNvSpPr txBox="1"/>
                            <wps:spPr>
                              <a:xfrm>
                                <a:off x="0" y="0"/>
                                <a:ext cx="394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3"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791210" cy="175260"/>
                      <wp:effectExtent l="0" t="0" r="0" b="0"/>
                      <wp:wrapNone/>
                      <wp:docPr id="65" name="Frame65"/>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proceeds</w:t>
            </w:r>
          </w:p>
        </w:tc>
        <w:tc>
          <w:tcPr>
            <w:tcW w:w="346" w:type="dxa"/>
            <w:tcBorders/>
            <w:shd w:fill="CCEEFF" w:val="clear"/>
            <w:vAlign w:val="center"/>
          </w:tcPr>
          <w:p>
            <w:pPr>
              <w:pStyle w:val="TableContents"/>
              <w:bidi w:val="0"/>
              <w:spacing w:before="0" w:after="0"/>
              <w:ind w:left="0" w:right="0" w:hanging="0"/>
              <w:jc w:val="center"/>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276,000,000</w:t>
            </w:r>
          </w:p>
        </w:tc>
      </w:tr>
      <w:tr>
        <w:trPr/>
        <w:tc>
          <w:tcPr>
            <w:tcW w:w="6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pPr>
            <w:r>
              <w:rPr/>
              <w:t>​</w:t>
            </w:r>
          </w:p>
        </w:tc>
      </w:tr>
      <w:tr>
        <w:trPr/>
        <w:tc>
          <w:tcPr>
            <w:tcW w:w="6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allocated to public 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(3,132,600)</w:t>
            </w:r>
          </w:p>
        </w:tc>
      </w:tr>
      <w:tr>
        <w:trPr/>
        <w:tc>
          <w:tcPr>
            <w:tcW w:w="6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ordinary shares issuance cost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(18,586,890)</w:t>
            </w:r>
          </w:p>
        </w:tc>
      </w:tr>
      <w:tr>
        <w:trPr/>
        <w:tc>
          <w:tcPr>
            <w:tcW w:w="6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pPr>
            <w:r>
              <w:rPr/>
              <w:t>​</w:t>
            </w:r>
          </w:p>
        </w:tc>
      </w:tr>
      <w:tr>
        <w:trPr/>
        <w:tc>
          <w:tcPr>
            <w:tcW w:w="6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Remeasurement of carrying value to redemption value</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29,096,766</w:t>
            </w:r>
          </w:p>
        </w:tc>
      </w:tr>
      <w:tr>
        <w:trPr/>
        <w:tc>
          <w:tcPr>
            <w:tcW w:w="6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ordinary shares subject to possible redemption,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283,377,276</w:t>
            </w:r>
          </w:p>
        </w:tc>
      </w:tr>
      <w:tr>
        <w:trPr/>
        <w:tc>
          <w:tcPr>
            <w:tcW w:w="6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pPr>
            <w:r>
              <w:rPr/>
              <w:t>​</w:t>
            </w:r>
          </w:p>
        </w:tc>
      </w:tr>
      <w:tr>
        <w:trPr/>
        <w:tc>
          <w:tcPr>
            <w:tcW w:w="6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Remeasurement of carrying value to redemption value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2,491,718</w:t>
            </w:r>
          </w:p>
        </w:tc>
      </w:tr>
      <w:tr>
        <w:trPr/>
        <w:tc>
          <w:tcPr>
            <w:tcW w:w="6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ordinary shares subject to possible redemption, March 31, 2026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285,868,994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accounted for the public warrants and Private Placement Warrants issued in connection with the Initial Public Offering and the private placement in accordance with the guidance contained in FASB ASC Topic 815, “Derivatives and Hedging”. Accordingly, the Company evaluated and classified the warrant instruments under equity treatment at their assigned values.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 per Ordinary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complies with accounting and disclosure requirements of FASB ASC Topic 260, “Earnings Per Share.” Net income (loss) per ordinary share is computed by dividing net income (loss) by the weighted average number of shares of ordinary shares outstanding for the period. The Company has two classes of ordinary shares, which are referred to as redeemable Class A ordinary shares and non-redeemable Class A and Class B ordinary shares. Remeasurement associated with the redeemable shares of Class A ordinary shares is excluded from income (loss) per ordinary share as the redemption value approximates fair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calculation of diluted income (loss) per ordinary share does not consider the effect of the warrants issued in connection with the Initial Public Offering and the Private Placement Warrants since the exercise of the warrants is contingent upon the occurrence of future events. The warrants are exercisable to purchase 20,600,000 Class A Ordinary Shares in the aggregate. As of March 31, 2026 and December 31, 2025, the Company did not have any dilutive securities or other contracts that could, potentially, be exercised or converted into ordinary shares that then share in the earnings of the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CARTESIAN GROWTH CORPORATION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both"/>
        <w:rPr>
          <w:rFonts w:ascii="Times New Roman;Times;serif" w:hAnsi="Times New Roman;Times;serif"/>
          <w:sz w:val="20"/>
        </w:rPr>
      </w:pPr>
      <w:bookmarkStart w:id="438" w:name="Tc_Uouvyczk1EKoU6oX5Fvo1Q_11_11"/>
      <w:bookmarkStart w:id="439" w:name="Tc_1yA9ohASwUWIRS2jpQ_FPA_11_9"/>
      <w:bookmarkStart w:id="440" w:name="Tc_MHov8uJMgE-3SZYtvipjDA_11_8"/>
      <w:bookmarkStart w:id="441" w:name="Tc_m-8NWRus-0qurBZ6JTnbSA_11_5"/>
      <w:bookmarkStart w:id="442" w:name="Tc_cFLZKgg_bkur4343f76Bcw_11_2"/>
      <w:bookmarkStart w:id="443" w:name="Tc_VwMzVtiI9UikcdzRvp9VtQ_11_0"/>
      <w:bookmarkStart w:id="444" w:name="Tc_yGA_liC7ekmLp2uKEbyJOQ_10_9"/>
      <w:bookmarkStart w:id="445" w:name="Tc_BxPHaWY94EK5dvjpzC3Yhw_10_0"/>
      <w:bookmarkStart w:id="446" w:name="Tc_Vn4lsTs4w0yRBYnjHM0wVw_9_0"/>
      <w:bookmarkStart w:id="447" w:name="Tc_2LMbBQC4XUibcCV0e3bxHg_8_11"/>
      <w:bookmarkStart w:id="448" w:name="Tc_k8e0yHuiCEOH4Bya16lVpA_8_9"/>
      <w:bookmarkStart w:id="449" w:name="Tc_fqXhsOZ330OP65P92CzzDQ_8_8"/>
      <w:bookmarkStart w:id="450" w:name="Tc_hUuP0oQDN067jMnnIaEcpA_8_5"/>
      <w:bookmarkStart w:id="451" w:name="Tc_0sRptmTBAECu2eZffviFOQ_8_2"/>
      <w:bookmarkStart w:id="452" w:name="Tc_aTm3SWetekGHsxa-EPzHxQ_8_0"/>
      <w:bookmarkStart w:id="453" w:name="Tc_Y0dpLHyGxUOHpPJgv96c4w_7_0"/>
      <w:bookmarkStart w:id="454" w:name="Tc_ko8s6JBiI06wxAtPdq2zYg_6_0"/>
      <w:bookmarkStart w:id="455" w:name="Tc_6USR_98TX0WB4n67seTSew_5_11"/>
      <w:bookmarkStart w:id="456" w:name="Tc_uN9kg-kSk0m7QUycT5v3kA_5_8"/>
      <w:bookmarkStart w:id="457" w:name="Tc_anGcbp6_3Ues5RCjgDw05Q_5_5"/>
      <w:bookmarkStart w:id="458" w:name="Tc_QR0Jhb3Lm0W7tC8AzMjr_w_5_2"/>
      <w:bookmarkStart w:id="459" w:name="Tc__lr9oA8-7ky7Uht6iwidKA_4_11"/>
      <w:bookmarkStart w:id="460" w:name="Tc_GO6Jst_3b0yU5BQfkdBfaQ_4_8"/>
      <w:bookmarkStart w:id="461" w:name="Tc_zD_EiEh7qkuJs6dxmyF-tQ_4_5"/>
      <w:bookmarkStart w:id="462" w:name="Tc_8_QkbXE7TEO15uUK0khD4A_4_2"/>
      <w:bookmarkStart w:id="463" w:name="Tc_WNSgiX8JIUWdKnROKa65hg_3_11"/>
      <w:bookmarkStart w:id="464" w:name="Tc_OFeehTzuvk2veD8n3Ag1qg_3_5"/>
      <w:bookmarkStart w:id="465" w:name="Tc_2AXwxR7GvE6oo5PxG_ULrw_2_8"/>
      <w:bookmarkStart w:id="466" w:name="Tc_f1fnSD5ar0ufzQ_iVLTiPw_2_2"/>
      <w:bookmarkStart w:id="467" w:name="Tc__B-u6Gc4C0agAB2igk5lTQ_1_2"/>
      <w:bookmarkStart w:id="468" w:name="_138de5f8_1d6a_4889_bfc7_6b48faee9a87"/>
      <w:bookmarkStart w:id="469" w:name="_a0583c12_3ef0_4166_bc2c_57a757dd3c6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r>
        <w:rPr>
          <w:rFonts w:ascii="Times New Roman;Times;serif" w:hAnsi="Times New Roman;Times;serif"/>
          <w:sz w:val="20"/>
        </w:rPr>
        <w:t>The following table reflects the calculation of basic and diluted net income (loss) per ordinary share (in dollars, except per share amounts):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224"/>
        <w:gridCol w:w="346"/>
        <w:gridCol w:w="226"/>
        <w:gridCol w:w="1036"/>
        <w:gridCol w:w="346"/>
        <w:gridCol w:w="226"/>
        <w:gridCol w:w="931"/>
        <w:gridCol w:w="346"/>
        <w:gridCol w:w="385"/>
        <w:gridCol w:w="591"/>
        <w:gridCol w:w="346"/>
        <w:gridCol w:w="226"/>
        <w:gridCol w:w="976"/>
      </w:tblGrid>
      <w:tr>
        <w:trPr/>
        <w:tc>
          <w:tcPr>
            <w:tcW w:w="4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682240" cy="175260"/>
                      <wp:effectExtent l="0" t="0" r="0" b="0"/>
                      <wp:wrapNone/>
                      <wp:docPr id="66" name="Frame66"/>
                      <a:graphic xmlns:a="http://schemas.openxmlformats.org/drawingml/2006/main">
                        <a:graphicData uri="http://schemas.microsoft.com/office/word/2010/wordprocessingShape">
                          <wps:wsp>
                            <wps:cNvSpPr txBox="1"/>
                            <wps:spPr>
                              <a:xfrm>
                                <a:off x="0" y="0"/>
                                <a:ext cx="268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43510" cy="175260"/>
                      <wp:effectExtent l="0" t="0" r="0" b="0"/>
                      <wp:wrapNone/>
                      <wp:docPr id="68" name="Frame6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57860" cy="175260"/>
                      <wp:effectExtent l="0" t="0" r="0" b="0"/>
                      <wp:wrapNone/>
                      <wp:docPr id="69" name="Frame6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43510" cy="175260"/>
                      <wp:effectExtent l="0" t="0" r="0" b="0"/>
                      <wp:wrapNone/>
                      <wp:docPr id="71" name="Frame7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91185" cy="175260"/>
                      <wp:effectExtent l="0" t="0" r="0" b="0"/>
                      <wp:wrapNone/>
                      <wp:docPr id="72" name="Frame7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3"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44475" cy="175260"/>
                      <wp:effectExtent l="0" t="0" r="0" b="0"/>
                      <wp:wrapNone/>
                      <wp:docPr id="74" name="Frame74"/>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375285" cy="175260"/>
                      <wp:effectExtent l="0" t="0" r="0" b="0"/>
                      <wp:wrapNone/>
                      <wp:docPr id="75" name="Frame75"/>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6"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43510" cy="175260"/>
                      <wp:effectExtent l="0" t="0" r="0" b="0"/>
                      <wp:wrapNone/>
                      <wp:docPr id="77" name="Frame7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19760" cy="175260"/>
                      <wp:effectExtent l="0" t="0" r="0" b="0"/>
                      <wp:wrapNone/>
                      <wp:docPr id="78" name="Frame78"/>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563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r>
      <w:tr>
        <w:trPr/>
        <w:tc>
          <w:tcPr>
            <w:tcW w:w="42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7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252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46" w:type="dxa"/>
            <w:tcBorders/>
            <w:vAlign w:val="center"/>
          </w:tcPr>
          <w:p>
            <w:pPr>
              <w:pStyle w:val="TableContents"/>
              <w:bidi w:val="0"/>
              <w:spacing w:before="0" w:after="0"/>
              <w:ind w:left="0" w:right="0" w:hanging="0"/>
              <w:jc w:val="center"/>
              <w:rPr/>
            </w:pPr>
            <w:r>
              <w:rPr/>
              <w:t>​</w:t>
            </w:r>
          </w:p>
        </w:tc>
        <w:tc>
          <w:tcPr>
            <w:tcW w:w="385" w:type="dxa"/>
            <w:tcBorders/>
            <w:vAlign w:val="center"/>
          </w:tcPr>
          <w:p>
            <w:pPr>
              <w:pStyle w:val="TableContents"/>
              <w:bidi w:val="0"/>
              <w:spacing w:before="0" w:after="0"/>
              <w:ind w:left="0" w:right="0" w:hanging="0"/>
              <w:jc w:val="center"/>
              <w:rPr/>
            </w:pPr>
            <w:r>
              <w:rPr/>
              <w:t>​</w:t>
            </w:r>
          </w:p>
        </w:tc>
        <w:tc>
          <w:tcPr>
            <w:tcW w:w="5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r>
      <w:tr>
        <w:trPr/>
        <w:tc>
          <w:tcPr>
            <w:tcW w:w="42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Redeemable</w:t>
            </w:r>
          </w:p>
        </w:tc>
        <w:tc>
          <w:tcPr>
            <w:tcW w:w="346" w:type="dxa"/>
            <w:tcBorders/>
            <w:vAlign w:val="center"/>
          </w:tcPr>
          <w:p>
            <w:pPr>
              <w:pStyle w:val="TableContents"/>
              <w:bidi w:val="0"/>
              <w:spacing w:before="0" w:after="0"/>
              <w:ind w:left="0" w:right="0" w:hanging="0"/>
              <w:jc w:val="center"/>
              <w:rPr/>
            </w:pPr>
            <w:r>
              <w:rPr/>
              <w:t>​</w:t>
            </w:r>
          </w:p>
        </w:tc>
        <w:tc>
          <w:tcPr>
            <w:tcW w:w="11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redeemable</w:t>
            </w:r>
          </w:p>
        </w:tc>
        <w:tc>
          <w:tcPr>
            <w:tcW w:w="346" w:type="dxa"/>
            <w:tcBorders/>
            <w:vAlign w:val="center"/>
          </w:tcPr>
          <w:p>
            <w:pPr>
              <w:pStyle w:val="TableContents"/>
              <w:bidi w:val="0"/>
              <w:spacing w:before="0" w:after="0"/>
              <w:ind w:left="0" w:right="0" w:hanging="0"/>
              <w:jc w:val="center"/>
              <w:rPr/>
            </w:pPr>
            <w:r>
              <w:rPr/>
              <w:t>​</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Redeemable</w:t>
            </w:r>
          </w:p>
        </w:tc>
        <w:tc>
          <w:tcPr>
            <w:tcW w:w="346" w:type="dxa"/>
            <w:tcBorders/>
            <w:vAlign w:val="center"/>
          </w:tcPr>
          <w:p>
            <w:pPr>
              <w:pStyle w:val="TableContents"/>
              <w:bidi w:val="0"/>
              <w:spacing w:before="0" w:after="0"/>
              <w:ind w:left="0" w:right="0" w:hanging="0"/>
              <w:jc w:val="center"/>
              <w:rPr/>
            </w:pPr>
            <w:r>
              <w:rPr/>
              <w:t>​</w:t>
            </w:r>
          </w:p>
        </w:tc>
        <w:tc>
          <w:tcPr>
            <w:tcW w:w="12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redeemable</w:t>
            </w:r>
          </w:p>
        </w:tc>
      </w:tr>
      <w:tr>
        <w:trPr/>
        <w:tc>
          <w:tcPr>
            <w:tcW w:w="42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46" w:type="dxa"/>
            <w:tcBorders/>
            <w:vAlign w:val="center"/>
          </w:tcPr>
          <w:p>
            <w:pPr>
              <w:pStyle w:val="TableContents"/>
              <w:bidi w:val="0"/>
              <w:spacing w:before="0" w:after="0"/>
              <w:ind w:left="0" w:right="0" w:hanging="0"/>
              <w:jc w:val="center"/>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346" w:type="dxa"/>
            <w:tcBorders/>
            <w:vAlign w:val="center"/>
          </w:tcPr>
          <w:p>
            <w:pPr>
              <w:pStyle w:val="TableContents"/>
              <w:bidi w:val="0"/>
              <w:spacing w:before="0" w:after="0"/>
              <w:ind w:left="0" w:right="0" w:hanging="0"/>
              <w:jc w:val="center"/>
              <w:rPr/>
            </w:pPr>
            <w:r>
              <w:rPr/>
              <w:t>  ​ ​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46" w:type="dxa"/>
            <w:tcBorders/>
            <w:vAlign w:val="center"/>
          </w:tcPr>
          <w:p>
            <w:pPr>
              <w:pStyle w:val="TableContents"/>
              <w:bidi w:val="0"/>
              <w:spacing w:before="0" w:after="0"/>
              <w:ind w:left="0" w:right="0" w:hanging="0"/>
              <w:jc w:val="center"/>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w:t>
            </w:r>
          </w:p>
        </w:tc>
      </w:tr>
      <w:tr>
        <w:trPr/>
        <w:tc>
          <w:tcPr>
            <w:tcW w:w="4224" w:type="dxa"/>
            <w:tcBorders/>
            <w:shd w:fill="CCEEFF" w:val="clear"/>
            <w:vAlign w:val="center"/>
          </w:tcPr>
          <w:p>
            <w:pPr>
              <w:pStyle w:val="TableContents"/>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Basic and diluted net income (loss) per ordinary share</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center"/>
              <w:rPr/>
            </w:pPr>
            <w:r>
              <w:rPr/>
              <w:t>  ​</w:t>
            </w:r>
          </w:p>
        </w:tc>
        <w:tc>
          <w:tcPr>
            <w:tcW w:w="103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center"/>
              <w:rPr/>
            </w:pPr>
            <w:r>
              <w:rPr/>
              <w:t>  ​</w:t>
            </w:r>
          </w:p>
        </w:tc>
        <w:tc>
          <w:tcPr>
            <w:tcW w:w="93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85" w:type="dxa"/>
            <w:tcBorders/>
            <w:shd w:fill="CCEEFF" w:val="clear"/>
            <w:vAlign w:val="center"/>
          </w:tcPr>
          <w:p>
            <w:pPr>
              <w:pStyle w:val="TableContents"/>
              <w:bidi w:val="0"/>
              <w:spacing w:before="0" w:after="0"/>
              <w:ind w:left="0" w:right="0" w:hanging="0"/>
              <w:jc w:val="center"/>
              <w:rPr/>
            </w:pPr>
            <w:r>
              <w:rPr/>
              <w:t>  ​</w:t>
            </w:r>
          </w:p>
        </w:tc>
        <w:tc>
          <w:tcPr>
            <w:tcW w:w="5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center"/>
              <w:rPr/>
            </w:pPr>
            <w:r>
              <w:rPr/>
              <w:t>  ​</w:t>
            </w:r>
          </w:p>
        </w:tc>
        <w:tc>
          <w:tcPr>
            <w:tcW w:w="976" w:type="dxa"/>
            <w:tcBorders/>
            <w:shd w:fill="CCEEFF" w:val="clear"/>
            <w:vAlign w:val="center"/>
          </w:tcPr>
          <w:p>
            <w:pPr>
              <w:pStyle w:val="TableContents"/>
              <w:bidi w:val="0"/>
              <w:spacing w:before="0" w:after="0"/>
              <w:ind w:left="0" w:right="0" w:hanging="0"/>
              <w:jc w:val="center"/>
              <w:rPr/>
            </w:pPr>
            <w:r>
              <w:rPr/>
              <w:t>​</w:t>
            </w:r>
          </w:p>
        </w:tc>
      </w:tr>
      <w:tr>
        <w:trPr/>
        <w:tc>
          <w:tcPr>
            <w:tcW w:w="42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left"/>
              <w:rPr/>
            </w:pPr>
            <w:r>
              <w:rPr/>
              <w:t>​</w:t>
            </w:r>
          </w:p>
        </w:tc>
        <w:tc>
          <w:tcPr>
            <w:tcW w:w="5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  ​</w:t>
            </w:r>
          </w:p>
        </w:tc>
      </w:tr>
      <w:tr>
        <w:trPr/>
        <w:tc>
          <w:tcPr>
            <w:tcW w:w="42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Allocation of 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1,344,334</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336,083</w:t>
            </w:r>
          </w:p>
        </w:tc>
        <w:tc>
          <w:tcPr>
            <w:tcW w:w="346"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(20,449)</w:t>
            </w:r>
          </w:p>
        </w:tc>
      </w:tr>
      <w:tr>
        <w:trPr/>
        <w:tc>
          <w:tcPr>
            <w:tcW w:w="42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r>
      <w:tr>
        <w:trPr/>
        <w:tc>
          <w:tcPr>
            <w:tcW w:w="42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weighted average shares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27,600,000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6,900,000</w:t>
            </w:r>
          </w:p>
        </w:tc>
        <w:tc>
          <w:tcPr>
            <w:tcW w:w="346" w:type="dxa"/>
            <w:tcBorders/>
            <w:shd w:fill="CCEEFF" w:val="clear"/>
            <w:vAlign w:val="center"/>
          </w:tcPr>
          <w:p>
            <w:pPr>
              <w:pStyle w:val="TableContents"/>
              <w:bidi w:val="0"/>
              <w:spacing w:before="0" w:after="0"/>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6,900,000</w:t>
            </w:r>
          </w:p>
        </w:tc>
      </w:tr>
      <w:tr>
        <w:trPr/>
        <w:tc>
          <w:tcPr>
            <w:tcW w:w="42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net income (loss) per ordinary share</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346" w:type="dxa"/>
            <w:tcBorders/>
            <w:vAlign w:val="center"/>
          </w:tcPr>
          <w:p>
            <w:pPr>
              <w:pStyle w:val="TableContents"/>
              <w:bidi w:val="0"/>
              <w:spacing w:before="0" w:after="0"/>
              <w:ind w:left="0" w:right="0" w:hanging="0"/>
              <w:jc w:val="left"/>
              <w:rPr/>
            </w:pPr>
            <w:r>
              <w:rPr/>
              <w:t>​</w:t>
            </w:r>
          </w:p>
        </w:tc>
        <w:tc>
          <w:tcPr>
            <w:tcW w:w="3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Management does not believe that any recently issued, but not effective, accounting standards, if currently adopted, would have a material effect on the Company’s financial statement.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INITIAL PUBLIC OFFERING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Pursuant to the Initial Public Offering on May 5, 2025, the Company sold 27,600,000 Units, which includes a full exercise by the underwriters of their over-allotment option of 3,600,000 Units at a purchase price of $10.00 per Unit, generating gross proceeds of $276,000,000. Each Unit consists of one Class A ordinary share and </w:t>
      </w:r>
      <w:r>
        <w:rPr>
          <w:rFonts w:ascii="Times New Roman;Times;serif" w:hAnsi="Times New Roman;Times;serif"/>
          <w:b w:val="false"/>
          <w:i w:val="false"/>
          <w:caps w:val="false"/>
          <w:smallCaps w:val="false"/>
          <w:sz w:val="20"/>
        </w:rPr>
        <w:t>one-half</w:t>
      </w:r>
      <w:r>
        <w:rPr>
          <w:rFonts w:ascii="Times New Roman;Times;serif" w:hAnsi="Times New Roman;Times;serif"/>
          <w:sz w:val="20"/>
        </w:rPr>
        <w:t xml:space="preserve"> of one redeemable warrant. Each whole warrant entitles the holder to purchase one Class A ordinary share at a price of $11.50 per share, subject to adjustment. Each warrant will become exercisable 30 days after the completion of the initial Business Combination and will expire five years after the completion of the initial Business Combination, or earlier upon redemption or liquidation.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Warrants — </w:t>
      </w:r>
      <w:r>
        <w:rPr>
          <w:rFonts w:ascii="Times New Roman;Times;serif" w:hAnsi="Times New Roman;Times;serif"/>
          <w:sz w:val="20"/>
        </w:rPr>
        <w:t>As of March 31, 2026 and December 31, 2025, there were 20,600,000 warrants outstanding, including 13,800,000 public warrants and 6,800,000 Private Placement Warrants. Each whole warrant entitles the holder to purchase one Class A ordinary share at a price of $11.50 per share, subject to adjustment as discussed herein. The warrants cannot be exercised until 30 days after the completion of the initial Business Combination, and will expire at 5:00 p.m., New York City time, five years after the completion of the initial Business Combination or earlier upon redemption or liquidation.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Under the terms of the warrant agreement, the Company has agreed that, as soon as practicable, but in no event later than 20 business days after the closing of its initial Business Combination, it will use commercially reasonable efforts to file with the SEC a post-effective amendment to the registration statement for the Initial Public Offering or a new registration statement covering the registration under the Securities Act of the Class A ordinary shares issuable upon exercise of the warrants and thereafter will use its commercially reasonable efforts to cause the same to become effective within 60 business days following the Company’s initial Business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CARTESIAN GROWTH CORPORATION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Combination and to maintain a current prospectus relating to the Class A ordinary shares issuable upon exercise of the warrants until the expiration of the warrants in accordance with the provisions of the warrant agreement. If a registration statement covering the Class A ordinary shares issuable upon exercise of the warrants is not effective by the sixtieth (60</w:t>
      </w:r>
      <w:r>
        <w:rPr>
          <w:rFonts w:ascii="Times New Roman;Times;serif" w:hAnsi="Times New Roman;Times;serif"/>
          <w:sz w:val="15"/>
        </w:rPr>
        <w:t>th</w:t>
      </w:r>
      <w:r>
        <w:rPr>
          <w:rFonts w:ascii="Times New Roman;Times;serif" w:hAnsi="Times New Roman;Times;serif"/>
          <w:sz w:val="20"/>
        </w:rPr>
        <w:t>)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the Company will use its commercially reasonable efforts to register or qualify the shares under applicable blue sky laws to the extent an exemption is not available.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holders exercise their public warrants on a cashless basis, they would pay the warrant exercise price by surrendering the warrants for that number of Class A ordinary shares equal to the quotient obtained by dividing (x) the product of the number of Class A ordinary shares underlying the warrants, multiplied by the excess of the “fair market value” of the Class A ordinary shares over the exercise price of the warrants by (y) the fair market value. The “fair market value” is the average closing price of the Class A ordinary shares for the 10 trading days ending on the third trading day prior to the date on which the notice of exercise is received by the warrant agent or on which the notice of redemption is sent to the holders of warrants, as applicable.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Redemption of Warrants When the Price per Class A Ordinary Share Equals or Exceeds $18.00</w:t>
      </w:r>
      <w:r>
        <w:rPr>
          <w:rFonts w:ascii="Times New Roman;Times;serif" w:hAnsi="Times New Roman;Times;serif"/>
          <w:sz w:val="20"/>
        </w:rPr>
        <w:t>: The Company may redeem the outstanding warrants:</w:t>
      </w:r>
    </w:p>
    <w:tbl>
      <w:tblPr>
        <w:tblW w:w="2526" w:type="dxa"/>
        <w:jc w:val="left"/>
        <w:tblInd w:w="0" w:type="dxa"/>
        <w:tblLayout w:type="fixed"/>
        <w:tblCellMar>
          <w:top w:w="28" w:type="dxa"/>
          <w:left w:w="28" w:type="dxa"/>
          <w:bottom w:w="28" w:type="dxa"/>
          <w:right w:w="28" w:type="dxa"/>
        </w:tblCellMar>
      </w:tblPr>
      <w:tblGrid>
        <w:gridCol w:w="124"/>
        <w:gridCol w:w="256"/>
        <w:gridCol w:w="2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bl>
    <w:tbl>
      <w:tblPr>
        <w:tblW w:w="3006" w:type="dxa"/>
        <w:jc w:val="left"/>
        <w:tblInd w:w="0" w:type="dxa"/>
        <w:tblLayout w:type="fixed"/>
        <w:tblCellMar>
          <w:top w:w="28" w:type="dxa"/>
          <w:left w:w="28" w:type="dxa"/>
          <w:bottom w:w="28" w:type="dxa"/>
          <w:right w:w="28" w:type="dxa"/>
        </w:tblCellMar>
      </w:tblPr>
      <w:tblGrid>
        <w:gridCol w:w="124"/>
        <w:gridCol w:w="256"/>
        <w:gridCol w:w="2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2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at a price of $0.01</w:t>
            </w:r>
            <w:r>
              <w:rPr>
                <w:caps w:val="false"/>
                <w:smallCaps w:val="false"/>
              </w:rPr>
              <w:t xml:space="preserve"> </w:t>
            </w:r>
            <w:r>
              <w:rPr>
                <w:rFonts w:ascii="Times New Roman;Times;serif" w:hAnsi="Times New Roman;Times;serif"/>
                <w:b w:val="false"/>
                <w:i w:val="false"/>
                <w:caps w:val="false"/>
                <w:smallCaps w:val="false"/>
                <w:sz w:val="20"/>
              </w:rPr>
              <w:t>per warrant;</w:t>
            </w:r>
          </w:p>
        </w:tc>
      </w:tr>
    </w:tbl>
    <w:tbl>
      <w:tblPr>
        <w:tblW w:w="8841" w:type="dxa"/>
        <w:jc w:val="left"/>
        <w:tblInd w:w="0" w:type="dxa"/>
        <w:tblLayout w:type="fixed"/>
        <w:tblCellMar>
          <w:top w:w="28" w:type="dxa"/>
          <w:left w:w="28" w:type="dxa"/>
          <w:bottom w:w="28" w:type="dxa"/>
          <w:right w:w="28" w:type="dxa"/>
        </w:tblCellMar>
      </w:tblPr>
      <w:tblGrid>
        <w:gridCol w:w="124"/>
        <w:gridCol w:w="256"/>
        <w:gridCol w:w="8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6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upon a minimum of 30 days</w:t>
            </w:r>
            <w:r>
              <w:rPr>
                <w:caps w:val="false"/>
                <w:smallCaps w:val="false"/>
              </w:rPr>
              <w:t xml:space="preserve">’ </w:t>
            </w:r>
            <w:r>
              <w:rPr>
                <w:rFonts w:ascii="Times New Roman;Times;serif" w:hAnsi="Times New Roman;Times;serif"/>
                <w:b w:val="false"/>
                <w:i w:val="false"/>
                <w:caps w:val="false"/>
                <w:smallCaps w:val="false"/>
                <w:sz w:val="20"/>
              </w:rPr>
              <w:t>prior written notice of redemption (the “30-day redemption period”);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if, and only if, the closing price of the Class A ordinary shares equals or exceeds $18.00</w:t>
            </w:r>
            <w:r>
              <w:rPr>
                <w:caps w:val="false"/>
                <w:smallCaps w:val="false"/>
              </w:rPr>
              <w:t xml:space="preserve"> </w:t>
            </w:r>
            <w:r>
              <w:rPr>
                <w:rFonts w:ascii="Times New Roman;Times;serif" w:hAnsi="Times New Roman;Times;serif"/>
                <w:b w:val="false"/>
                <w:i w:val="false"/>
                <w:caps w:val="false"/>
                <w:smallCaps w:val="false"/>
                <w:sz w:val="20"/>
              </w:rPr>
              <w:t>per share (as adjusted for adjustments to the number of shares issuable upon exercise or the exercise price of a warrant) for any 20</w:t>
            </w:r>
            <w:r>
              <w:rPr>
                <w:caps w:val="false"/>
                <w:smallCaps w:val="false"/>
              </w:rPr>
              <w:t xml:space="preserve"> </w:t>
            </w:r>
            <w:r>
              <w:rPr>
                <w:rFonts w:ascii="Times New Roman;Times;serif" w:hAnsi="Times New Roman;Times;serif"/>
                <w:b w:val="false"/>
                <w:i w:val="false"/>
                <w:caps w:val="false"/>
                <w:smallCaps w:val="false"/>
                <w:sz w:val="20"/>
              </w:rPr>
              <w:t>trading days within a 30-trading day period commencing at least 30 days</w:t>
            </w:r>
            <w:r>
              <w:rPr>
                <w:caps w:val="false"/>
                <w:smallCaps w:val="false"/>
              </w:rPr>
              <w:t xml:space="preserve"> </w:t>
            </w:r>
            <w:r>
              <w:rPr>
                <w:rFonts w:ascii="Times New Roman;Times;serif" w:hAnsi="Times New Roman;Times;serif"/>
                <w:b w:val="false"/>
                <w:i w:val="false"/>
                <w:caps w:val="false"/>
                <w:smallCaps w:val="false"/>
                <w:sz w:val="20"/>
              </w:rPr>
              <w:t>after completion of the Company’s initial Business Combination and ending three</w:t>
            </w:r>
            <w:r>
              <w:rPr>
                <w:caps w:val="false"/>
                <w:smallCaps w:val="false"/>
              </w:rPr>
              <w:t xml:space="preserve"> </w:t>
            </w:r>
            <w:r>
              <w:rPr>
                <w:rFonts w:ascii="Times New Roman;Times;serif" w:hAnsi="Times New Roman;Times;serif"/>
                <w:b w:val="false"/>
                <w:i w:val="false"/>
                <w:caps w:val="false"/>
                <w:smallCaps w:val="false"/>
                <w:sz w:val="20"/>
              </w:rPr>
              <w:t>business days before the Company sends the notice of redemption to the warrant holders.</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addition, if (x) we issue additional Class A ordinary shares or equity-linked securities for capital raising purposes in connection with the closing of our initial Business Combination at an issue price or effective issue price of less than $9.20 per Class A ordinary share (with such issue price or effective issue price to be determined in good faith by our board of directors and, in the case of any such issuance to our initial shareholders or their affiliates, without taking into account any founder shares held by our initial shareholders or such affiliates, as applicable, prior to such issuance) (the “Newly Issued Price”), (y) the aggregate gross proceeds from such issuances represent more than 60% of the total equity proceeds (including from such issuances and from our Initial Public Offering), and interest thereon, available for the funding of our initial Business Combination on the date of the consummation of our initial Business Combination (net of redemptions), and (z) the volume weighted average trading price of our Class A ordinary shares during the 20 trading day period starting on the trading day prior to the day on which we consummate our initial Business Combination (such price, the “Market Value”) is below $9.20 per share, then the exercise price of the warrants will be adjusted (to the nearest cent) to be equal to 115% of the higher of the Market Value and the Newly Issued Price, and the $18.00 per share redemption trigger price above be adjusted (to the nearest cent) to be equal to 180% of the higher of the Market Value and the Newly Issued Price.</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CARTESIAN GROWTH CORPORATION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Additionally, if the number of outstanding Class A ordinary shares is increased by a share capitalization payable in Class A ordinary shares, or by a subdivision of ordinary shares or other similar event, then, on the effective date of such share capitalization, subdivision or similar event, the number of Class A ordinary shares issuable on exercise of each warrant will be increased in proportion to such increase in the outstanding ordinary shares. A rights offering made to all or substantially all holders of ordinary shares entitling holders to purchase Class A ordinary shares at a price less than the fair market value will be deemed a share capitalization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the quotient of (x) the price per Class A ordinary share paid in such rights offering and (y) the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fair market value means the volume weighted average price of Class A ordinary shares as reported during the ten (10) trading day period ending on the trading day prior to the first date on which the Class A ordinary shares trade on the applicable exchange or in the applicable market, regular way, without the right to receive such rights.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4. PRIVATE PLACEMENT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Simultaneously with the closing of the Initial Public Offering on May 5, 2025, the Sponsor and Cantor purchased an aggregate of 6,800,000 Private Placement Warrants, each exercisable to purchase one Class A ordinary share at $11.50 per share, at a price of $1.00 per Private Placement Warrant, generating gross proceeds of $6,800,000. Of those 6,800,000 Private Placement Warrants, the Sponsor purchased 4,400,000 Private Placement Warrants and Cantor purchased 2,400,000 Private Placement Warrants. Each Private Placement Warrant entitles the registered holder to purchase one Class A ordinary share at a price of $11.50 per share, subject to adjustment.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Private Placement Warrants are identical to the public warrants sold in the Initial Public Offering except that, so long as they are held by the Sponsor, Cantor, or their permitted transferees, the Private Placement Warrants (i) may not (including the Class A ordinary shares issuable upon exercise of these Private Placement Warrants), subject to certain limited exceptions, be transferred, assigned or sold by the holders until 30 days after the completion of the initial Business Combination, (ii) will be entitled to registration rights and (iii) with respect to Private Placement Warrants held by Cantor and/or its designees, will not be exercisable more than five years from the commencement of sales in the Initial Public Offering in accordance with Financial Industry Regulatory Authority (“FINRA”) Rule 5110(g)(8).</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Sponsor, DirectorCo, and the Company’s officers and directors have entered into letter agreements with the Company, pursuant to which they have agreed to (i) waive their redemption rights with respect to their founder shares and public shares in connection with the completion of the initial Business Combination; (ii) waive their redemption rights with respect to their founder shares and public shares in connection with a shareholder vote to approve an amendment to the Articles (A) to modify the substance or timing of the Company’s obligation to allow redemption in connection with the initial Business Combination or to redeem 100% of the public shares if the Company has not consummated an initial Business Combination within the Completion Window or (B) with respect to any other material provisions relating to shareholders’ rights or pre-initial Business Combination activity; (iii) waive their rights to liquidating distributions from the Trust Account with respect to their founder shares if the Company fails to complete the initial Business Combination within the Completion Window, although they will be entitled to liquidating distributions from the Trust Account with respect to any public shares they hold if the Company fails to complete the initial Business Combination within the Completion Window and to liquidating distributions from assets outside the Trust Account; and (iv) vote any founder shares held by them and any public shares purchased during or after the Initial Public Offering (including in open market and privately negotiated transactions, aside from shares they may purchase in compliance with the requirements of Rule 14e-5 under the Exchange Act, which would not be voted in favor of approving the Business Combination) in favor of the initial Business Combination.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CARTESIAN GROWTH CORPORATION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5. RELATED PARTY TRANSACTIONS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Founder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12, 2024, the Sponsor and DirectorCo made a capital contribution of an aggregate of $25,000, or approximately $0.004 per share, to cover certain of the Company’s expenses, for which the Company issued an aggregate of 5,750,000 founder shares to the Sponsor and DirectorCo. On May 1, 2025, pursuant to a share recapitalization, the Company issued an additional 1,150,000 founder shares to the Sponsor (with DirectorCo waiving its entitlement to be issued additional founder shares in connection therewith and directing the Company to issue its allotment to the Sponsor), resulting in the Company’s initial shareholders holding an aggregate of 6,900,000 founder shares. On May 2, 2025, the underwriters exercised their over-allotment option in full, which was settled as part of the closing of the Initial Public Offering. As a result of the underwriters’ election to fully exercise their over-allotment option, 900,000 founder shares are no longer subject to forfeiture by the Sponsor.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initial shareholders have agreed not to transfer, assign or sell any of their founder shares and any Class A ordinary shares issued upon conversion thereof until the earlier to occur of (i) one year after the completion of the initial Business Combination or (ii) the date on which the Company completes a liquidation, merger, share exchange or other similar transaction after the initial Business Combination that results in all of the Company’s shareholders having the right to exchange their Class A ordinary shares for cash, securities or other property. Any permitted transferees will be subject to the same restrictions and other agreements of the Company’s initial shareholders with respect to any founder shares (the “Lock-up”). Notwithstanding the foregoing, if the closing price of the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the founder shares will be released from the Lock-up.</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Promissory Note — Related Party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Sponsor had agreed to loan the Company an aggregate of up to $250,000 to be used for a portion of the expenses of the Initial Public Offering. The loan was non-interest bearing, unsecured and due at the earlier of May 31, 2025 or the closing of the Initial Public Offering. As of May 5, 2025, the Company had borrowed $250,000 under the Sponsor Promissory Note and was simultaneously paid with the closing of the Initial Public Offering. Borrowings under the Sponsor Promissory Note are no longer available.</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Administrative Services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Commencing on May 1, 2025, the effective date of the registration statements for the Initial Public Offering, the Company entered into an agreement with the Sponsor to pay an aggregate of $10,000 per month for office space, utilities, and secretarial and administrative support. For the three months ended March 31, 2026 and 2025, the Company incurred $30,000 and $0, respectively, in fees for these services. As of March 31, 2026 and December 31, 2025, the Company had accrued $60,000 and $30,000 on the condensed balance sheets, respectively.</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Loans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order to finance transaction costs in connection with a Business Combination, the Sponsor or an affiliate of the Sponsor or certain of the Company’s officers and directors may, but are not obligated to, loan the Company funds as may be required. If the Company completes a Business Combination, the Company would repay the Working Capital Loans. In the event that a Business Combination does not close, the Company may use a portion of the working capital held outside the Trust Account to repay the Working Capital Loans but no proceeds from the Trust Account would be used to repay the Working Capital Loans. Up to $1,500,000 of such Working Capital Loans may be convertible into warrants of the post Business Combination entity at a price of $1.00 per warrant at the option of the lender. The warrants would be identical to the Private Placement Warrants. As of March 31, 2026 and December 31, 2025, no such Working Capital Loans were outstanding.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CARTESIAN GROWTH CORPORATION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6. COMMITMENTS AND CONTINGENCIES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and Uncertainties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United States and global markets are experiencing volatility and disruption following the geopolitical instability resulting from the ongoing global conflicts in the Middle East, Europe, and Latin America. Although the length and impact of the ongoing conflicts are highly unpredictable, they could lead to market disruptions, including significant volatility in commodity prices, credit and capital markets, as well as supply chain interruptions and increased cyberattacks against U.S. companies. Additionally, any resulting sanctions could adversely affect the global economy and financial markets and lead to instability and lack of liquidity in capital markets.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July 4, 2025, the U.S. government enacted tax reform, commonly referred to as the One Big Beautiful Bill Act (“OBBB”). OBBB amends U.S. tax law, including provisions related to bonus depreciation, interest expense limitation, research and development, global intangible low-taxed income, foreign derived intangible income and base erosion and anti-abuse tax. The Company evaluated the provisions of the OBBB and determined that adoption of the new law did not have a material impact on its unaudited condensed financial statements or related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of the above mentioned factors, or any other negative impact on the global economy, capital markets or other geopolitical conditions, could adversely affect the Company’s search for an initial Business Combination and any target business with which the Company may ultimately consummate an initial Business Combination.</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holders of the founder shares (and the Class A ordinary shares issuable upon conversion of the founder shares), Private Placement Warrants (and the Class A ordinary shares underlying such Private Placement Warrants), and private placement equivalent-warrants that may be issued upon conversion of the Working Capital Loans have registration rights to require the Company to register a sale of any of the Company’s securities held by them and any other securities of the Company acquired by them prior to the consummation of the initial Business Combination pursuant to a registration rights agreement signed on May 1, 2025, the effective date of the registration statements for the Initial Public Offering.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completion of the initial Business Combination. Notwithstanding anything to the contrary, Cantor may only make a demand on one occasion and only during the five-year period beginning from the commencement of sales in the Initial Public Offering. In addition, Cantor may participate in a “piggy-back” registration only during the seven-year period beginning from the commencement of sales in the Initial Public Offering. The Company will bear the expenses incurred in connection with the filing of any such registration statements.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Underwriting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granted the underwriters a 45-day option from May 1, 2025, the effective date of the registration statements for the Initial Public Offering, to purchase up to an additional 3,600,000 Units to cover over-allotments, if any, at the Initial Public Offering price less underwriting discounts and commissions. On May 2, 2025, the underwriters fully exercised their over-allotment option, closing on the 3,600,000 additional Units simultaneously with the Initial Public Offering.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underwriters were entitled to a cash underwriting discount of $4,800,000, which was paid in cash to the underwriters at the closing of the Initial Public Offering.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Additionally, the underwriters are entitled to a deferred underwriting discount of 4.50% of the gross proceeds of the Initial Public Offering held in the Trust Account, other than the gross proceeds from Units sold pursuant to the underwriters’ over-allotment option, and 6.50% of the gross proceeds from Units sold pursuant to the underwriters’ over-allotment option, or $13,140,000 in the aggregate upon the completion of the Company’s initial Business Combination subject to the terms of the underwriting agreement.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CARTESIAN GROWTH CORPORATION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17, 2025, the Company entered into a Fee Modification Agreement with Cantor in connection with its contemplated business combination with Factorial Inc., pursuant to which Cantor agreed to modify the previously agreed $13,140,000 deferred underwriting commission. If the business combination with Factorial Inc. is consummated, the Company (or the target or successor) will pay Cantor a non-refundable modified deferred fee payable at closing equal to $3.75 million plus amounts based on the value of public shares not redeemed in the transaction, subject to an aggregate cap of $13.0 million.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Business Combination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17, 2025, the Company, Fenway MS, Inc., a Delaware corporation (“Merger Sub”), and Factorial Inc., a Delaware corporation (“Factorial”), entered into a Business Combination Agreement (as it may be amended, supplemented or otherwise modified from time to time, the “Business Combination Agreement”). The Business Combination Agreement and the transactions contemplated thereby (the “Business Combination”) were unanimously approved by the boards of directors and special committees comprised of independent and disinterested members of the boards of directors of each of the Company and Factorial. The Business Combination is expected to close in mid-2026, following the receipt of the requisite approvals of the Company’s shareholders and Factorial stockholders and the fulfillment of other customary closing conditions.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Amendment to Business Combination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26, 2026, the Company, Merger Sub and Factorial entered into an Amendment to the Business Combination Agreement (the “BCA Amendment”). The BCA Amendment, among other things, (A) amends the sixth paragraph of the Preamble and inserts a new clause (a) into Section 2.1 of the Business Combination Agreement to provide that the redemption of the Company’s shares in connection with the Closing of the Business Combination (the “Shareholder Redemption”) shall occur at least one day prior to the Domestication, thereby clarifying the timing and sequencing of the Shareholder Redemption relative to the Domestication; (B) amends certain definitions, including the definition of “Ancillary Documents” to remove references to the “CGC Private Warrant Exchange Agreement”, the definition of “Company Convertible Notes” to mean any convertible note or other equity-linked debt instrument convertible into Equity Securities of the Company or any of its subsidiaries outstanding as of the Merger Effective Time; (C) amends clause (b)(iii) of Section 5.8 of the Business Combination Agreement to bifurcate the previously singular “Nasdaq Proposal” into two distinct proposals to be submitted to the Company’s shareholders for approval: (i) the adoption and approval of the issuance of shares in connection with the transactions contemplated by the Business Combination Agreement and (ii) the adoption and approval of the issuance of shares in connection with the PIPE Financing (as defined below), and consequently update the definition of “Nasdaq Proposal” to read “Nasdaq Proposals;” and (D) amend and restate Sections 5.21 and 5.22 of the Business Combination Agreement to remove the provisions related to an exchange of the Company’s Public Warrants and Private Placement Warrants (the “Warrant Exchange”).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Sponsor Support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Concurrently with the execution of the Business Combination Agreement, the Company, Sponsor and Factorial entered into the Sponsor Support Agreement (the “Sponsor Support Agreement”), pursuant to which the Sponsor, as a holder of the Company’s Class B ordinary shares (the “Sponsor Shares”), has agreed to, among other things, (i) vote in favor of the Business Combination Agreement and the Business Combination, (ii) waive any adjustment to the conversion ratio set forth in the governing documents of the Company or any other anti-dilution or similar protection with respect to the Class B ordinary shares (whether resulting from the transactions contemplated by the Business Combination Agreement or otherwise), (iii) be bound by certain other covenants and agreements related to the Business Combination, (iv) be bound by certain transfer restrictions with respect to its shares in the Company prior to the closing of the Business Combination, (v) be subject to certain transfer restrictions provided in the bylaws to of New Factorial become effective at the closing of the Business Combination, and (vi) waive redemption rights with respect to the Sponsor Shares, in each case, on the terms and subject to the conditions set forth in the Sponsor Support Agreement.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March 26, 2026, Sponsor and Factorial entered into an Amendment to the Sponsor Support Agreement (the “SSA Amendment”). The SSA Amendment (a) deletes the provision in Section 1 of the Sponsor Support Agreement that required the Sponsor, until the closing of the Business Combination or the earlier termination of the Business Combination Agreement, to cause all of its Private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CARTESIAN GROWTH CORPORATION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Placement Warrants to be present for quorum purposes at any meeting or written consent of the Company warrant holders and to vote or consent such warrants in favor of the warrant agreement amendment contemplated by the Warrant Exchange; and (b) amends and restates Section 2 of the Sponsor Support Agreement in its entirety to read “[Reserved.],” thereby removing the provisions relating to the Warrant Exchange.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PIPE Financing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Concurrently with the execution of the Business Combination Agreement, the Company entered into a Stock Purchase Agreement (the “Sponsor Stock Purchase Agreement”) with an affiliate of the Sponsor (the “Sponsor Investor”) and a Stock Purchase Agreement (the “Institutional Investor Stock Purchase Agreement,” and together with the Sponsor Stock Purchase Agreement, “Investor Stock Purchase Agreements”) with a certain institutional investor (the “Institutional Investor,” and together with the Sponsor Investor, the “PIPE Investors”).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Investor Stock Purchase Agreements, the PIPE Investors agreed to subscribe for and purchase, and the Company agreed to issue and sell to the PIPE Investors, at the closing of the Business Combination, an aggregate of 9,927,184 shares of New Factorial Series A Common Stock, at an average subscription price of $10.08 per share (assuming a Redemption Price (as defined in the Company’s certificate of incorporation) of $10.30 per share) for aggregate gross proceeds of $100,000,000 (the “PIPE Financing”). The Institutional Investor subscribed for 7,500,000 shares of New Factorial Series A Common Stock at a subscription price of $10.00 per share, and the Sponsor Investor subscribed for 2,427,184 shares of New Factorial Series A Common Stock (assuming a Redemption Price of $10.30 per share) at a subscription price equal to the Redemption Price. Pursuant to the Investor Stock Purchase Agreements, the Sponsor will transfer at the closing of the Business Combination (which transfer may be indirectly through forfeiture and reissuance) an aggregate of 750,000 shares of New Factorial Series A Common Stock to the Institutional Investor and 250,000 shares of New Factorial Series A Common Stock to the Sponsor Investor. The average subscription prices are $9.09 per share and $9.34 per share for the Institutional Investor and the Sponsor Investor, respectively, assuming a Redemption Price of $10.30 per share and taking into account the foregoing transfers from the Sponsor.</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Registration Rights Agreement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closing of the Business Combination, New Factorial (the resulting post-Closing entity, “New Factorial”), Sponsor, Cantor and certain stockholders of Factorial will enter into an amended and restated registration rights agreement (the “Registration Rights Agreement”). Pursuant to the Registration Rights Agreement, among other things, New Factorial will agree that, within 30 calendar days following the closing of the Business Combination, New Factorial will file with the SEC (at New Factorial’s sole cost and expense) a registration statement registering the resale of certain shares of New Factorial Series A Common Stock held by or issuable to the parties thereto (the “Resale Registration Statement”), and New Factorial will use its commercially reasonable efforts to have the Resale Registration Statement declared effective as soon as reasonably practicable after the filing thereof. Such holders will be entitled to customary piggyback registration rights and demand registration rights, including underwritten demands.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7. SHAREHOLDERS’ DEFICIT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Preference Shares</w:t>
      </w:r>
      <w:r>
        <w:rPr>
          <w:rFonts w:ascii="Times New Roman;Times;serif" w:hAnsi="Times New Roman;Times;serif"/>
          <w:sz w:val="20"/>
        </w:rPr>
        <w:t> — The Company is authorized to issue a total of 1,000,000 preference shares at par value of $0.0001 each. At March 31, 2026 and December 31, 2025, there were no preference shares issued or outstanding.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Class A Ordinary Shares —</w:t>
      </w:r>
      <w:r>
        <w:rPr>
          <w:rFonts w:ascii="Times New Roman;Times;serif" w:hAnsi="Times New Roman;Times;serif"/>
          <w:sz w:val="20"/>
        </w:rPr>
        <w:t> The Company is authorized to issue a total of 200,000,000 Class A ordinary shares at par value of $0.0001 each. At March 31, 2026 and December 31, 2025, there were no shares of Class A ordinary shares issued or outstanding, excluding the 27,600,000 shares subject to possible redemption, respectively.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Class B Ordinary Shares —</w:t>
      </w:r>
      <w:r>
        <w:rPr>
          <w:rFonts w:ascii="Times New Roman;Times;serif" w:hAnsi="Times New Roman;Times;serif"/>
          <w:sz w:val="20"/>
        </w:rPr>
        <w:t xml:space="preserve"> The Company is authorized to issue a total of 20,000,000 Class B ordinary shares at par value of $0.0001 each. On November 12, 2024, the Company issued an aggregate of 5,750,000 Class B ordinary shares to the Sponsor and DirectorCo for $25,000, or approximately $0.004 per share. On May 1, 2025, pursuant to a share recapitalization, the Company issued an additional 1,150,000 founder shares to the Sponsor (with DirectorCo waiving its entitlement to be issued additional founder shares in connection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CARTESIAN GROWTH CORPORATION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therewith and directing the Company to issue its allotment to the Sponsor), resulting in the Company’s initial shareholders holding an aggregate of 6,900,000 founder shares. On May 2, 2025, the underwriters exercised their over-allotment option in full, which was settled as part of the closing of the Initial Public Offering. As a result of the underwriters’ election to fully exercise their over-allotment option, 900,000 founder shares are no longer subject to forfeiture by the Sponsor.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founder shares will automatically convert into Class A ordinary shares concurrently with or immediately following the consummation of the initial Business Combination or earlier at the option of the holder on a one-for-one basis, subject to adjustment for share subdivisions, share capitalizations, reorganizations, recapitalizations and the like, and subject to further adjustment as provided herein. In the case that additional Class A ordinary shares, or any other equity-linked securities, are issued or deemed issued in excess of the amounts sold in the Initial Public Offering and related to or in connection with the closing of the initial Business Combination, the ratio at which Class B ordinary shares convert into Class A ordinary shares will be adjusted (unless the holders of a majority of the outstanding Class B ordinary shares agree to waive such adjustment with respect to any such issuance or deemed issuance) so that the number of Class A ordinary shares issuable upon conversion of all Class B ordinary shares will equal, in the aggregate, 20% of the sum of (i) the total number of all Class A ordinary shares outstanding upon the completion of the Initial Public Offering (including any Class A ordinary shares issued pursuant to the underwriters’ over-allotment option and excluding the Class A ordinary shares underlying the Private Placement Warrants), plus (ii) all Class A ordinary shares and equity-linked securities issued or deemed issued, in connection with the closing of the initial Business Combination (excluding any shares or equity-linked securities issued, or to be issued, to any seller in the initial Business Combination and any private placement-equivalent warrants issued to the Sponsor or any of its affiliates or to the Company’s officers or directors upon conversion of Working Capital Loans) minus (iii) any redemptions of Class A ordinary shares; by public shareholders in connection with an initial business combination; provided that such conversion of founder shares will never occur on a less than one-for-one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Holders of record of the Company’s Class A ordinary shares and Class B ordinary shares are entitled to one vote for each share held on all matters to be voted on by shareholders. Unless specified in the Articles or as required by the Companies Act (Revised) of the Cayman Islands, as the same may be amended from time to time, or stock exchange rules, an ordinary resolution under Cayman Islands law and the Articles, which requires the affirmative vote of at least a majority of the votes cast by such shareholders as, being entitled to do so, vote in person or, where proxies are allowed, by proxy at the applicable general meeting of the Company, is generally required to approve any matter voted on by the Company’s shareholders. Approval of certain actions requires a special resolution under Cayman Islands law, which (except as specified below) requires the affirmative vote of at least two-thirds of the votes cast by such shareholders as, being entitled to do so, vote in person or, where proxies are allowed, by proxy at the applicable general meeting of the Company, and pursuant to the Articles, such actions include amending the Articles and approving a statutory merger or consolidation with another company. There is no cumulative voting with respect to the appointment of directors, meaning, following the Company’s initial Business Combination, the holders of more than 50% of the ordinary shares voted for the appointment of directors can elect all of the directors. Prior to the consummation of the initial Business Combination, only holders of the Class B ordinary shares will (i) have the right to vote on the appointment and removal of directors and (ii) be entitled to vote on continuing the Company in a jurisdiction outside the Cayman Islands (including any special resolution required to amend the constitutional documents or to adopt new constitutional documents, in each case, as a result of approving a transfer by way of continuation in a jurisdiction outside the Cayman Islands).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Holders of record of the Company’s Class A ordinary shares and Class B ordinary shares are entitled to one vote for each share held on all matters to be voted on by shareholders. Unless specified in the Articles or as required by the Companies Act (Revised) of the Cayman Islands, as the same may be amended from time to time, or stock exchange rules, an ordinary resolution under Cayman Islands law and the Articles, which requires the affirmative vote of at least a majority of the votes cast by such shareholders as, being entitled to do so, vote in person or, where proxies are allowed, by proxy at the applicable general meeting of the Company, is generally required to approve any matter voted on by the Company’s shareholders. Approval of certain actions requires a special resolution under Cayman Islands law, which (except as specified below) requires the affirmative vote of at least two-thirds of the votes cast by such shareholders as, being entitled to do so, vote in person or, where proxies are allowed, by proxy at the applicable general meeting of the Company, and pursuant to the Articles, such actions include amending the Articles and approving a statutory merger or consolidation with another company. There is no cumulative voting with respect to the appointment of directors, meaning, following the Company’s initial Business Combination, the holders of more than 50% of the ordinary shares voted for the appointment of directors can elect all of the directors. Prior to the consummation of the initial Business Combination, only holders of the Class B ordinary shares will (i) have the right to vote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CARTESIAN GROWTH CORPORATION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the appointment and removal of directors and (ii) be entitled to vote on continuing the Company in a jurisdiction outside the Cayman Islands (including any special resolution required to amend the constitutional documents or to adopt new constitutional documents, in each case, as a result of approving a transfer by way of continuation in a jurisdiction outside the Cayman Islands). Holders of the Class A ordinary shares will not be entitled to vote on these matters during such time. These provisions of the Articles may only be amended if approved by a special resolution passed by the affirmative vote of at least 90% (or, where such amendment is proposed in respect of the consummation of the initial Business Combination, two-thirds) of the votes cast by such shareholders as, being entitled to do so, vote in person or, where proxies are allowed, by proxy at the applicable general meeting of the Company.</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470" w:name="Tc_FV_FIY9Be0GMKyKfRZCgMw_6_0"/>
      <w:bookmarkStart w:id="471" w:name="Tc_bQHlcmZff0GLZYVB8frsPg_5_2"/>
      <w:bookmarkStart w:id="472" w:name="Tc_TbAtsvVy9EWzT8WQDHW_ew_5_0"/>
      <w:bookmarkStart w:id="473" w:name="Tc_ZzLeNvq3VEiEWvCtSEUILA_4_4"/>
      <w:bookmarkStart w:id="474" w:name="Tc_kbMhSe9ed0iTvTzk1Y38YA_4_0"/>
      <w:bookmarkStart w:id="475" w:name="Tc_02YkW8j09UeMElYfO23WfA_3_4"/>
      <w:bookmarkStart w:id="476" w:name="Tc_wCjWDjmvUUm7QWQWjWg0IA_3_0"/>
      <w:bookmarkStart w:id="477" w:name="Tc_-W4cK8Z0UUWmHLW3Cbf62Q_2_4"/>
      <w:bookmarkStart w:id="478" w:name="Tc_j-Q5SRh-jUKgjFaWBjvL3g_2_0"/>
      <w:bookmarkStart w:id="479" w:name="Tc_8LteLi4aQECAyyI_a_oqfA_1_2"/>
      <w:bookmarkStart w:id="480" w:name="Tc_14wtsFhEhU-SGw2dJkkeAg_2_7"/>
      <w:bookmarkStart w:id="481" w:name="Tc_WG0QGpyOjUCjcO8gyzepJA_2_4"/>
      <w:bookmarkStart w:id="482" w:name="Tc_t-DS6NNJP0ewBIb11NBwew_2_2"/>
      <w:bookmarkStart w:id="483" w:name="Tc_Q9S7MBjOi02xMN3FNE0h1A_2_0"/>
      <w:bookmarkStart w:id="484" w:name="Tc_SEhqhjMkTkCxAFmtH5xqmw_1_7"/>
      <w:bookmarkStart w:id="485" w:name="Tc_nnOq2fK8jUWEfjWryrUgRg_1_4"/>
      <w:bookmarkStart w:id="486" w:name="Tc_Q-XKJ8bT9Eef0VyA2C7SkQ_1_2"/>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r>
        <w:rPr>
          <w:rFonts w:ascii="Times New Roman;Times;serif" w:hAnsi="Times New Roman;Times;serif"/>
          <w:b/>
          <w:sz w:val="20"/>
        </w:rPr>
        <w:t>NOTE 8. FAIR VALUE MEASUREMENTS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674"/>
        <w:gridCol w:w="9531"/>
      </w:tblGrid>
      <w:tr>
        <w:trPr/>
        <w:tc>
          <w:tcPr>
            <w:tcW w:w="67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Level 1:</w:t>
            </w:r>
          </w:p>
        </w:tc>
        <w:tc>
          <w:tcPr>
            <w:tcW w:w="953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tc>
      </w:tr>
    </w:tbl>
    <w:p>
      <w:pPr>
        <w:pStyle w:val="TextBody"/>
        <w:pBdr/>
        <w:bidi w:val="0"/>
        <w:spacing w:before="0" w:after="0"/>
        <w:ind w:left="0" w:right="0" w:hanging="1080"/>
        <w:jc w:val="both"/>
        <w:rPr/>
      </w:pPr>
      <w:r>
        <w:rPr/>
        <w:t>​</w:t>
      </w:r>
    </w:p>
    <w:tbl>
      <w:tblPr>
        <w:tblW w:w="10205" w:type="dxa"/>
        <w:jc w:val="left"/>
        <w:tblInd w:w="0" w:type="dxa"/>
        <w:tblLayout w:type="fixed"/>
        <w:tblCellMar>
          <w:top w:w="0" w:type="dxa"/>
          <w:left w:w="0" w:type="dxa"/>
          <w:bottom w:w="0" w:type="dxa"/>
          <w:right w:w="0" w:type="dxa"/>
        </w:tblCellMar>
      </w:tblPr>
      <w:tblGrid>
        <w:gridCol w:w="689"/>
        <w:gridCol w:w="9516"/>
      </w:tblGrid>
      <w:tr>
        <w:trPr/>
        <w:tc>
          <w:tcPr>
            <w:tcW w:w="6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Level 2:</w:t>
            </w:r>
          </w:p>
        </w:tc>
        <w:tc>
          <w:tcPr>
            <w:tcW w:w="951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Observable inputs other than Level 1 inputs. Examples of Level 2 inputs include quoted prices in active markets for similar assets or liabilities and quoted prices for identical assets or liabilities in markets that are not active.</w:t>
            </w:r>
          </w:p>
        </w:tc>
      </w:tr>
    </w:tbl>
    <w:p>
      <w:pPr>
        <w:pStyle w:val="TextBody"/>
        <w:pBdr/>
        <w:bidi w:val="0"/>
        <w:spacing w:before="0" w:after="0"/>
        <w:ind w:left="0" w:right="0" w:hanging="1080"/>
        <w:jc w:val="both"/>
        <w:rPr/>
      </w:pPr>
      <w:r>
        <w:rPr/>
        <w:t>​</w:t>
      </w:r>
    </w:p>
    <w:tbl>
      <w:tblPr>
        <w:tblW w:w="10205" w:type="dxa"/>
        <w:jc w:val="left"/>
        <w:tblInd w:w="0" w:type="dxa"/>
        <w:tblLayout w:type="fixed"/>
        <w:tblCellMar>
          <w:top w:w="0" w:type="dxa"/>
          <w:left w:w="0" w:type="dxa"/>
          <w:bottom w:w="0" w:type="dxa"/>
          <w:right w:w="0" w:type="dxa"/>
        </w:tblCellMar>
      </w:tblPr>
      <w:tblGrid>
        <w:gridCol w:w="772"/>
        <w:gridCol w:w="9433"/>
      </w:tblGrid>
      <w:tr>
        <w:trPr/>
        <w:tc>
          <w:tcPr>
            <w:tcW w:w="77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Level 3:</w:t>
            </w:r>
          </w:p>
        </w:tc>
        <w:tc>
          <w:tcPr>
            <w:tcW w:w="943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Unobservable inputs based on assessment of the assumptions that market participants would use in pricing the asset or liability.</w:t>
            </w:r>
          </w:p>
        </w:tc>
      </w:tr>
    </w:tbl>
    <w:p>
      <w:pPr>
        <w:pStyle w:val="TextBody"/>
        <w:bidi w:val="0"/>
        <w:spacing w:before="0" w:after="0"/>
        <w:ind w:left="0" w:right="0" w:hanging="0"/>
        <w:jc w:val="both"/>
        <w:rPr/>
      </w:pPr>
      <w:r>
        <w:rPr/>
        <w:t>​</w:t>
      </w:r>
    </w:p>
    <w:tbl>
      <w:tblPr>
        <w:tblW w:w="7163" w:type="dxa"/>
        <w:jc w:val="left"/>
        <w:tblInd w:w="0" w:type="dxa"/>
        <w:tblLayout w:type="fixed"/>
        <w:tblCellMar>
          <w:top w:w="0" w:type="dxa"/>
          <w:left w:w="0" w:type="dxa"/>
          <w:bottom w:w="0" w:type="dxa"/>
          <w:right w:w="0" w:type="dxa"/>
        </w:tblCellMar>
      </w:tblPr>
      <w:tblGrid>
        <w:gridCol w:w="2911"/>
        <w:gridCol w:w="286"/>
        <w:gridCol w:w="496"/>
        <w:gridCol w:w="286"/>
        <w:gridCol w:w="211"/>
        <w:gridCol w:w="1141"/>
        <w:gridCol w:w="286"/>
        <w:gridCol w:w="223"/>
        <w:gridCol w:w="1323"/>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848485" cy="175260"/>
                      <wp:effectExtent l="0" t="0" r="0" b="0"/>
                      <wp:wrapNone/>
                      <wp:docPr id="79" name="Frame79"/>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81610" cy="175260"/>
                      <wp:effectExtent l="0" t="0" r="0" b="0"/>
                      <wp:wrapNone/>
                      <wp:docPr id="80" name="Frame8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314960" cy="175260"/>
                      <wp:effectExtent l="0" t="0" r="0" b="0"/>
                      <wp:wrapNone/>
                      <wp:docPr id="81" name="Frame81"/>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81610" cy="175260"/>
                      <wp:effectExtent l="0" t="0" r="0" b="0"/>
                      <wp:wrapNone/>
                      <wp:docPr id="82" name="Frame8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3"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724535" cy="175260"/>
                      <wp:effectExtent l="0" t="0" r="0" b="0"/>
                      <wp:wrapNone/>
                      <wp:docPr id="84" name="Frame8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81610" cy="175260"/>
                      <wp:effectExtent l="0" t="0" r="0" b="0"/>
                      <wp:wrapNone/>
                      <wp:docPr id="85" name="Frame8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41605" cy="175260"/>
                      <wp:effectExtent l="0" t="0" r="0" b="0"/>
                      <wp:wrapNone/>
                      <wp:docPr id="86" name="Frame86"/>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840105" cy="175260"/>
                      <wp:effectExtent l="0" t="0" r="0" b="0"/>
                      <wp:wrapNone/>
                      <wp:docPr id="87" name="Frame87"/>
                      <a:graphic xmlns:a="http://schemas.openxmlformats.org/drawingml/2006/main">
                        <a:graphicData uri="http://schemas.microsoft.com/office/word/2010/wordprocessingShape">
                          <wps:wsp>
                            <wps:cNvSpPr txBox="1"/>
                            <wps:spPr>
                              <a:xfrm>
                                <a:off x="0" y="0"/>
                                <a:ext cx="840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  ​ ​</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w:t>
            </w:r>
          </w:p>
        </w:tc>
        <w:tc>
          <w:tcPr>
            <w:tcW w:w="286" w:type="dxa"/>
            <w:tcBorders/>
            <w:vAlign w:val="center"/>
          </w:tcPr>
          <w:p>
            <w:pPr>
              <w:pStyle w:val="TableContents"/>
              <w:bidi w:val="0"/>
              <w:spacing w:before="0" w:after="0"/>
              <w:ind w:left="0" w:right="0" w:hanging="0"/>
              <w:jc w:val="center"/>
              <w:rPr/>
            </w:pPr>
            <w:r>
              <w:rPr/>
              <w:t>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286" w:type="dxa"/>
            <w:tcBorders/>
            <w:vAlign w:val="center"/>
          </w:tcPr>
          <w:p>
            <w:pPr>
              <w:pStyle w:val="TableContents"/>
              <w:bidi w:val="0"/>
              <w:spacing w:before="0" w:after="0"/>
              <w:ind w:left="0" w:right="0" w:hanging="0"/>
              <w:jc w:val="center"/>
              <w:rPr/>
            </w:pPr>
            <w:r>
              <w:rPr/>
              <w:t>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held in Trust Account</w:t>
            </w:r>
          </w:p>
        </w:tc>
        <w:tc>
          <w:tcPr>
            <w:tcW w:w="28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285,868,994</w:t>
            </w:r>
          </w:p>
        </w:tc>
        <w:tc>
          <w:tcPr>
            <w:tcW w:w="28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3"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283,377,276</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fair value of the public warrants at issuance was $3,132,600 or $0.227 per public warrant. The fair value of the private warrants at issuance was $1,567,638 or $0.231 per private warrant. The fair value of public and private warrants were determined using </w:t>
      </w:r>
      <w:r>
        <w:rPr>
          <w:rFonts w:ascii="Times New Roman;Times;serif" w:hAnsi="Times New Roman;Times;serif"/>
          <w:b w:val="false"/>
          <w:i w:val="false"/>
          <w:caps w:val="false"/>
          <w:smallCaps w:val="false"/>
          <w:sz w:val="20"/>
        </w:rPr>
        <w:t>Monte Carlo</w:t>
      </w:r>
      <w:r>
        <w:rPr>
          <w:rFonts w:ascii="Times New Roman;Times;serif" w:hAnsi="Times New Roman;Times;serif"/>
          <w:sz w:val="20"/>
        </w:rPr>
        <w:t xml:space="preserve"> Simulation Model. The public and private warrants have been classified within shareholders’ deficit and will not require remeasurement after issuance.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the quantitative information regarding market assumptions used in the valuation of the public and private warrants</w:t>
      </w:r>
    </w:p>
    <w:p>
      <w:pPr>
        <w:pStyle w:val="TextBody"/>
        <w:bidi w:val="0"/>
        <w:spacing w:before="0" w:after="0"/>
        <w:ind w:left="0" w:right="0" w:hanging="0"/>
        <w:jc w:val="both"/>
        <w:rPr/>
      </w:pPr>
      <w:r>
        <w:rPr/>
        <w:t>​</w:t>
      </w:r>
    </w:p>
    <w:tbl>
      <w:tblPr>
        <w:tblW w:w="7174" w:type="dxa"/>
        <w:jc w:val="left"/>
        <w:tblInd w:w="0" w:type="dxa"/>
        <w:tblLayout w:type="fixed"/>
        <w:tblCellMar>
          <w:top w:w="0" w:type="dxa"/>
          <w:left w:w="0" w:type="dxa"/>
          <w:bottom w:w="0" w:type="dxa"/>
          <w:right w:w="0" w:type="dxa"/>
        </w:tblCellMar>
      </w:tblPr>
      <w:tblGrid>
        <w:gridCol w:w="5491"/>
        <w:gridCol w:w="346"/>
        <w:gridCol w:w="275"/>
        <w:gridCol w:w="746"/>
        <w:gridCol w:w="316"/>
      </w:tblGrid>
      <w:tr>
        <w:trPr/>
        <w:tc>
          <w:tcPr>
            <w:tcW w:w="5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3486785" cy="175260"/>
                      <wp:effectExtent l="0" t="0" r="0" b="0"/>
                      <wp:wrapNone/>
                      <wp:docPr id="88" name="Frame88"/>
                      <a:graphic xmlns:a="http://schemas.openxmlformats.org/drawingml/2006/main">
                        <a:graphicData uri="http://schemas.microsoft.com/office/word/2010/wordprocessingShape">
                          <wps:wsp>
                            <wps:cNvSpPr txBox="1"/>
                            <wps:spPr>
                              <a:xfrm>
                                <a:off x="0" y="0"/>
                                <a:ext cx="3486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9"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74625" cy="175260"/>
                      <wp:effectExtent l="0" t="0" r="0" b="0"/>
                      <wp:wrapNone/>
                      <wp:docPr id="90" name="Frame90"/>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73710" cy="175260"/>
                      <wp:effectExtent l="0" t="0" r="0" b="0"/>
                      <wp:wrapNone/>
                      <wp:docPr id="91" name="Frame91"/>
                      <a:graphic xmlns:a="http://schemas.openxmlformats.org/drawingml/2006/main">
                        <a:graphicData uri="http://schemas.microsoft.com/office/word/2010/wordprocessingShape">
                          <wps:wsp>
                            <wps:cNvSpPr txBox="1"/>
                            <wps:spPr>
                              <a:xfrm>
                                <a:off x="0" y="0"/>
                                <a:ext cx="47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0660" cy="175260"/>
                      <wp:effectExtent l="0" t="0" r="0" b="0"/>
                      <wp:wrapNone/>
                      <wp:docPr id="92" name="Frame9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May 5, 2025</w:t>
            </w:r>
          </w:p>
        </w:tc>
        <w:tc>
          <w:tcPr>
            <w:tcW w:w="316" w:type="dxa"/>
            <w:tcBorders/>
            <w:vAlign w:val="center"/>
          </w:tcPr>
          <w:p>
            <w:pPr>
              <w:pStyle w:val="TableContents"/>
              <w:bidi w:val="0"/>
              <w:spacing w:before="0" w:after="0"/>
              <w:ind w:left="0" w:right="0" w:hanging="0"/>
              <w:jc w:val="center"/>
              <w:rPr/>
            </w:pPr>
            <w:r>
              <w:rPr/>
              <w:t> </w:t>
            </w:r>
          </w:p>
        </w:tc>
      </w:tr>
      <w:tr>
        <w:trPr/>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46" w:type="dxa"/>
            <w:tcBorders/>
            <w:shd w:fill="CCEEFF" w:val="clear"/>
            <w:vAlign w:val="center"/>
          </w:tcPr>
          <w:p>
            <w:pPr>
              <w:pStyle w:val="TableContents"/>
              <w:bidi w:val="0"/>
              <w:spacing w:before="0" w:after="0"/>
              <w:ind w:left="0" w:right="0" w:hanging="0"/>
              <w:jc w:val="left"/>
              <w:rPr/>
            </w:pPr>
            <w:r>
              <w:rPr/>
              <w:t> </w:t>
            </w:r>
          </w:p>
        </w:tc>
        <w:tc>
          <w:tcPr>
            <w:tcW w:w="275" w:type="dxa"/>
            <w:tcBorders/>
            <w:shd w:fill="CCEEFF" w:val="clear"/>
            <w:vAlign w:val="center"/>
          </w:tcPr>
          <w:p>
            <w:pPr>
              <w:pStyle w:val="TableContents"/>
              <w:bidi w:val="0"/>
              <w:spacing w:before="0" w:after="0"/>
              <w:ind w:left="0" w:right="0" w:hanging="0"/>
              <w:jc w:val="left"/>
              <w:rPr/>
            </w:pPr>
            <w:r>
              <w:rPr/>
              <w:t>​</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 free rate</w:t>
            </w:r>
          </w:p>
        </w:tc>
        <w:tc>
          <w:tcPr>
            <w:tcW w:w="3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 implied likelihood of completing a Business Combination</w:t>
            </w:r>
          </w:p>
        </w:tc>
        <w:tc>
          <w:tcPr>
            <w:tcW w:w="346" w:type="dxa"/>
            <w:tcBorders/>
            <w:shd w:fill="CCEEFF" w:val="clear"/>
            <w:vAlign w:val="center"/>
          </w:tcPr>
          <w:p>
            <w:pPr>
              <w:pStyle w:val="TableContents"/>
              <w:bidi w:val="0"/>
              <w:spacing w:before="0" w:after="0"/>
              <w:ind w:left="0" w:right="0" w:hanging="0"/>
              <w:jc w:val="left"/>
              <w:rPr/>
            </w:pPr>
            <w:r>
              <w:rPr/>
              <w:t> </w:t>
            </w:r>
          </w:p>
        </w:tc>
        <w:tc>
          <w:tcPr>
            <w:tcW w:w="275" w:type="dxa"/>
            <w:tcBorders/>
            <w:shd w:fill="CCEEFF" w:val="clear"/>
            <w:vAlign w:val="center"/>
          </w:tcPr>
          <w:p>
            <w:pPr>
              <w:pStyle w:val="TableContents"/>
              <w:bidi w:val="0"/>
              <w:spacing w:before="0" w:after="0"/>
              <w:ind w:left="0" w:right="0" w:hanging="0"/>
              <w:jc w:val="left"/>
              <w:rPr/>
            </w:pPr>
            <w:r>
              <w:rPr/>
              <w:t>​</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9.886</w:t>
            </w:r>
          </w:p>
        </w:tc>
        <w:tc>
          <w:tcPr>
            <w:tcW w:w="316" w:type="dxa"/>
            <w:tcBorders/>
            <w:vAlign w:val="center"/>
          </w:tcPr>
          <w:p>
            <w:pPr>
              <w:pStyle w:val="TableContents"/>
              <w:bidi w:val="0"/>
              <w:spacing w:before="0" w:after="0"/>
              <w:ind w:left="0" w:right="0" w:hanging="0"/>
              <w:jc w:val="left"/>
              <w:rPr/>
            </w:pPr>
            <w:r>
              <w:rPr/>
              <w:t>​</w:t>
            </w:r>
          </w:p>
        </w:tc>
      </w:tr>
      <w:tr>
        <w:trPr/>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terms (Yrs)</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CARTESIAN GROWTH CORPORATION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both"/>
        <w:rPr>
          <w:rFonts w:ascii="Times New Roman;Times;serif" w:hAnsi="Times New Roman;Times;serif"/>
          <w:sz w:val="20"/>
        </w:rPr>
      </w:pPr>
      <w:bookmarkStart w:id="487" w:name="Tc_LJB75OvYfEqs3NcAPcogNw_5_0"/>
      <w:bookmarkStart w:id="488" w:name="Tc_POn3kcvZpUGppvEhYA7w3w_4_0"/>
      <w:bookmarkStart w:id="489" w:name="Tc_a4E5G1QexUSo0HD1_EIp4Q_3_2"/>
      <w:bookmarkStart w:id="490" w:name="Tc_zyysAjeM50iLUmwZdtSEAw_3_0"/>
      <w:bookmarkStart w:id="491" w:name="Tc_dB6bV2lzo0qxjgET2kdk4A_2_0"/>
      <w:bookmarkStart w:id="492" w:name="Tc_k-vEE42tHE6kXZAUKF4fZQ_1_4"/>
      <w:bookmarkStart w:id="493" w:name="Tc_UNN5cCQoJki86wl5E51xPg_1_2"/>
      <w:bookmarkStart w:id="494" w:name="Tc_1YzKy46PCkWmvkwA4S9Z8Q_1_0"/>
      <w:bookmarkEnd w:id="487"/>
      <w:bookmarkEnd w:id="488"/>
      <w:bookmarkEnd w:id="489"/>
      <w:bookmarkEnd w:id="490"/>
      <w:bookmarkEnd w:id="491"/>
      <w:bookmarkEnd w:id="492"/>
      <w:bookmarkEnd w:id="493"/>
      <w:bookmarkEnd w:id="494"/>
      <w:r>
        <w:rPr>
          <w:rFonts w:ascii="Times New Roman;Times;serif" w:hAnsi="Times New Roman;Times;serif"/>
          <w:sz w:val="20"/>
        </w:rPr>
        <w:t>The market implied likelihood of completing a Business Combination was determined by analyzing the quoted market prices of the rights for similar companies that included rights in their units. The criteria used was:</w:t>
      </w:r>
    </w:p>
    <w:p>
      <w:pPr>
        <w:pStyle w:val="TextBody"/>
        <w:bidi w:val="0"/>
        <w:spacing w:before="0" w:after="0"/>
        <w:ind w:left="0" w:right="0" w:hanging="0"/>
        <w:jc w:val="left"/>
        <w:rPr/>
      </w:pPr>
      <w:r>
        <w:rPr/>
        <w:t>​</w:t>
      </w:r>
    </w:p>
    <w:tbl>
      <w:tblPr>
        <w:tblW w:w="4340" w:type="dxa"/>
        <w:jc w:val="left"/>
        <w:tblInd w:w="0" w:type="dxa"/>
        <w:tblLayout w:type="fixed"/>
        <w:tblCellMar>
          <w:top w:w="0" w:type="dxa"/>
          <w:left w:w="0" w:type="dxa"/>
          <w:bottom w:w="0" w:type="dxa"/>
          <w:right w:w="0" w:type="dxa"/>
        </w:tblCellMar>
      </w:tblPr>
      <w:tblGrid>
        <w:gridCol w:w="2671"/>
        <w:gridCol w:w="346"/>
        <w:gridCol w:w="466"/>
        <w:gridCol w:w="346"/>
        <w:gridCol w:w="511"/>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696085" cy="175260"/>
                      <wp:effectExtent l="0" t="0" r="0" b="0"/>
                      <wp:wrapNone/>
                      <wp:docPr id="93" name="Frame93"/>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95910" cy="175260"/>
                      <wp:effectExtent l="0" t="0" r="0" b="0"/>
                      <wp:wrapNone/>
                      <wp:docPr id="95" name="Frame9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324485" cy="175260"/>
                      <wp:effectExtent l="0" t="0" r="0" b="0"/>
                      <wp:wrapNone/>
                      <wp:docPr id="97" name="Frame9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Criteria</w:t>
            </w:r>
          </w:p>
        </w:tc>
        <w:tc>
          <w:tcPr>
            <w:tcW w:w="346" w:type="dxa"/>
            <w:tcBorders/>
            <w:vAlign w:val="center"/>
          </w:tcPr>
          <w:p>
            <w:pPr>
              <w:pStyle w:val="TableContents"/>
              <w:bidi w:val="0"/>
              <w:spacing w:before="0" w:after="0"/>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Low</w:t>
            </w:r>
          </w:p>
        </w:tc>
        <w:tc>
          <w:tcPr>
            <w:tcW w:w="346" w:type="dxa"/>
            <w:tcBorders/>
            <w:vAlign w:val="center"/>
          </w:tcPr>
          <w:p>
            <w:pPr>
              <w:pStyle w:val="TableContents"/>
              <w:bidi w:val="0"/>
              <w:spacing w:before="0" w:after="0"/>
              <w:ind w:left="0" w:right="0" w:hanging="0"/>
              <w:jc w:val="center"/>
              <w:rPr/>
            </w:pPr>
            <w:r>
              <w:rPr/>
              <w:t>  ​ ​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High</w:t>
            </w:r>
          </w:p>
        </w:tc>
      </w:tr>
      <w:tr>
        <w:trPr/>
        <w:tc>
          <w:tcPr>
            <w:tcW w:w="2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IPO proceeds ($M)</w:t>
            </w:r>
          </w:p>
        </w:tc>
        <w:tc>
          <w:tcPr>
            <w:tcW w:w="346" w:type="dxa"/>
            <w:tcBorders/>
            <w:shd w:fill="CCEEFF" w:val="clear"/>
            <w:vAlign w:val="center"/>
          </w:tcPr>
          <w:p>
            <w:pPr>
              <w:pStyle w:val="TableContents"/>
              <w:bidi w:val="0"/>
              <w:spacing w:before="0" w:after="0"/>
              <w:ind w:left="0" w:right="0" w:hanging="0"/>
              <w:jc w:val="center"/>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r>
      <w:tr>
        <w:trPr/>
        <w:tc>
          <w:tcPr>
            <w:tcW w:w="26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coverage</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Rights coverage (per unit)</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r>
      <w:tr>
        <w:trPr/>
        <w:tc>
          <w:tcPr>
            <w:tcW w:w="26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Remaining months to complete</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95" w:name="Tc_Nhen73Qj10KAjtYHwIvbgg_4_6"/>
      <w:bookmarkStart w:id="496" w:name="Tc_VpNH9h60ZkekpU7hAPjgdQ_4_5"/>
      <w:bookmarkStart w:id="497" w:name="Tc_lopIzZ4bTk-gMOEF-Ce1ww_4_2"/>
      <w:bookmarkStart w:id="498" w:name="Tc_KG9eqhhW0UimXNBGKJxavA_4_0"/>
      <w:bookmarkStart w:id="499" w:name="Tc_BzpwHGYUAkS-sMl4Mt2ISw_3_5"/>
      <w:bookmarkStart w:id="500" w:name="Tc_NT6Spvgsjka2Gwm84WtSUA_3_2"/>
      <w:bookmarkStart w:id="501" w:name="Tc_AQXRo5v10EaluWpdHK28Ug_3_0"/>
      <w:bookmarkStart w:id="502" w:name="Tc_-B4mADByv06ptBkIb19o9A_2_5"/>
      <w:bookmarkStart w:id="503" w:name="Tc_NnVjukJPdkGjAb5Zr8MmHA_2_2"/>
      <w:bookmarkStart w:id="504" w:name="Tc_nxZmqNZYhEesBcWQu9HVSw_1_2"/>
      <w:bookmarkStart w:id="505" w:name="_6b6b1165_2a61_4289_88c9_52b25540d40f"/>
      <w:bookmarkStart w:id="506" w:name="Tc_qzvB2auGmEOPlLbeW_K5uQ_3_5"/>
      <w:bookmarkStart w:id="507" w:name="Tc_i2XmUQjKEU657JBwcOjQTA_3_2"/>
      <w:bookmarkStart w:id="508" w:name="Tc_shttD542TEiI2X0cBwvILw_3_0"/>
      <w:bookmarkStart w:id="509" w:name="Tc_l_FX6T8L2Uu6dm2ujLRWBg_2_5"/>
      <w:bookmarkStart w:id="510" w:name="Tc_Xd3pNLk-10e9Qx7kROVLsw_2_2"/>
      <w:bookmarkStart w:id="511" w:name="Tc_Hf0mtHaBDEimljJ-GVPIJw_2_0"/>
      <w:bookmarkStart w:id="512" w:name="Tc_QADVpeR8hE2lolIKH5nhQQ_1_5"/>
      <w:bookmarkStart w:id="513" w:name="Tc_NSrKKk6Rd0Olo6_YsTXB7g_1_2"/>
      <w:bookmarkStart w:id="514" w:name="_f50b79b5_b83a_4e9d_84b0_cf8824d09093"/>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r>
        <w:rPr>
          <w:rFonts w:ascii="Times New Roman;Times;serif" w:hAnsi="Times New Roman;Times;serif"/>
          <w:b/>
          <w:sz w:val="20"/>
        </w:rPr>
        <w:t>NOTE 9. SEGMENT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ASC Topic 280, “Segment Reporting,” establishes standards for companies to report in their financial statement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CODM, or group, in deciding how to allocate resources and assess performance.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CODM has been identified as the Chief Financial Officer, who reviews the operating results for the Company as a whole to make decisions about allocating resources and assessing financial performance. Accordingly, management has determined that the Company only has one reportable segment.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CODM assesses performance for the single segment and decides how to allocate resources based on net income or loss. The measure of segment assets is reported on the condensed balance sheets as total assets. When evaluating the Company’s performance and making key decisions regarding resource allocation the CODM reviews several key metrics, which include the following:</w:t>
      </w:r>
    </w:p>
    <w:p>
      <w:pPr>
        <w:pStyle w:val="TextBody"/>
        <w:bidi w:val="0"/>
        <w:spacing w:before="0" w:after="240"/>
        <w:ind w:left="0" w:right="0" w:hanging="0"/>
        <w:jc w:val="both"/>
        <w:rPr/>
      </w:pPr>
      <w:r>
        <w:rPr/>
        <w:t>​</w:t>
      </w:r>
    </w:p>
    <w:tbl>
      <w:tblPr>
        <w:tblW w:w="6501" w:type="dxa"/>
        <w:jc w:val="left"/>
        <w:tblInd w:w="0" w:type="dxa"/>
        <w:tblLayout w:type="fixed"/>
        <w:tblCellMar>
          <w:top w:w="0" w:type="dxa"/>
          <w:left w:w="0" w:type="dxa"/>
          <w:bottom w:w="0" w:type="dxa"/>
          <w:right w:w="0" w:type="dxa"/>
        </w:tblCellMar>
      </w:tblPr>
      <w:tblGrid>
        <w:gridCol w:w="2911"/>
        <w:gridCol w:w="346"/>
        <w:gridCol w:w="211"/>
        <w:gridCol w:w="1141"/>
        <w:gridCol w:w="346"/>
        <w:gridCol w:w="223"/>
        <w:gridCol w:w="1323"/>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848485" cy="175260"/>
                      <wp:effectExtent l="0" t="0" r="0" b="0"/>
                      <wp:wrapNone/>
                      <wp:docPr id="98" name="Frame98"/>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9"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100"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724535" cy="175260"/>
                      <wp:effectExtent l="0" t="0" r="0" b="0"/>
                      <wp:wrapNone/>
                      <wp:docPr id="101" name="Frame10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41605" cy="175260"/>
                      <wp:effectExtent l="0" t="0" r="0" b="0"/>
                      <wp:wrapNone/>
                      <wp:docPr id="103" name="Frame103"/>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840105" cy="175260"/>
                      <wp:effectExtent l="0" t="0" r="0" b="0"/>
                      <wp:wrapNone/>
                      <wp:docPr id="104" name="Frame104"/>
                      <a:graphic xmlns:a="http://schemas.openxmlformats.org/drawingml/2006/main">
                        <a:graphicData uri="http://schemas.microsoft.com/office/word/2010/wordprocessingShape">
                          <wps:wsp>
                            <wps:cNvSpPr txBox="1"/>
                            <wps:spPr>
                              <a:xfrm>
                                <a:off x="0" y="0"/>
                                <a:ext cx="840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396,210</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624,163</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held in Trust Account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285,868,994</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3"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283,377,276</w:t>
            </w:r>
          </w:p>
        </w:tc>
      </w:tr>
    </w:tbl>
    <w:p>
      <w:pPr>
        <w:pStyle w:val="TextBody"/>
        <w:bidi w:val="0"/>
        <w:spacing w:before="0" w:after="0"/>
        <w:ind w:left="0" w:right="0" w:hanging="0"/>
        <w:jc w:val="left"/>
        <w:rPr>
          <w:shd w:fill="00FF00" w:val="clear"/>
        </w:rPr>
      </w:pPr>
      <w:r>
        <w:rPr>
          <w:shd w:fill="00FF00" w:val="clear"/>
        </w:rPr>
        <w:t>​</w:t>
      </w:r>
    </w:p>
    <w:tbl>
      <w:tblPr>
        <w:tblW w:w="7816" w:type="dxa"/>
        <w:jc w:val="left"/>
        <w:tblInd w:w="0" w:type="dxa"/>
        <w:tblLayout w:type="fixed"/>
        <w:tblCellMar>
          <w:top w:w="0" w:type="dxa"/>
          <w:left w:w="0" w:type="dxa"/>
          <w:bottom w:w="0" w:type="dxa"/>
          <w:right w:w="0" w:type="dxa"/>
        </w:tblCellMar>
      </w:tblPr>
      <w:tblGrid>
        <w:gridCol w:w="4396"/>
        <w:gridCol w:w="346"/>
        <w:gridCol w:w="268"/>
        <w:gridCol w:w="1183"/>
        <w:gridCol w:w="439"/>
        <w:gridCol w:w="268"/>
        <w:gridCol w:w="916"/>
      </w:tblGrid>
      <w:tr>
        <w:trPr/>
        <w:tc>
          <w:tcPr>
            <w:tcW w:w="4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791460" cy="175260"/>
                      <wp:effectExtent l="0" t="0" r="0" b="0"/>
                      <wp:wrapNone/>
                      <wp:docPr id="105" name="Frame105"/>
                      <a:graphic xmlns:a="http://schemas.openxmlformats.org/drawingml/2006/main">
                        <a:graphicData uri="http://schemas.microsoft.com/office/word/2010/wordprocessingShape">
                          <wps:wsp>
                            <wps:cNvSpPr txBox="1"/>
                            <wps:spPr>
                              <a:xfrm>
                                <a:off x="0" y="0"/>
                                <a:ext cx="279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70180" cy="175260"/>
                      <wp:effectExtent l="0" t="0" r="0" b="0"/>
                      <wp:wrapNone/>
                      <wp:docPr id="107" name="Frame107"/>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751205" cy="175260"/>
                      <wp:effectExtent l="0" t="0" r="0" b="0"/>
                      <wp:wrapNone/>
                      <wp:docPr id="108" name="Frame108"/>
                      <a:graphic xmlns:a="http://schemas.openxmlformats.org/drawingml/2006/main">
                        <a:graphicData uri="http://schemas.microsoft.com/office/word/2010/wordprocessingShape">
                          <wps:wsp>
                            <wps:cNvSpPr txBox="1"/>
                            <wps:spPr>
                              <a:xfrm>
                                <a:off x="0" y="0"/>
                                <a:ext cx="751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78765" cy="175260"/>
                      <wp:effectExtent l="0" t="0" r="0" b="0"/>
                      <wp:wrapNone/>
                      <wp:docPr id="109" name="Frame109"/>
                      <a:graphic xmlns:a="http://schemas.openxmlformats.org/drawingml/2006/main">
                        <a:graphicData uri="http://schemas.microsoft.com/office/word/2010/wordprocessingShape">
                          <wps:wsp>
                            <wps:cNvSpPr txBox="1"/>
                            <wps:spPr>
                              <a:xfrm>
                                <a:off x="0" y="0"/>
                                <a:ext cx="278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70180" cy="175260"/>
                      <wp:effectExtent l="0" t="0" r="0" b="0"/>
                      <wp:wrapNone/>
                      <wp:docPr id="110" name="Frame110"/>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81660" cy="175260"/>
                      <wp:effectExtent l="0" t="0" r="0" b="0"/>
                      <wp:wrapNone/>
                      <wp:docPr id="111" name="Frame11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7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r>
      <w:tr>
        <w:trPr/>
        <w:tc>
          <w:tcPr>
            <w:tcW w:w="43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4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39" w:type="dxa"/>
            <w:tcBorders/>
            <w:vAlign w:val="center"/>
          </w:tcPr>
          <w:p>
            <w:pPr>
              <w:pStyle w:val="TableContents"/>
              <w:bidi w:val="0"/>
              <w:spacing w:before="0" w:after="0"/>
              <w:ind w:left="0" w:right="0" w:hanging="0"/>
              <w:jc w:val="left"/>
              <w:rPr/>
            </w:pPr>
            <w:r>
              <w:rPr/>
              <w:t>  ​ ​ ​</w:t>
            </w:r>
          </w:p>
        </w:tc>
        <w:tc>
          <w:tcPr>
            <w:tcW w:w="11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costs</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811,301</w:t>
            </w:r>
          </w:p>
        </w:tc>
        <w:tc>
          <w:tcPr>
            <w:tcW w:w="43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20,449</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earned on investments held in Trust Account</w:t>
            </w:r>
          </w:p>
        </w:tc>
        <w:tc>
          <w:tcPr>
            <w:tcW w:w="34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2,491,718</w:t>
            </w:r>
          </w:p>
        </w:tc>
        <w:tc>
          <w:tcPr>
            <w:tcW w:w="43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 and administrative costs are reviewed and monitored by the CODM to manage and forecast cash to ensure enough capital is available to complete a Business Combination or similar transaction within the Completion Window. The CODM also reviews general and administrative costs to manage, maintain and enforce all contractual agreements to ensure costs are aligned with all agreements and budget. General and administrative costs are the significant segment expenses provided to the CODM on a regular basis.</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10. SUBSEQUENT EVENTS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evaluated subsequent events and transactions that occurred after the condensed balance sheet date and through the date that the unaudited condensed financial statements were issued. Based upon this review, the Company did not identify any subsequent events that would have required adjustment or disclosure in the unaudited condensed financial statements.</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b/>
          <w:sz w:val="20"/>
        </w:rPr>
      </w:pPr>
      <w:bookmarkStart w:id="515" w:name="Item2ManagementsDiscussionandAnalysisofF"/>
      <w:bookmarkStart w:id="516" w:name="_25fce74a_d1da_4c4b_a6e2_13f01bdf475b"/>
      <w:bookmarkEnd w:id="515"/>
      <w:bookmarkEnd w:id="516"/>
      <w:r>
        <w:rPr>
          <w:rFonts w:ascii="Times New Roman;Times;serif" w:hAnsi="Times New Roman;Times;serif"/>
          <w:b/>
          <w:sz w:val="20"/>
        </w:rPr>
        <w:t>Item 2. Management’s Discussion and Analysis of Financial Condition and Results of Operations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References in this Quarterly Report on Form 10-Q (this “Quarterly Report”) to “we,” “us,” “our” or the “Company” refer to Cartesian Growth Corporation III. References to our “management” or our “management team” refer to our officers and directors, and references to the “Sponsor” refer to CGC III Sponsor LLC. The following discussion and analysis of the Company’s financial condition and results of operations should be read in conjunction with the unaudited condensed financial statements and the notes thereto contained elsewhere in this Quarterly Report. Certain information contained in the discussion and analysis set forth below includes forward-looking statements that involve risks and uncertainties.</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Special Note Regarding Forward-Looking Statements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This Quarterly Report includes “forward-looking statements” within the meaning of Section 27A of the Securities Act of 1933, as amended (the “Securities Act”), and Section 21E of the Securities Exchange Act of 1934, as amended (the “Exchange Act”),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this Quarterly Report and the Annual Report on Form 10-K filed with the U.S. Securities and Exchange Commission (the “SEC”) on March 23, 2026 (the “2025 Annual Report”).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We are a blank check company incorporated on October 29, 2024 as a Cayman Islands exempted company and formed for the purpose of effecting a merger, amalgamation, share exchange, asset acquisition, share purchase, reorganization or similar business combination with one or more businesses or entities (“Business Combination”). We intend to effectuate our initial Business Combination using cash derived from the proceeds of the Initial Public Offering and the Private Placement (as defined and described below), our shares, debt or a combination of cash, shares and debt.</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While we may pursue our initial Business Combination in any business industry or sector, we are focused on seeking high-growth businesses with proven or potential transnational operations or outlooks in order to capitalize on the experience, reputation, and network of our management team. Furthermore, we seek target businesses where we believe we will have an opportunity to drive ongoing value creation after our initial Business Combination is completed.</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We expect to continue to incur significant costs in the pursuit of our acquisition plans. We cannot assure you that our plans to complete our initial Business Combination will be successful.</w:t>
      </w:r>
    </w:p>
    <w:p>
      <w:pPr>
        <w:pStyle w:val="TextBody"/>
        <w:bidi w:val="0"/>
        <w:spacing w:before="0" w:after="220"/>
        <w:ind w:left="0" w:right="0" w:hanging="0"/>
        <w:jc w:val="both"/>
        <w:rPr>
          <w:rFonts w:ascii="Times New Roman;Times;serif" w:hAnsi="Times New Roman;Times;serif"/>
          <w:b/>
          <w:sz w:val="20"/>
        </w:rPr>
      </w:pPr>
      <w:r>
        <w:rPr>
          <w:rFonts w:ascii="Times New Roman;Times;serif" w:hAnsi="Times New Roman;Times;serif"/>
          <w:b/>
          <w:sz w:val="20"/>
        </w:rPr>
        <w:t>Business Combination Agreement</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On December 17, 2025, the Company, Fenway MS, Inc., a Delaware corporation (“Merger Sub”), and Factorial Inc., a Delaware corporation (“Factorial”), entered into a Business Combination Agreement (as it may be amended, supplemented or otherwise modified from time to time, the “Business Combination Agreement”). The Business Combination Agreement and the transactions contemplated thereby (the “Proposed Business Combination”) were unanimously approved by the boards of directors and special committees comprised of independent and disinterested members of the boards of directors of each of the Company and Factorial. The Proposed Business Combination is expected to close in mid-2026, following the receipt of the requisite approvals of the Company’s shareholders and Factorial stockholders and the fulfillment of other customary closing conditions.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both"/>
        <w:rPr>
          <w:rFonts w:ascii="Times New Roman;Times;serif" w:hAnsi="Times New Roman;Times;serif"/>
          <w:b/>
          <w:sz w:val="20"/>
        </w:rPr>
      </w:pPr>
      <w:r>
        <w:rPr>
          <w:rFonts w:ascii="Times New Roman;Times;serif" w:hAnsi="Times New Roman;Times;serif"/>
          <w:b/>
          <w:sz w:val="20"/>
        </w:rPr>
        <w:t>Amendment to Business Combination Agreement</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On March 26, 2026, the Company, Merger Sub and Factorial entered into an Amendment to the Business Combination Agreement (the “BCA Amendment”). The BCA Amendment, among other things, (A) amends the sixth paragraph of the Preamble and inserts a new clause (a) into Section 2.1 of the Business Combination Agreement to provide that the Shareholder Redemption shall occur at least one day prior to the Domestication, thereby clarifying the timing and sequencing of the “Shareholder Redemption relative to the Domestication; (B) amends certain definitions, including the definition of “Ancillary Documents” to remove references to the “CGC Private Warrant Exchange Agreement,” the definition of “Company Convertible Notes” to mean any convertible note or other equity-linked debt instrument convertible into Equity Securities of the Company or any of its subsidiaries outstanding as of the Merger Effective Time; (C) amends clause (b)(iii) of Section 5.8 of the Business Combination Agreement to bifurcate the previously singular “Nasdaq Proposal” into two distinct proposals to be submitted to the Company’s shareholders for approval: (i) the adoption and approval of the issuance of shares in connection with the transactions contemplated by the Business Combination Agreement and (ii) the adoption and approval of the issuance of CGC Shares in connection with the PIPE Financing, and consequently update the definition of “Nasdaq Proposal” to read “Nasdaq Proposals;” and (D) amend and restate Sections 5.21 and 5.22 of the Business Combination Agreement to remove the provisions related to the Warrant Exchange.</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We have neither engaged in any operations nor generated any revenues to date. Our only activities from October 29, 2024 (inception) through March 31, 2026 were organizational activities and those necessary to prepare for the Initial Public Offering, and subsequent to the Initial Public Offering, identifying a target company for our initial Business Combination. We do not expect to generate any operating revenues until after the completion of our initial Business Combination. Subsequent to the Initial Public Offering, we generate non-operating income in the form of interest income on marketable securities held in the trust account established for the benefit of our public shareholders (the “Trust Account”), with Continental Stock Transfer &amp; Trust Company acting as trustee. We incur expenses as a result of being a public company (for legal, financial reporting, accounting and auditing compliance), as well as for due diligence expenses in connection with searching for, and completing, our initial Business Combination.</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For the three months ended March 31, 2026, we had a net income of $1,680,417, which consisted of interest earned on investments held in the Trust Account of $2,491,718, offset by general and administrative costs of $811,301.</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For the three months ended March 31, 2025, we had a net loss of $20,449, which consisted of general and administrative costs.</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Liquidity and Capital Resources and Going Concern</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Until the consummation of the Initial Public Offering, our only source of liquidity was an initial purchase of Class B ordinary shares, par value $0.0001 per share (“founder shares”), by the Sponsor and CGC III Sponsor DirectorCo LLC (“DirectorCo” and together with the Sponsor in such capacity, our “initial shareholders”), and a loan from the Sponsor pursuant to an unsecured promissory note (the “Sponsor Promissory Note”). As of May 5, 2025, we had borrowed $250,000 under the Sponsor Promissory Note, which was repaid simultaneously with the closing of the Initial Public Offering.</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On May 5, 2025, we consummated the Initial Public Offering of 27,600,000 units (the “Units”) at $10.00 per Unit, which included the full exercise by the underwriters of their over-allotment option of 3,600,000 Units. Each Unit consists of one Class A ordinary share, par value $0.0001 per share (“Class A ordinary shares”), and one-half of one redeemable warrant. Simultaneously with the closing of the Initial Public Offering, we consummated the sale of an aggregate of 6,800,000 private placement warrants (the “Private Placement Warrants”), at a price of $1.00 per warrant, in a private placement to the Sponsor and Cantor Fitzgerald &amp; Co. (“Cantor”), the representative of the underwriters of the Initial Public Offering, generating gross proceeds of $6,800,000 (the “Private Placement”).</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Following the Initial Public Offering, including the full exercise of the over-allotment option, and the Private Placement, a total of $276,000,000 ($10.00 per Unit) was placed in the Trust Account. We incurred $18,821,468 of transaction costs, consisting of $4,800,000 of cash underwriting commissions, $13,140,000 of deferred underwriting commissions, and $881,468 of other offering costs (including repayment of the Sponsor Promissory Note).</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For the three months ended March 31, 2026, cash used in operating activities was $227,953. Net income of $1,680,417 was affected by interest earned on investments held in the Trust Account of $2,491,718. Changes in operating assets and liabilities provided $583,348 of cash for operating activities.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For the three months ended March 31, 2025, cash used in operating activities was $0. Net loss of $20,449 was affected by payment of expenses through promissory note – related party of $20,449.</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As of March 31, 2026, we had marketable securities held in the Trust Account of $285,868,994 (including approximately $9,868,994 of interest income) consisting of mutual funds primarily invested in U.S. Treasury Bills with a maturity of 185 days or less. We may withdraw interest from the Trust Account to pay taxes, if any. We intend to use substantially all of the funds held in the Trust Account, including any amounts representing interest earned on the Trust Account (excluding deferred underwriting commissions and less taxes payable, if any), net of redemptions, to complete our initial Business Combination. To the extent that our share capital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As of March 31, 2026, we had cash of $396,210.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structure, negotiate and complete an initial Business Combination, and to pay for directors and officers liability insurance premiums.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In order to fund working capital deficiencies or finance transaction costs in connection with an intended initial Business Combination, the Sponsor or an affiliate of the Sponsor or certain of our officers and directors may, but are not obligated to, loan us funds as may be required (“Working Capital Loans”). If we complete our initial Business Combination, we would repay such loaned amounts. In the event that our initial Business Combination does not close, we may use a portion of the funds held outside the Trust Account to repay such loaned amounts but no proceeds from the Trust Account would be used for such repayment. Up to $1,500,000 of such Working Capital Loans may be convertible into warrants of the post Business Combination entity at a price of $1.00 per warrant at the option of the lender. Such warrants would be identical to the Private Placement Warrants. As of March 31, 2026 and December 31, 2025, no such Working Capital Loans were outstanding.</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In connection with our assessment of going concern considerations in accordance with Accounting Standards Codification (“ASC”) 205-40, “Presentation of Financial Statements - Going Concern,” management has determined that our liquidity condition raises substantial doubt about the Company’s ability to continue as a going concern. No adjustments have been made to the carrying amounts of assets or liabilities should the Company be required to liquidate after the Completion Window.</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We believe we will need to raise additional funds in order to meet the expenditures required for operating our business prior to our initial Business Combination. Moreover, we may need to obtain additional financing either to complete our initial Business Combination or because we become obligated to redeem a significant number of our public shares upon consummation of our initial Business Combination, in which case we may issue additional securities or incur debt in connection with such initial Business Combination.</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We have no obligations, assets or liabilities, which would be considered off-balance sheet arrangements as of March 31, 2026.</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Contractual Obligations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We do not have any long-term debt obligations, capital lease obligations, operating lease obligations, purchase obligations or other long-term liabilities, other than an agreement to pay the Sponsor an aggregate of $10,000 per month for office space, utilities and secretarial and administrative support. We began incurring these fees on May 1, 2025 and will continue to incur these fees monthly until the earlier of the completion of our initial Business Combination and our liquidation.</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We granted the underwriters of the Initial Public Offering a 45-day option from May 1, 2025, the effective date of the registration statements for the Initial Public Offering, to purchase up to an additional 3,600,000 Units to cover over-allotments, if any, at the Initial Public Offering price less underwriting discounts and commissions. On May 2, 2025, the underwriters fully exercised their over-allotment option, closing on the 3,600,000 additional Units simultaneously with the Initial Public Offering.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underwriters of the Initial Public Offering are entitled to a deferred underwriting discount of 4.50% of the gross proceeds of the Initial Public Offering held in the Trust Account, other than the gross proceeds from Units sold pursuant to the underwriters’ over-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allotment option, and 6.50% of the gross proceeds from Units sold pursuant to the underwriters’ over-allotment option, or $13,140,000 in the aggregate. Subject to the terms of the underwriting agreement for the Initial Public Offering, the deferred underwriting discount (i) will become payable to such underwriters from the amounts held in the Trust Account solely in the event that we complete our initial Business Combination and (ii) will be waived by such underwriters in the event that we do not complete our initial Business Combination.</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On December 17, 2025, we entered into a Fee Modification Agreement with Cantor in connection with its contemplated business combination with Factorial Inc., pursuant to which Cantor agreed to modify the previously agreed $13,140,000 deferred underwriting commission. If the business combination with Factorial Inc. is consummated, we (or the target or successor) will pay Cantor a non-refundable modified deferred fee payable at closing equal to $3.75 million plus amounts based on the value of public shares not redeemed in the transaction, subject to an aggregate cap of $13.0 million.</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The holders of the founder shares (and the Class A ordinary shares issuable upon conversion of the founder shares), Private Placement Warrants (and the Class A ordinary shares underlying such Private Placement Warrants), and private placement equivalent-warrants that may be issued upon conversion of the Working Capital Loans have registration rights to require us to register a sale of any of our securities held by them and any other securities of the Company acquired by them prior to the consummation of our initial Business Combination pursuant to a registration rights agreement signed on May 1, 2025, the effective date of the registration statements for the Initial Public Offering. The holders of these securities are entitled to make up to three demands, excluding short form demands, that we register such securities. In addition, the holders have certain “piggy-back” registration rights with respect to registration statements filed subsequent to the completion of our initial Business Combination. Notwithstanding anything to the contrary, Cantor may only make a demand on one occasion and only during the five-year period beginning from the commencement of sales in the Initial Public Offering. In addition, Cantor may participate in a “piggy-back” registration only during the seven-year period beginning from the commencement of sales in the Initial Public Offering. We will bear the expenses incurred in connection with the filing of any such registration statements.</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Critical Accounting Estimates and Accounting Policies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The preparation of the unaudited condensed financial statements in conformity with GAAP requires our management to make estimates and assumptions that affect the reported amounts of assets and liabilities, and disclosure of contingent assets and liabilities at the date of the unaudited condensed financial statements and the reported amounts of revenues and expenses during the reporting period. Making estimates requires management to exercise significant judgment. It is at least reasonably possible that the estimate of the effect of a condition, situation or set of circumstances that existed at the date of the unaudited condensed financial statements, which management considered in formulating its estimate, could change in the near term due to one or more future confirming events. Accordingly, the actual results could differ significantly from those estimates. We have identified the following critical accounting estimates and accounting policies:</w:t>
      </w:r>
    </w:p>
    <w:p>
      <w:pPr>
        <w:pStyle w:val="TextBody"/>
        <w:bidi w:val="0"/>
        <w:spacing w:before="0" w:after="220"/>
        <w:ind w:left="0" w:right="0" w:hanging="0"/>
        <w:jc w:val="both"/>
        <w:rPr>
          <w:rFonts w:ascii="Times New Roman;Times;serif" w:hAnsi="Times New Roman;Times;serif"/>
          <w:i/>
          <w:sz w:val="20"/>
        </w:rPr>
      </w:pPr>
      <w:r>
        <w:rPr>
          <w:rFonts w:ascii="Times New Roman;Times;serif" w:hAnsi="Times New Roman;Times;serif"/>
          <w:i/>
          <w:sz w:val="20"/>
        </w:rPr>
        <w:t>Warrant Instruments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We accounted for the public warrants and Private Placement Warrants issued in connection with the Initial Public Offering and the private placement in accordance with the guidance contained in FASB ASC Topic 815, “Derivatives and Hedging”. Accordingly, the Company evaluated and classified the warrant instruments under equity treatment at their assigned values. The public warrants have been classified within shareholders’ deficit and will not require remeasurement after issuance.</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The fair value of the public warrants at issuance was determined using a Monte Carlo simulation model. The valuation required the use of significant assumptions, including expected share price volatility, risk-free interest rate, market-implied probability of completing a business combination, our share price, and the expected remaining term of the warrants. Changes in these assumptions could have a material impact on the estimated fair value of the warrants.</w:t>
      </w:r>
    </w:p>
    <w:p>
      <w:pPr>
        <w:pStyle w:val="TextBody"/>
        <w:bidi w:val="0"/>
        <w:spacing w:before="0" w:after="220"/>
        <w:ind w:left="0" w:right="0" w:hanging="0"/>
        <w:jc w:val="both"/>
        <w:rPr>
          <w:rFonts w:ascii="Times New Roman;Times;serif" w:hAnsi="Times New Roman;Times;serif"/>
          <w:i/>
          <w:sz w:val="20"/>
        </w:rPr>
      </w:pPr>
      <w:r>
        <w:rPr>
          <w:rFonts w:ascii="Times New Roman;Times;serif" w:hAnsi="Times New Roman;Times;serif"/>
          <w:i/>
          <w:sz w:val="20"/>
        </w:rPr>
        <w:t>Ordinary Shares Subject to Possible Redemption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public shares contain a redemption feature which allows for the redemption of such public shares in connection with our liquidation, or if there is a shareholder vote or tender offer in connection with our initial Business Combination. In accordance with ASC 480-10-S99, we classify public shares subject to redemption outside of permanent equity as the redemption provisions are not solely within our control. We recognize changes in redemption value immediately as they occur and will adjust the carrying value of redeemable shares to equal the redemption value at the end of each reporting period. Immediately upon the closing of the Initial Public Offering, we recognized the accretion from initial book value to redemption value. The change in the carrying value of redeemable shares will result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in charges against additional paid-in capital (to the extent available) and then to accumulated deficit. Accordingly, as of March 31, 2026 and December 31, 2025, Class A ordinary shares subject to possible redemption are presented at redemption value as temporary equity, outside of the shareholders’ deficit section of our condensed balance sheets.</w:t>
      </w:r>
    </w:p>
    <w:p>
      <w:pPr>
        <w:pStyle w:val="TextBody"/>
        <w:bidi w:val="0"/>
        <w:spacing w:before="0" w:after="220"/>
        <w:ind w:left="0" w:right="0" w:hanging="0"/>
        <w:jc w:val="both"/>
        <w:rPr>
          <w:rFonts w:ascii="Times New Roman;Times;serif" w:hAnsi="Times New Roman;Times;serif"/>
          <w:i/>
          <w:sz w:val="20"/>
        </w:rPr>
      </w:pPr>
      <w:r>
        <w:rPr>
          <w:rFonts w:ascii="Times New Roman;Times;serif" w:hAnsi="Times New Roman;Times;serif"/>
          <w:i/>
          <w:sz w:val="20"/>
        </w:rPr>
        <w:t>Net Income (Loss) Per Ordinary Share</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We comply with accounting and disclosure requirements of FASB ASC Topic 260, “Earnings Per Share.” Net income (loss) per ordinary share is computed by dividing net income (loss) by the weighted average number of shares of ordinary shares outstanding for the period. We have two classes of ordinary shares, which are referred to as redeemable Class A ordinary shares and non-redeemable Class A and Class B ordinary shares. Remeasurement associated with the redeemable shares of Class A ordinary shares is excluded from income (loss) per ordinary share as the redemption value approximates fair value.</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The calculation of diluted income (loss) per ordinary share does not consider the effect of the warrants issued in connection with the Initial Public Offering and the Private Placement Warrants since the exercise of the warrants is contingent upon the occurrence of future events. The warrants are exercisable to purchase 20,600,000 Class A ordinary shares in the aggregate. As of March 31, 2026 and December 31, 2025, we did not have any dilutive securities or other contracts that could, potentially, be exercised or converted into ordinary shares that then share in our earnings.</w:t>
      </w:r>
    </w:p>
    <w:p>
      <w:pPr>
        <w:pStyle w:val="TextBody"/>
        <w:bidi w:val="0"/>
        <w:spacing w:before="0" w:after="220"/>
        <w:ind w:left="0" w:right="0" w:hanging="0"/>
        <w:jc w:val="both"/>
        <w:rPr>
          <w:rFonts w:ascii="Times New Roman;Times;serif" w:hAnsi="Times New Roman;Times;serif"/>
          <w:i/>
          <w:sz w:val="20"/>
        </w:rPr>
      </w:pPr>
      <w:r>
        <w:rPr>
          <w:rFonts w:ascii="Times New Roman;Times;serif" w:hAnsi="Times New Roman;Times;serif"/>
          <w:i/>
          <w:sz w:val="20"/>
        </w:rPr>
        <w:t>Recent Accounting Standards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Management does not believe that any recently issued, but not yet effective, accounting standards, if currently adopted, would have a material effect on our unaudited condensed financial statements.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517" w:name="Item3QuantitativeandQualitativeDisclosur"/>
      <w:bookmarkStart w:id="518" w:name="_f026fd5b_c879_4963_b4a2_c6ceb425c288"/>
      <w:bookmarkEnd w:id="517"/>
      <w:bookmarkEnd w:id="518"/>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 smaller reporting company as defined by Rule 12b-2 of the Exchange Act and are not required to provide the information otherwise required under this item.</w:t>
      </w:r>
    </w:p>
    <w:p>
      <w:pPr>
        <w:pStyle w:val="TextBody"/>
        <w:bidi w:val="0"/>
        <w:spacing w:before="0" w:after="240"/>
        <w:ind w:left="0" w:right="0" w:hanging="0"/>
        <w:jc w:val="left"/>
        <w:rPr>
          <w:rFonts w:ascii="Times New Roman;Times;serif" w:hAnsi="Times New Roman;Times;serif"/>
          <w:b/>
          <w:sz w:val="20"/>
        </w:rPr>
      </w:pPr>
      <w:bookmarkStart w:id="519" w:name="Item4ControlsandProcedures_639045"/>
      <w:bookmarkStart w:id="520" w:name="_f8826fb9_861e_4ec6_982f_9995b48aeca4"/>
      <w:bookmarkEnd w:id="519"/>
      <w:bookmarkEnd w:id="520"/>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supervision and with the participation of our management, including our principal executive officer and principal financial officer, we conducted an evaluation of the effectiveness of our disclosure controls and procedures, as such term is defined in Rules 13a-15(e) and 15d-15(e) under the Exchange Act, as of the end of the fiscal period ended March 31, 2026. Based on this evaluation, our principal executive officer and principal financial officer have concluded that during the period covered by this report, our disclosure controls and procedures were effective at a reasonable assurance level.</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was no change in our internal control over financial reporting that occurred during the quarter ended March 31, 2026 that has materially affected, or is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21" w:name="PARTIIOTHERINFORMATION_449603"/>
      <w:bookmarkStart w:id="522" w:name="_d6cce349_54f3_4b8e_a440_00cd814bdc59"/>
      <w:bookmarkEnd w:id="521"/>
      <w:bookmarkEnd w:id="522"/>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523" w:name="Item1LegalProceedings_701065"/>
      <w:bookmarkEnd w:id="523"/>
      <w:r>
        <w:rPr>
          <w:rFonts w:ascii="Times New Roman;Times;serif" w:hAnsi="Times New Roman;Times;serif"/>
          <w:b/>
          <w:sz w:val="20"/>
        </w:rPr>
        <w:t>Item 1. Legal Proceedings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524" w:name="Item1ARiskFactors_695825"/>
      <w:bookmarkStart w:id="525" w:name="_eeaaacb2_68e3_4197_b91d_a04b15626bcc"/>
      <w:bookmarkEnd w:id="524"/>
      <w:bookmarkEnd w:id="525"/>
      <w:r>
        <w:rPr>
          <w:rFonts w:ascii="Times New Roman;Times;serif" w:hAnsi="Times New Roman;Times;serif"/>
          <w:b/>
          <w:sz w:val="20"/>
        </w:rPr>
        <w:t>Item 1A. Risk Factors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Factors that could cause our actual results to differ materially from those in this Quarterly Report include the risk factors described in the 2025 Annual Report. Any of these factors could result in a significant or material adverse effect on our results of operations or financial condition. Additional risk factors not presently known to us or that we currently deem immaterial may also impair our business or results of operations. As of the date of this Quarterly Report, there have been no material changes to the risk factors disclosed in the 2025 Annual Report, except we may disclose changes to such factors or disclose additional factors from time to time in our future filings with the SEC.</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526" w:name="Item2UnregisteredSalesofEquitySecurities"/>
      <w:bookmarkStart w:id="527" w:name="_ce3545df_3f1b_4220_a678_eb843426ade3"/>
      <w:bookmarkEnd w:id="526"/>
      <w:bookmarkEnd w:id="527"/>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certain subscription agreements dated October 29, 2024, on November 12, 2024, our initial shareholders paid an aggregate of $25,000, or approximately $0.004 per share, to cover certain of our offering costs in exchange for an aggregate of 5,750,000 founder shares. On May 1, 2025, pursuant to a share recapitalization, we issued an additional 1,150,000 founder shares to the Sponsor (with DirectorCo waiving its entitlement to be issued additional founder shares in connection therewith and directing its allotment to be issued to the Sponsor), resulting in our initial shareholders holding an aggregate of 6,900,000 founder shares. The foregoing issuances were made pursuant to the exemption from registration contained in Section 4(a)(2) of the Securities Act. No underwriting discounts or commissions were paid with respect to such issuances. The founder shares are automatically convertible into Class A ordinary shares concurrently with or immediately following the consummation of our initial Business Combination, or earlier at the option of the holder, on a one-for-one basis, subject to adjustment.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May 5, 2025, we consummated the Initial Public Offering of 27,600,000 Units, which included the full exercise by the underwriters of their over-allotment option of 3,600,000 Units. The Units were sold at an offering price of $10.00 per Unit, generating total gross proceeds of $276,000,000. Each Unit consists of one Class A ordinary share and one-half of one redeemable warrant, with each whole warrant entitling the holder thereof to purchase one Class A ordinary share at an exercise price of $11.50 per share, subject to adjustment. The warrants will become exercisable 30 days after the completion of our initial Business Combination and will expire five years after the completion of our initial Business Combination, or earlier upon redemption or liquidation.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Cantor served as the sole book-running manager for the Initial Public Offering. The securities in the Initial Public Offering were registered under the Securities Act on Registration Statements on Form S-1 (File Nos. 333-284565 and 333-286920). Such registration statements became effective on May 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Simultaneously with the closing of the Initial Public Offering, we consummated the sale of an aggregate of 6,800,000 Private Placement Warrants, at a price of $1.00 per warrant, in a private placement to the Sponsor and Cantor, the representative of the underwriters of the Initial Public Offering, generating gross proceeds of $6,800,000. Of those 6,800,000 Private Placement Warrants, the Sponsor purchased 4,400,000 Private Placement Warrants and Cantor purchased 2,400,000 Private Placement Warrants. The foregoing issuances in the Private Placement were made pursuant to the exemption from registration contained in Section 4(a)(2) of the Securities Act. No underwriting discounts or commissions were paid with respect to such issuances.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Private Placement Warrants are identical to the warrants underlying the Units sold in the Initial Public Offering, except that so long as they are held by the initial purchasers or their permitted transferees, they (i) may not (including the Class A ordinary shares issuable upon exercise of the Private Placement Warrants), subject to certain limited exceptions, be transferred, assigned or sold by the holders until 30 days after the completion of our initial Business Combination, (ii) are entitled to registration rights and (iii) with respect to Private Placement Warrants held by Cantor and/or its designees, will not be exercisable more than five years from the commencement of sales in the Initial Public Offering in accordance with FINRA Rule 5110(g)(8).</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the gross proceeds received from the Initial Public Offering and the Private Placement, an aggregate of $276,000,000 ($10.00 per Unit) was placed in the Trust Account.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paid a total of $18,821,468 of transaction costs, consisting of $4,800,000 of cash underwriting commissions, $13,140,000 of deferred underwriting commissions (see additional discussion in Part I, Item 2 of this Quarterly Report), and $881,468 of other offering costs (including repayment of the Sponsor Promissory Note).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a description of the use of the proceeds generated in the Initial Public Offering, see Part I, Item 2 of this Quarterly Report.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528" w:name="Item3DefaultsUponSeniorSecurities_755967"/>
      <w:bookmarkStart w:id="529" w:name="_06e3358b_2d0d_48fd_85d6_04225e95f4b3"/>
      <w:bookmarkEnd w:id="528"/>
      <w:bookmarkEnd w:id="529"/>
      <w:r>
        <w:rPr>
          <w:rFonts w:ascii="Times New Roman;Times;serif" w:hAnsi="Times New Roman;Times;serif"/>
          <w:b/>
          <w:sz w:val="20"/>
        </w:rPr>
        <w:t>Item 3. Defaults Upon Senior Securities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530" w:name="Item4MineSafetyDisclosures_952065"/>
      <w:bookmarkStart w:id="531" w:name="_8cac2ed8_fd7c_4c48_8b7a_0c46ec430c1b"/>
      <w:bookmarkEnd w:id="530"/>
      <w:bookmarkEnd w:id="531"/>
      <w:r>
        <w:rPr>
          <w:rFonts w:ascii="Times New Roman;Times;serif" w:hAnsi="Times New Roman;Times;serif"/>
          <w:b/>
          <w:sz w:val="20"/>
        </w:rPr>
        <w:t>Item 4. Mine Safety Disclosures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532" w:name="Item5OtherInformation_79743"/>
      <w:bookmarkStart w:id="533" w:name="_9f9c2d36_28e2_49d0_b20a_54c5603ed388"/>
      <w:bookmarkEnd w:id="532"/>
      <w:bookmarkEnd w:id="533"/>
      <w:r>
        <w:rPr>
          <w:rFonts w:ascii="Times New Roman;Times;serif" w:hAnsi="Times New Roman;Times;serif"/>
          <w:b/>
          <w:sz w:val="20"/>
        </w:rPr>
        <w:t>Item 5. Other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34" w:name="Item6Exhibits_619042"/>
      <w:bookmarkStart w:id="535" w:name="_1ab1925f_763e_4dbe_a3f0_0c114eb796a8"/>
      <w:bookmarkEnd w:id="534"/>
      <w:bookmarkEnd w:id="535"/>
      <w:r>
        <w:rPr>
          <w:rFonts w:ascii="Times New Roman;Times;serif" w:hAnsi="Times New Roman;Times;serif"/>
          <w:b/>
          <w:sz w:val="20"/>
        </w:rPr>
        <w:t>Item 6. Exhibits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exhibits are filed as part of, or incorporated by reference into, this Quarterly Report.</w:t>
      </w:r>
    </w:p>
    <w:tbl>
      <w:tblPr>
        <w:tblW w:w="10205" w:type="dxa"/>
        <w:jc w:val="left"/>
        <w:tblInd w:w="0" w:type="dxa"/>
        <w:tblLayout w:type="fixed"/>
        <w:tblCellMar>
          <w:top w:w="0" w:type="dxa"/>
          <w:left w:w="0" w:type="dxa"/>
          <w:bottom w:w="0" w:type="dxa"/>
          <w:right w:w="0" w:type="dxa"/>
        </w:tblCellMar>
      </w:tblPr>
      <w:tblGrid>
        <w:gridCol w:w="780"/>
        <w:gridCol w:w="346"/>
        <w:gridCol w:w="9079"/>
      </w:tblGrid>
      <w:tr>
        <w:trPr/>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95300" cy="175260"/>
                      <wp:effectExtent l="0" t="0" r="0" b="0"/>
                      <wp:wrapNone/>
                      <wp:docPr id="112" name="Frame112"/>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90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765165" cy="175260"/>
                      <wp:effectExtent l="0" t="0" r="0" b="0"/>
                      <wp:wrapNone/>
                      <wp:docPr id="113" name="Frame113"/>
                      <a:graphic xmlns:a="http://schemas.openxmlformats.org/drawingml/2006/main">
                        <a:graphicData uri="http://schemas.microsoft.com/office/word/2010/wordprocessingShape">
                          <wps:wsp>
                            <wps:cNvSpPr txBox="1"/>
                            <wps:spPr>
                              <a:xfrm>
                                <a:off x="0" y="0"/>
                                <a:ext cx="5765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80"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w:t>
            </w:r>
          </w:p>
        </w:tc>
        <w:tc>
          <w:tcPr>
            <w:tcW w:w="346" w:type="dxa"/>
            <w:tcBorders/>
            <w:vAlign w:val="center"/>
          </w:tcPr>
          <w:p>
            <w:pPr>
              <w:pStyle w:val="TableContents"/>
              <w:bidi w:val="0"/>
              <w:spacing w:before="0" w:after="0"/>
              <w:ind w:left="0" w:right="0" w:hanging="0"/>
              <w:jc w:val="left"/>
              <w:rPr/>
            </w:pPr>
            <w:r>
              <w:rPr/>
              <w:t>  ​ ​ ​</w:t>
            </w:r>
          </w:p>
        </w:tc>
        <w:tc>
          <w:tcPr>
            <w:tcW w:w="9079"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 of Exhibit</w:t>
            </w:r>
          </w:p>
        </w:tc>
      </w:tr>
      <w:tr>
        <w:trPr/>
        <w:tc>
          <w:tcPr>
            <w:tcW w:w="780" w:type="dxa"/>
            <w:tcBorders>
              <w:top w:val="single" w:sz="8" w:space="0" w:color="000000"/>
            </w:tcBorders>
            <w:shd w:fill="CCEEFF" w:val="clear"/>
            <w:tcMar>
              <w:top w:w="28"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2.1</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9079" w:type="dxa"/>
            <w:tcBorders>
              <w:top w:val="single" w:sz="8" w:space="0" w:color="000000"/>
            </w:tcBorders>
            <w:shd w:fill="CCEEFF" w:val="clear"/>
            <w:tcMar>
              <w:top w:w="28" w:type="dxa"/>
            </w:tcMar>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Amendment to Business Combination Agreement, dated as of March 26, 2026, by and among the Cartesian Growth Corporation III, Fenway MS, Inc. and Factorial Inc.</w:t>
              </w:r>
            </w:hyperlink>
          </w:p>
        </w:tc>
      </w:tr>
      <w:tr>
        <w:trPr/>
        <w:tc>
          <w:tcPr>
            <w:tcW w:w="780" w:type="dxa"/>
            <w:tcBorders/>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10.1</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9079"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Amendment to Sponsor Support Agreement, dated as of March 26, 2026, by and among CGC III Sponsor LLC and Factorial Inc.</w:t>
              </w:r>
            </w:hyperlink>
          </w:p>
        </w:tc>
      </w:tr>
      <w:tr>
        <w:trPr/>
        <w:tc>
          <w:tcPr>
            <w:tcW w:w="780" w:type="dxa"/>
            <w:tcBorders/>
            <w:shd w:fill="CCEEFF" w:val="cle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46" w:type="dxa"/>
            <w:tcBorders/>
            <w:shd w:fill="CCEEFF" w:val="clear"/>
            <w:vAlign w:val="center"/>
          </w:tcPr>
          <w:p>
            <w:pPr>
              <w:pStyle w:val="TableContents"/>
              <w:bidi w:val="0"/>
              <w:spacing w:before="0" w:after="0"/>
              <w:ind w:left="0" w:right="0" w:hanging="0"/>
              <w:jc w:val="left"/>
              <w:rPr/>
            </w:pPr>
            <w:r>
              <w:rPr/>
              <w:t>​</w:t>
            </w:r>
          </w:p>
        </w:tc>
        <w:tc>
          <w:tcPr>
            <w:tcW w:w="9079" w:type="dxa"/>
            <w:tcBorders/>
            <w:shd w:fill="CCEEFF" w:val="clear"/>
            <w:vAlign w:val="center"/>
          </w:tcPr>
          <w:p>
            <w:pPr>
              <w:pStyle w:val="TableContents"/>
              <w:bidi w:val="0"/>
              <w:spacing w:before="0" w:after="0"/>
              <w:ind w:left="0" w:right="0" w:hanging="0"/>
              <w:jc w:val="both"/>
              <w:rPr/>
            </w:pPr>
            <w:hyperlink w:anchor="tmb-20260331xex31d1.htm">
              <w:r>
                <w:rPr>
                  <w:rStyle w:val="InternetLink"/>
                  <w:rFonts w:ascii="Times New Roman;Times;serif" w:hAnsi="Times New Roman;Times;serif"/>
                  <w:b w:val="false"/>
                  <w:i w:val="false"/>
                  <w:caps w:val="false"/>
                  <w:smallCaps w:val="false"/>
                  <w:sz w:val="20"/>
                </w:rPr>
                <w:t>Certification of Principal Executive Officer Pursuant to Securities Exchange Act Rules 13a-14(a) and 15d-14(a), as adopted Pursuant to Section 302 of the Sarbanes-Oxley Act of 2002.</w:t>
              </w:r>
            </w:hyperlink>
          </w:p>
        </w:tc>
      </w:tr>
      <w:tr>
        <w:trPr/>
        <w:tc>
          <w:tcPr>
            <w:tcW w:w="780"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w:t>
            </w:r>
          </w:p>
        </w:tc>
        <w:tc>
          <w:tcPr>
            <w:tcW w:w="9079" w:type="dxa"/>
            <w:tcBorders/>
            <w:vAlign w:val="center"/>
          </w:tcPr>
          <w:p>
            <w:pPr>
              <w:pStyle w:val="TableContents"/>
              <w:bidi w:val="0"/>
              <w:spacing w:before="0" w:after="0"/>
              <w:ind w:left="0" w:right="0" w:hanging="0"/>
              <w:jc w:val="both"/>
              <w:rPr/>
            </w:pPr>
            <w:hyperlink w:anchor="tmb-20260331xex31d2.htm">
              <w:r>
                <w:rPr>
                  <w:rStyle w:val="InternetLink"/>
                  <w:rFonts w:ascii="Times New Roman;Times;serif" w:hAnsi="Times New Roman;Times;serif"/>
                  <w:b w:val="false"/>
                  <w:i w:val="false"/>
                  <w:caps w:val="false"/>
                  <w:smallCaps w:val="false"/>
                  <w:sz w:val="20"/>
                </w:rPr>
                <w:t>Certification of Principal Financial Officer Pursuant to Securities Exchange Act Rules 13a-14(a) and 15d-14(a), as adopted Pursuant to Section 302 of the Sarbanes-Oxley Act of 2002.</w:t>
              </w:r>
            </w:hyperlink>
          </w:p>
        </w:tc>
      </w:tr>
      <w:tr>
        <w:trPr/>
        <w:tc>
          <w:tcPr>
            <w:tcW w:w="780" w:type="dxa"/>
            <w:tcBorders/>
            <w:shd w:fill="CCEEFF" w:val="cle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346" w:type="dxa"/>
            <w:tcBorders/>
            <w:shd w:fill="CCEEFF" w:val="clear"/>
            <w:vAlign w:val="center"/>
          </w:tcPr>
          <w:p>
            <w:pPr>
              <w:pStyle w:val="TableContents"/>
              <w:bidi w:val="0"/>
              <w:spacing w:before="0" w:after="0"/>
              <w:ind w:left="0" w:right="0" w:hanging="0"/>
              <w:jc w:val="left"/>
              <w:rPr/>
            </w:pPr>
            <w:r>
              <w:rPr/>
              <w:t>​</w:t>
            </w:r>
          </w:p>
        </w:tc>
        <w:tc>
          <w:tcPr>
            <w:tcW w:w="9079" w:type="dxa"/>
            <w:tcBorders/>
            <w:shd w:fill="CCEEFF" w:val="clear"/>
            <w:vAlign w:val="center"/>
          </w:tcPr>
          <w:p>
            <w:pPr>
              <w:pStyle w:val="TableContents"/>
              <w:bidi w:val="0"/>
              <w:spacing w:before="0" w:after="0"/>
              <w:ind w:left="0" w:right="0" w:hanging="0"/>
              <w:jc w:val="both"/>
              <w:rPr/>
            </w:pPr>
            <w:hyperlink w:anchor="tmb-20260331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780"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before="0" w:after="0"/>
              <w:ind w:left="0" w:right="0" w:hanging="0"/>
              <w:jc w:val="left"/>
              <w:rPr/>
            </w:pPr>
            <w:r>
              <w:rPr/>
              <w:t>​</w:t>
            </w:r>
          </w:p>
        </w:tc>
        <w:tc>
          <w:tcPr>
            <w:tcW w:w="9079" w:type="dxa"/>
            <w:tcBorders/>
            <w:vAlign w:val="center"/>
          </w:tcPr>
          <w:p>
            <w:pPr>
              <w:pStyle w:val="TableContents"/>
              <w:bidi w:val="0"/>
              <w:spacing w:before="0" w:after="0"/>
              <w:ind w:left="0" w:right="0" w:hanging="0"/>
              <w:jc w:val="both"/>
              <w:rPr/>
            </w:pPr>
            <w:hyperlink w:anchor="tmb-20260331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780" w:type="dxa"/>
            <w:tcBorders/>
            <w:shd w:fill="CCEEFF" w:val="cle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346" w:type="dxa"/>
            <w:tcBorders/>
            <w:shd w:fill="CCEEFF" w:val="clear"/>
            <w:vAlign w:val="center"/>
          </w:tcPr>
          <w:p>
            <w:pPr>
              <w:pStyle w:val="TableContents"/>
              <w:bidi w:val="0"/>
              <w:spacing w:before="0" w:after="0"/>
              <w:ind w:left="0" w:right="0" w:hanging="0"/>
              <w:jc w:val="left"/>
              <w:rPr/>
            </w:pPr>
            <w:r>
              <w:rPr/>
              <w:t>​</w:t>
            </w:r>
          </w:p>
        </w:tc>
        <w:tc>
          <w:tcPr>
            <w:tcW w:w="9079"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780"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0"/>
              <w:ind w:left="0" w:right="0" w:hanging="0"/>
              <w:jc w:val="left"/>
              <w:rPr/>
            </w:pPr>
            <w:r>
              <w:rPr/>
              <w:t>​</w:t>
            </w:r>
          </w:p>
        </w:tc>
        <w:tc>
          <w:tcPr>
            <w:tcW w:w="907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80" w:type="dxa"/>
            <w:tcBorders/>
            <w:shd w:fill="CCEEFF" w:val="cle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346" w:type="dxa"/>
            <w:tcBorders/>
            <w:shd w:fill="CCEEFF" w:val="clear"/>
            <w:vAlign w:val="center"/>
          </w:tcPr>
          <w:p>
            <w:pPr>
              <w:pStyle w:val="TableContents"/>
              <w:bidi w:val="0"/>
              <w:spacing w:before="0" w:after="0"/>
              <w:ind w:left="0" w:right="0" w:hanging="0"/>
              <w:jc w:val="left"/>
              <w:rPr/>
            </w:pPr>
            <w:r>
              <w:rPr/>
              <w:t>​</w:t>
            </w:r>
          </w:p>
        </w:tc>
        <w:tc>
          <w:tcPr>
            <w:tcW w:w="9079"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80"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before="0" w:after="0"/>
              <w:ind w:left="0" w:right="0" w:hanging="0"/>
              <w:jc w:val="left"/>
              <w:rPr/>
            </w:pPr>
            <w:r>
              <w:rPr/>
              <w:t>​</w:t>
            </w:r>
          </w:p>
        </w:tc>
        <w:tc>
          <w:tcPr>
            <w:tcW w:w="907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80" w:type="dxa"/>
            <w:tcBorders/>
            <w:shd w:fill="CCEEFF" w:val="cle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346" w:type="dxa"/>
            <w:tcBorders/>
            <w:shd w:fill="CCEEFF" w:val="clear"/>
            <w:vAlign w:val="center"/>
          </w:tcPr>
          <w:p>
            <w:pPr>
              <w:pStyle w:val="TableContents"/>
              <w:bidi w:val="0"/>
              <w:spacing w:before="0" w:after="0"/>
              <w:ind w:left="0" w:right="0" w:hanging="0"/>
              <w:jc w:val="left"/>
              <w:rPr/>
            </w:pPr>
            <w:r>
              <w:rPr/>
              <w:t>​</w:t>
            </w:r>
          </w:p>
        </w:tc>
        <w:tc>
          <w:tcPr>
            <w:tcW w:w="9079"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80"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before="0" w:after="0"/>
              <w:ind w:left="0" w:right="0" w:hanging="0"/>
              <w:jc w:val="left"/>
              <w:rPr/>
            </w:pPr>
            <w:r>
              <w:rPr/>
              <w:t>​</w:t>
            </w:r>
          </w:p>
        </w:tc>
        <w:tc>
          <w:tcPr>
            <w:tcW w:w="907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80" w:type="dxa"/>
            <w:tcBorders/>
            <w:shd w:fill="CCEEFF" w:val="cle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shd w:fill="CCEEFF" w:val="clear"/>
            <w:vAlign w:val="center"/>
          </w:tcPr>
          <w:p>
            <w:pPr>
              <w:pStyle w:val="TableContents"/>
              <w:bidi w:val="0"/>
              <w:spacing w:before="0" w:after="0"/>
              <w:ind w:left="0" w:right="0" w:hanging="0"/>
              <w:jc w:val="left"/>
              <w:rPr/>
            </w:pPr>
            <w:r>
              <w:rPr/>
              <w:t>​</w:t>
            </w:r>
          </w:p>
        </w:tc>
        <w:tc>
          <w:tcPr>
            <w:tcW w:w="9079"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Filed herewith.</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994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These certifications are furnished to the SEC pursuant to Section 906 of the Sarbanes-Oxley Act of 2002 and are deemed not filed for purposes of Section 18 of the Securities Exchange Act of 1934, as amended, nor shall they be deemed incorporated by reference in any filing under the Securities Act of 1933, except as shall be expressly set forth by specific reference in such filing.</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an exhibit to the Company’s Current Report on Form 8-K (File No. 001-42629), filed with the SEC on March 27, 2026.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36" w:name="SIGNATURES_422716"/>
      <w:bookmarkStart w:id="537" w:name="_9b5dfd32_e796_4483_8e76_2bdc4a6979d5"/>
      <w:bookmarkEnd w:id="536"/>
      <w:bookmarkEnd w:id="537"/>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138" w:type="dxa"/>
        <w:jc w:val="left"/>
        <w:tblInd w:w="0" w:type="dxa"/>
        <w:tblLayout w:type="fixed"/>
        <w:tblCellMar>
          <w:top w:w="0" w:type="dxa"/>
          <w:left w:w="0" w:type="dxa"/>
          <w:bottom w:w="0" w:type="dxa"/>
          <w:right w:w="0" w:type="dxa"/>
        </w:tblCellMar>
      </w:tblPr>
      <w:tblGrid>
        <w:gridCol w:w="1741"/>
        <w:gridCol w:w="631"/>
        <w:gridCol w:w="376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105535" cy="175260"/>
                      <wp:effectExtent l="0" t="0" r="0" b="0"/>
                      <wp:wrapNone/>
                      <wp:docPr id="114" name="Frame114"/>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00685" cy="175260"/>
                      <wp:effectExtent l="0" t="0" r="0" b="0"/>
                      <wp:wrapNone/>
                      <wp:docPr id="115" name="Frame11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391410" cy="175260"/>
                      <wp:effectExtent l="0" t="0" r="0" b="0"/>
                      <wp:wrapNone/>
                      <wp:docPr id="116" name="Frame116"/>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439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CARTESIAN GROWTH CORPORATION III</w:t>
            </w:r>
          </w:p>
        </w:tc>
      </w:tr>
      <w:tr>
        <w:trPr/>
        <w:tc>
          <w:tcPr>
            <w:tcW w:w="1741" w:type="dxa"/>
            <w:tcBorders/>
            <w:vAlign w:val="center"/>
          </w:tcPr>
          <w:p>
            <w:pPr>
              <w:pStyle w:val="TableContents"/>
              <w:bidi w:val="0"/>
              <w:spacing w:before="0" w:after="0"/>
              <w:ind w:left="0" w:right="0" w:hanging="0"/>
              <w:jc w:val="left"/>
              <w:rPr/>
            </w:pPr>
            <w:r>
              <w:rPr/>
              <w:t>​</w:t>
            </w:r>
          </w:p>
        </w:tc>
        <w:tc>
          <w:tcPr>
            <w:tcW w:w="4397" w:type="dxa"/>
            <w:gridSpan w:val="2"/>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Peter Yu</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766"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Peter Yu</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741" w:type="dxa"/>
            <w:tcBorders/>
            <w:vAlign w:val="center"/>
          </w:tcPr>
          <w:p>
            <w:pPr>
              <w:pStyle w:val="TableContents"/>
              <w:bidi w:val="0"/>
              <w:spacing w:before="0" w:after="0"/>
              <w:ind w:left="0" w:right="0" w:hanging="0"/>
              <w:jc w:val="left"/>
              <w:rPr/>
            </w:pPr>
            <w:r>
              <w:rPr/>
              <w:t>​</w:t>
            </w:r>
          </w:p>
        </w:tc>
        <w:tc>
          <w:tcPr>
            <w:tcW w:w="4397" w:type="dxa"/>
            <w:gridSpan w:val="2"/>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Rafael de Luque</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766"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Rafael de Luque</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240"/>
        <w:ind w:left="0" w:right="0" w:hanging="0"/>
        <w:jc w:val="right"/>
        <w:rPr>
          <w:rFonts w:ascii="Times New Roman;Times;serif" w:hAnsi="Times New Roman;Times;serif"/>
          <w:b/>
          <w:sz w:val="20"/>
        </w:rPr>
      </w:pPr>
      <w:bookmarkStart w:id="538" w:name="tmb-20260331xex31d1.htm"/>
      <w:bookmarkStart w:id="539" w:name="kstmb20260331xex31d1"/>
      <w:bookmarkEnd w:id="538"/>
      <w:bookmarkEnd w:id="539"/>
      <w:r>
        <w:rPr>
          <w:rFonts w:ascii="Times New Roman;Times;serif" w:hAnsi="Times New Roman;Times;serif"/>
          <w:b/>
          <w:sz w:val="20"/>
        </w:rPr>
        <w:t>Exhibit 31.1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 AND 15D-14(A) UNDER THE SECURITIES EXCHANGE ACT OF 1934,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I, Peter Yu, certify that:</w:t>
      </w:r>
    </w:p>
    <w:tbl>
      <w:tblPr>
        <w:tblW w:w="7270" w:type="dxa"/>
        <w:jc w:val="left"/>
        <w:tblInd w:w="0" w:type="dxa"/>
        <w:tblLayout w:type="fixed"/>
        <w:tblCellMar>
          <w:top w:w="0" w:type="dxa"/>
          <w:left w:w="0" w:type="dxa"/>
          <w:bottom w:w="0" w:type="dxa"/>
          <w:right w:w="0" w:type="dxa"/>
        </w:tblCellMar>
      </w:tblPr>
      <w:tblGrid>
        <w:gridCol w:w="170"/>
        <w:gridCol w:w="710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71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Cartesian Growth Corporation III;</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4217" w:type="dxa"/>
        <w:jc w:val="left"/>
        <w:tblInd w:w="0" w:type="dxa"/>
        <w:tblLayout w:type="fixed"/>
        <w:tblCellMar>
          <w:top w:w="0" w:type="dxa"/>
          <w:left w:w="0" w:type="dxa"/>
          <w:bottom w:w="0" w:type="dxa"/>
          <w:right w:w="0" w:type="dxa"/>
        </w:tblCellMar>
      </w:tblPr>
      <w:tblGrid>
        <w:gridCol w:w="1741"/>
        <w:gridCol w:w="2476"/>
      </w:tblGrid>
      <w:tr>
        <w:trPr/>
        <w:tc>
          <w:tcPr>
            <w:tcW w:w="1741"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Date: May 15, 2026</w:t>
            </w:r>
          </w:p>
        </w:tc>
        <w:tc>
          <w:tcPr>
            <w:tcW w:w="2476"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Peter Yu</w:t>
            </w:r>
          </w:p>
        </w:tc>
      </w:tr>
      <w:tr>
        <w:trPr/>
        <w:tc>
          <w:tcPr>
            <w:tcW w:w="1741" w:type="dxa"/>
            <w:tcBorders/>
            <w:vAlign w:val="center"/>
          </w:tcPr>
          <w:p>
            <w:pPr>
              <w:pStyle w:val="TableContents"/>
              <w:bidi w:val="0"/>
              <w:spacing w:before="0" w:after="0"/>
              <w:ind w:left="0" w:right="0" w:hanging="0"/>
              <w:jc w:val="left"/>
              <w:rPr/>
            </w:pPr>
            <w:r>
              <w:rPr/>
              <w:t> </w:t>
            </w:r>
          </w:p>
        </w:tc>
        <w:tc>
          <w:tcPr>
            <w:tcW w:w="2476"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Peter Yu</w:t>
            </w:r>
          </w:p>
        </w:tc>
      </w:tr>
      <w:tr>
        <w:trPr/>
        <w:tc>
          <w:tcPr>
            <w:tcW w:w="1741" w:type="dxa"/>
            <w:tcBorders/>
            <w:vAlign w:val="center"/>
          </w:tcPr>
          <w:p>
            <w:pPr>
              <w:pStyle w:val="TableContents"/>
              <w:bidi w:val="0"/>
              <w:spacing w:before="0" w:after="0"/>
              <w:ind w:left="0" w:right="0" w:hanging="0"/>
              <w:jc w:val="left"/>
              <w:rPr/>
            </w:pPr>
            <w:r>
              <w:rPr/>
              <w:t> </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741" w:type="dxa"/>
            <w:tcBorders/>
            <w:vAlign w:val="center"/>
          </w:tcPr>
          <w:p>
            <w:pPr>
              <w:pStyle w:val="TableContents"/>
              <w:bidi w:val="0"/>
              <w:spacing w:before="0" w:after="0"/>
              <w:ind w:left="0" w:right="0" w:hanging="0"/>
              <w:jc w:val="left"/>
              <w:rPr/>
            </w:pPr>
            <w:r>
              <w:rPr/>
              <w:t> </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540" w:name="tmb-20260331xex31d2.htm"/>
      <w:bookmarkStart w:id="541" w:name="kstmb20260331xex31d2"/>
      <w:bookmarkEnd w:id="540"/>
      <w:bookmarkEnd w:id="541"/>
      <w:r>
        <w:rPr>
          <w:rFonts w:ascii="Times New Roman;Times;serif" w:hAnsi="Times New Roman;Times;serif"/>
          <w:b/>
          <w:sz w:val="20"/>
        </w:rPr>
        <w:t>Exhibit 31.2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 AND 15D-14(A) UNDER THE SECURITIES EXCHANGE ACT OF 1934,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Rafael de Luque, certify that:</w:t>
      </w:r>
    </w:p>
    <w:tbl>
      <w:tblPr>
        <w:tblW w:w="7270" w:type="dxa"/>
        <w:jc w:val="left"/>
        <w:tblInd w:w="0" w:type="dxa"/>
        <w:tblLayout w:type="fixed"/>
        <w:tblCellMar>
          <w:top w:w="0" w:type="dxa"/>
          <w:left w:w="0" w:type="dxa"/>
          <w:bottom w:w="0" w:type="dxa"/>
          <w:right w:w="0" w:type="dxa"/>
        </w:tblCellMar>
      </w:tblPr>
      <w:tblGrid>
        <w:gridCol w:w="170"/>
        <w:gridCol w:w="710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71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Cartesian Growth Corporation III;</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5507" w:type="dxa"/>
        <w:jc w:val="left"/>
        <w:tblInd w:w="0" w:type="dxa"/>
        <w:tblLayout w:type="fixed"/>
        <w:tblCellMar>
          <w:top w:w="0" w:type="dxa"/>
          <w:left w:w="0" w:type="dxa"/>
          <w:bottom w:w="0" w:type="dxa"/>
          <w:right w:w="0" w:type="dxa"/>
        </w:tblCellMar>
      </w:tblPr>
      <w:tblGrid>
        <w:gridCol w:w="1741"/>
        <w:gridCol w:w="3766"/>
      </w:tblGrid>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2026</w:t>
            </w:r>
          </w:p>
        </w:tc>
        <w:tc>
          <w:tcPr>
            <w:tcW w:w="3766"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Rafael de Luque</w:t>
            </w:r>
          </w:p>
        </w:tc>
      </w:tr>
      <w:tr>
        <w:trPr/>
        <w:tc>
          <w:tcPr>
            <w:tcW w:w="1741"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Rafael de Luque</w:t>
            </w:r>
          </w:p>
        </w:tc>
      </w:tr>
      <w:tr>
        <w:trPr/>
        <w:tc>
          <w:tcPr>
            <w:tcW w:w="1741"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41"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542" w:name="tmb-20260331xex32d1.htm"/>
      <w:bookmarkStart w:id="543" w:name="kstmb20260331xex32d1"/>
      <w:bookmarkEnd w:id="542"/>
      <w:bookmarkEnd w:id="543"/>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Cartesian Growth Corporation III (the “Company”) on Form 10-Q for the quarterly period ended March 31, 2026, as filed with the Securities and Exchange Commission (the “Report”), I, Peter Yu, Chief Executive Officer of the Company, certify, pursuant to 18 U.S.C. §1350, as adopted pursuant to §906 of the Sarbanes-Oxley Act of 2002, that, to the best of my knowledge:</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4322" w:type="dxa"/>
        <w:jc w:val="left"/>
        <w:tblInd w:w="0" w:type="dxa"/>
        <w:tblLayout w:type="fixed"/>
        <w:tblCellMar>
          <w:top w:w="0" w:type="dxa"/>
          <w:left w:w="0" w:type="dxa"/>
          <w:bottom w:w="0" w:type="dxa"/>
          <w:right w:w="0" w:type="dxa"/>
        </w:tblCellMar>
      </w:tblPr>
      <w:tblGrid>
        <w:gridCol w:w="1846"/>
        <w:gridCol w:w="2476"/>
      </w:tblGrid>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15, 2026</w:t>
            </w:r>
          </w:p>
        </w:tc>
        <w:tc>
          <w:tcPr>
            <w:tcW w:w="2476"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Peter Yu</w:t>
            </w:r>
          </w:p>
        </w:tc>
      </w:tr>
      <w:tr>
        <w:trPr/>
        <w:tc>
          <w:tcPr>
            <w:tcW w:w="1846" w:type="dxa"/>
            <w:tcBorders/>
            <w:vAlign w:val="center"/>
          </w:tcPr>
          <w:p>
            <w:pPr>
              <w:pStyle w:val="TableContents"/>
              <w:bidi w:val="0"/>
              <w:spacing w:before="0" w:after="0"/>
              <w:ind w:left="0" w:right="0" w:hanging="0"/>
              <w:jc w:val="left"/>
              <w:rPr/>
            </w:pPr>
            <w:r>
              <w:rPr/>
              <w:t> </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Peter Yu</w:t>
            </w:r>
          </w:p>
        </w:tc>
      </w:tr>
      <w:tr>
        <w:trPr/>
        <w:tc>
          <w:tcPr>
            <w:tcW w:w="1846" w:type="dxa"/>
            <w:tcBorders/>
            <w:vAlign w:val="center"/>
          </w:tcPr>
          <w:p>
            <w:pPr>
              <w:pStyle w:val="TableContents"/>
              <w:bidi w:val="0"/>
              <w:spacing w:before="0" w:after="0"/>
              <w:ind w:left="0" w:right="0" w:hanging="0"/>
              <w:jc w:val="left"/>
              <w:rPr/>
            </w:pPr>
            <w:r>
              <w:rPr/>
              <w:t> </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846" w:type="dxa"/>
            <w:tcBorders/>
            <w:vAlign w:val="center"/>
          </w:tcPr>
          <w:p>
            <w:pPr>
              <w:pStyle w:val="TableContents"/>
              <w:bidi w:val="0"/>
              <w:spacing w:before="0" w:after="0"/>
              <w:ind w:left="0" w:right="0" w:hanging="0"/>
              <w:jc w:val="left"/>
              <w:rPr/>
            </w:pPr>
            <w:r>
              <w:rPr/>
              <w:t> </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544" w:name="tmb-20260331xex32d2.htm"/>
      <w:bookmarkStart w:id="545" w:name="kstmb20260331xex32d2"/>
      <w:bookmarkEnd w:id="544"/>
      <w:bookmarkEnd w:id="545"/>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Cartesian Growth Corporation III (the “Company”) on Form 10-Q for the quarterly period ended March 31, 2026, as filed with the Securities and Exchange Commission (the “Report”), I, Rafael de Luque, Chief Financial Officer of the Company, certify, pursuant to 18 U.S.C. §1350, as adopted pursuant to §906 of the Sarbanes-Oxley Act of 2002, that, to the best of my knowledge:</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5612" w:type="dxa"/>
        <w:jc w:val="left"/>
        <w:tblInd w:w="0" w:type="dxa"/>
        <w:tblLayout w:type="fixed"/>
        <w:tblCellMar>
          <w:top w:w="0" w:type="dxa"/>
          <w:left w:w="0" w:type="dxa"/>
          <w:bottom w:w="0" w:type="dxa"/>
          <w:right w:w="0" w:type="dxa"/>
        </w:tblCellMar>
      </w:tblPr>
      <w:tblGrid>
        <w:gridCol w:w="1846"/>
        <w:gridCol w:w="3766"/>
      </w:tblGrid>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15, 2026</w:t>
            </w:r>
          </w:p>
        </w:tc>
        <w:tc>
          <w:tcPr>
            <w:tcW w:w="3766"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Rafael de Luque </w:t>
            </w:r>
          </w:p>
        </w:tc>
      </w:tr>
      <w:tr>
        <w:trPr/>
        <w:tc>
          <w:tcPr>
            <w:tcW w:w="1846"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Rafael de Luque</w:t>
            </w:r>
          </w:p>
        </w:tc>
      </w:tr>
      <w:tr>
        <w:trPr/>
        <w:tc>
          <w:tcPr>
            <w:tcW w:w="1846"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49662/000110465926035436/tm269874d1_ex2-1.htm" TargetMode="External"/><Relationship Id="rId3" Type="http://schemas.openxmlformats.org/officeDocument/2006/relationships/hyperlink" Target="https://www.sec.gov/Archives/edgar/data/2049662/000110465926035436/tm269874d1_ex10-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19235</Words>
  <Characters>106238</Characters>
  <CharactersWithSpaces>125812</CharactersWithSpaces>
  <Paragraphs>1943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