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538-7_3seq1.xml.htm"/>
      <w:bookmarkStart w:id="1" w:name="kstm26175387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Nelson Jon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FACTORIAL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805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Factorial Energy Inc.</w:t>
              </w:r>
            </w:hyperlink>
            <w:r>
              <w:rPr/>
              <w:t xml:space="preserve"> [ </w:t>
            </w:r>
            <w:r>
              <w:rPr>
                <w:rFonts w:ascii="Times;serif" w:hAnsi="Times;serif"/>
                <w:color w:val="0000FF"/>
                <w:sz w:val="24"/>
                <w:shd w:fill="FFFFFF" w:val="clear"/>
              </w:rPr>
              <w:t>FAC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Wei,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tm2617538d7_ex24.htm"/>
      <w:bookmarkStart w:id="3" w:name="kstm2617538d7_ex24"/>
      <w:bookmarkEnd w:id="2"/>
      <w:bookmarkEnd w:id="3"/>
      <w:r>
        <w:rPr>
          <w:b/>
        </w:rPr>
        <w:t>Exhibit 24</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constitutes and appoints each of Siyu Huang, Richard Wei and Jason Duva, signing singly, and with full power of substitution,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execute for and on behalf of the undersigned, in the undersigned’s capacity as an officer, director, and/or securityholder of </w:t>
      </w:r>
      <w:r>
        <w:rPr>
          <w:rFonts w:ascii="Times New Roman;Times;Serif" w:hAnsi="Times New Roman;Times;Serif"/>
          <w:b w:val="false"/>
          <w:i w:val="false"/>
          <w:caps w:val="false"/>
          <w:smallCaps w:val="false"/>
          <w:sz w:val="20"/>
          <w:shd w:fill="FFFFFF" w:val="clear"/>
        </w:rPr>
        <w:t>Factorial Energy Inc.</w:t>
      </w:r>
      <w:r>
        <w:rPr>
          <w:rFonts w:ascii="Times New Roman;Times;Serif" w:hAnsi="Times New Roman;Times;Serif"/>
          <w:b w:val="false"/>
          <w:i w:val="false"/>
          <w:caps w:val="false"/>
          <w:smallCaps w:val="false"/>
          <w:sz w:val="20"/>
        </w:rPr>
        <w:t>,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Schedules 13D and 13G; and (v) amendments of each thereof, in accordance with the Securities Exchange Act of 1934, as amended, and the rules thereunder, including any attached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shall expire as to any individual attorney-in-fact if such attorney-in-fact ceases to be an employee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May 18, 2026.</w:t>
      </w:r>
    </w:p>
    <w:p>
      <w:pPr>
        <w:pStyle w:val="TextBody"/>
        <w:bidi w:val="0"/>
        <w:spacing w:before="0" w:after="0"/>
        <w:ind w:left="0" w:right="0" w:hanging="0"/>
        <w:jc w:val="both"/>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1400"/>
      </w:tblGrid>
      <w:tr>
        <w:trPr/>
        <w:tc>
          <w:tcPr>
            <w:tcW w:w="75"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 K. Nelson</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K. Nelson</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r>
    </w:tbl>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5666" TargetMode="External"/><Relationship Id="rId3" Type="http://schemas.openxmlformats.org/officeDocument/2006/relationships/hyperlink" Target="http://www.sec.gov/cgi-bin/browse-edgar?action=getcompany&amp;CIK=00020496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988</Words>
  <Characters>5391</Characters>
  <CharactersWithSpaces>6361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