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868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489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CGC III Sponsor LLC</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FIFTH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9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Growth Corp III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CGCT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0"/>
        <w:spacing w:after="0"/>
        <w:tabs>
          <w:tab w:leader="none" w:pos="1725"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1"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05/01/2026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40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8,195</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1,462,805</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gridSpan w:val="7"/>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2"/>
              </w:rPr>
              <w:t>P</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6,089</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Pr>
          <w:p>
            <w:pPr>
              <w:spacing w:after="0"/>
              <w:rPr>
                <w:sz w:val="21"/>
                <w:szCs w:val="2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10.377</w:t>
            </w:r>
          </w:p>
        </w:tc>
        <w:tc>
          <w:tcPr>
            <w:tcW w:w="12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1,468,894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gridSpan w:val="7"/>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80" w:type="dxa"/>
            <w:vAlign w:val="bottom"/>
            <w:gridSpan w:val="15"/>
          </w:tcPr>
          <w:p>
            <w:pPr>
              <w:jc w:val="center"/>
              <w:ind w:right="12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00" w:type="dxa"/>
            <w:vAlign w:val="bottom"/>
            <w:gridSpan w:val="13"/>
          </w:tcPr>
          <w:p>
            <w:pPr>
              <w:jc w:val="center"/>
              <w:ind w:left="43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rPr>
              <w:t>(2)</w:t>
            </w:r>
          </w:p>
        </w:tc>
        <w:tc>
          <w:tcPr>
            <w:tcW w:w="400" w:type="dxa"/>
            <w:vAlign w:val="bottom"/>
          </w:tcPr>
          <w:p>
            <w:pPr>
              <w:spacing w:after="0"/>
              <w:rPr>
                <w:sz w:val="15"/>
                <w:szCs w:val="15"/>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(2)</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6,800,000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restart"/>
          </w:tcPr>
          <w:p>
            <w:pPr>
              <w:jc w:val="center"/>
              <w:ind w:left="78"/>
              <w:spacing w:after="0"/>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6,800,000</w:t>
            </w: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shares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rPr>
              <w:t>(2)</w:t>
            </w:r>
          </w:p>
        </w:tc>
        <w:tc>
          <w:tcPr>
            <w:tcW w:w="400" w:type="dxa"/>
            <w:vAlign w:val="bottom"/>
          </w:tcPr>
          <w:p>
            <w:pPr>
              <w:spacing w:after="0"/>
              <w:rPr>
                <w:sz w:val="15"/>
                <w:szCs w:val="15"/>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(2)</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7"/>
              </w:rPr>
              <w:t>100,000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rPr>
              <w:t>(4)</w:t>
            </w:r>
          </w:p>
        </w:tc>
        <w:tc>
          <w:tcPr>
            <w:tcW w:w="400" w:type="dxa"/>
            <w:vAlign w:val="bottom"/>
          </w:tcPr>
          <w:p>
            <w:pPr>
              <w:spacing w:after="0"/>
              <w:rPr>
                <w:sz w:val="15"/>
                <w:szCs w:val="15"/>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4,400,000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restart"/>
          </w:tcPr>
          <w:p>
            <w:pPr>
              <w:jc w:val="center"/>
              <w:ind w:left="78"/>
              <w:spacing w:after="0"/>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11.5</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4,400,000</w:t>
            </w: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shares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008000"/>
              </w:rPr>
              <w:t>(4)</w:t>
            </w:r>
          </w:p>
        </w:tc>
        <w:tc>
          <w:tcPr>
            <w:tcW w:w="400" w:type="dxa"/>
            <w:vAlign w:val="bottom"/>
          </w:tcPr>
          <w:p>
            <w:pPr>
              <w:spacing w:after="0"/>
              <w:rPr>
                <w:sz w:val="15"/>
                <w:szCs w:val="15"/>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7"/>
              </w:rPr>
              <w:t>324,120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11.5</w:t>
            </w: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324,120</w:t>
            </w:r>
          </w:p>
        </w:tc>
        <w:tc>
          <w:tcPr>
            <w:tcW w:w="60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(6)</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ind w:left="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CGC III Sponsor LLC</w:t>
              </w:r>
            </w:hyperlink>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505 FIFTH AVENUE, 15TH FLOOR</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10017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Yu Peter</w:t>
              </w:r>
            </w:hyperlink>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-5188585</wp:posOffset>
            </wp:positionV>
            <wp:extent cx="29210" cy="2976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10" cy="297624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505 FIFTH AVENUE, 15TH FLOOR</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8"/>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68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Pangaea Three-B, LP</w:t>
              </w:r>
            </w:hyperlink>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505 FIFTH AVENUE, 15TH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-2127885</wp:posOffset>
            </wp:positionV>
            <wp:extent cx="2813050" cy="2205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3050" cy="22053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6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of Cartesian Growth Corporation III (the "Issuer") held directly by Pangaea Three-B, LP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its or his pecuniary interest therein.</w:t>
      </w:r>
    </w:p>
    <w:p>
      <w:pPr>
        <w:spacing w:after="0" w:line="26" w:lineRule="exact"/>
        <w:rPr>
          <w:rFonts w:ascii="Times New Roman" w:cs="Times New Roman" w:eastAsia="Times New Roman" w:hAnsi="Times New Roman"/>
          <w:sz w:val="13"/>
          <w:szCs w:val="13"/>
          <w:color w:val="008000"/>
        </w:rPr>
      </w:pPr>
    </w:p>
    <w:p>
      <w:pPr>
        <w:ind w:left="2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ordinary shares of the Issuer have no expiration date and will automatically convert into Class A ordinary shares concurrently with or immediately following the consummation of the Issuer's initial business combination, or earlier at the option of the holder, on a one-for-one basis, subject to adjustment, as described in the Registration Statement on Form S-1 (File No. 333-284565) (the "Registration Statement") related to the Issuer's initial public offering (the "IPO").</w:t>
      </w:r>
    </w:p>
    <w:p>
      <w:pPr>
        <w:spacing w:after="0" w:line="26" w:lineRule="exact"/>
        <w:rPr>
          <w:rFonts w:ascii="Times New Roman" w:cs="Times New Roman" w:eastAsia="Times New Roman" w:hAnsi="Times New Roman"/>
          <w:sz w:val="13"/>
          <w:szCs w:val="13"/>
          <w:color w:val="008000"/>
        </w:rPr>
      </w:pPr>
    </w:p>
    <w:p>
      <w:pPr>
        <w:ind w:left="20" w:right="20" w:firstLine="1"/>
        <w:spacing w:after="0" w:line="236"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6,800,000 Class B ordinary shares held directly by the Sponsor and 100,000 Class B ordinary shares held directly by CGC III Sponsor DirectorCo LLC ("DirectorCo") (of which 90,000 shares are held by DirectorCo for the benefit of the Issuer's independent directors). The Sponsor is the sole managing member of DirectorCo. Pangaea is the sole member of the Sponsor and is controlled by Peter Yu. Consequently, each of Pangaea and Mr. Yu may be deemed to share voting and dispositive control over the securities held by the Sponsor and DirectorCo, and thus to share beneficial ownership of such securities. Each of Pangaea and Mr. Yu disclaims beneficial ownership of such securities except to the extent of its or his pecuniary interest therein.</w:t>
      </w:r>
    </w:p>
    <w:p>
      <w:pPr>
        <w:spacing w:after="0" w:line="28" w:lineRule="exact"/>
        <w:rPr>
          <w:rFonts w:ascii="Times New Roman" w:cs="Times New Roman" w:eastAsia="Times New Roman" w:hAnsi="Times New Roman"/>
          <w:sz w:val="13"/>
          <w:szCs w:val="13"/>
          <w:color w:val="008000"/>
        </w:rPr>
      </w:pPr>
    </w:p>
    <w:p>
      <w:pPr>
        <w:ind w:left="20" w:right="2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warrant becomes exercisable on the later of one year after the closing of the Issuer's initial public offering or 30 days after the completion of an initial business combination, as described in the Issuer's prospectus filed with the SEC. The warrants expire five years after the completion of an initial business combination, or earlier upon redemption or liquidation, as described in the Issuer's prospectus filed with the SEC.</w:t>
      </w:r>
    </w:p>
    <w:p>
      <w:pPr>
        <w:spacing w:after="0" w:line="26" w:lineRule="exact"/>
        <w:rPr>
          <w:rFonts w:ascii="Times New Roman" w:cs="Times New Roman" w:eastAsia="Times New Roman" w:hAnsi="Times New Roman"/>
          <w:sz w:val="13"/>
          <w:szCs w:val="13"/>
          <w:color w:val="008000"/>
        </w:rPr>
      </w:pPr>
    </w:p>
    <w:p>
      <w:pPr>
        <w:ind w:left="20" w:right="24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4,400,000 private placement warrants held directly by the Sponsor. Pangaea is the sole member of the Sponsor and is controlled by Peter Yu. Consequently, each of Pangaea and Mr. Yu may be deemed to share voting and dispositive control over the securities held by the Sponsor, and thus to share beneficial ownership of such securities. Each of Pangaea and Mr. Yu disclaims beneficial ownership of such securities except to the extent of its or his pecuniary interest therein.</w:t>
      </w:r>
    </w:p>
    <w:p>
      <w:pPr>
        <w:spacing w:after="0" w:line="26" w:lineRule="exact"/>
        <w:rPr>
          <w:rFonts w:ascii="Times New Roman" w:cs="Times New Roman" w:eastAsia="Times New Roman" w:hAnsi="Times New Roman"/>
          <w:sz w:val="13"/>
          <w:szCs w:val="13"/>
          <w:color w:val="008000"/>
        </w:rPr>
      </w:pPr>
    </w:p>
    <w:p>
      <w:pPr>
        <w:ind w:left="20" w:right="80" w:firstLine="1"/>
        <w:spacing w:after="0" w:line="253"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324,120 warrants held directly by Pangaea. Pangaea is controlled by Peter Yu. Consequently, Mr. Yu may be deemed to share voting and dispositive control over the securities held by Pangaea, and thus to share beneficial ownership of such securities. Mr. Yu disclaims beneficial ownership of such securities except to the extent of his pecuniary interest therein.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Martin, Attorney-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3"/>
        </w:trPr>
        <w:tc>
          <w:tcPr>
            <w:tcW w:w="48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500" w:firstLine="1"/>
        <w:spacing w:after="0" w:line="334"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2049612" TargetMode="External"/><Relationship Id="rId14" Type="http://schemas.openxmlformats.org/officeDocument/2006/relationships/hyperlink" Target="http://www.sec.gov/cgi-bin/browse-edgar?action=getcompany&amp;CIK=0002049662" TargetMode="External"/><Relationship Id="rId16" Type="http://schemas.openxmlformats.org/officeDocument/2006/relationships/hyperlink" Target="http://www.sec.gov/cgi-bin/browse-edgar?action=getcompany&amp;CIK=0001426890" TargetMode="External"/><Relationship Id="rId18" Type="http://schemas.openxmlformats.org/officeDocument/2006/relationships/hyperlink" Target="http://www.sec.gov/cgi-bin/browse-edgar?action=getcompany&amp;CIK=0001754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2026-05-22T19:02:26Z</dcterms:created>
  <dcterms:modified xsi:type="dcterms:W3CDTF">2026-05-22T19:02:26Z</dcterms:modified>
</cp:coreProperties>
</file>