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5" w:right="339" w:bottom="352"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80" w:space="720"/>
            <w:col w:w="3480" w:space="720"/>
            <w:col w:w="2440"/>
          </w:cols>
          <w:pgMar w:left="320" w:top="225" w:right="339" w:bottom="352"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200" w:space="720"/>
            <w:col w:w="3320"/>
          </w:cols>
          <w:pgMar w:left="320" w:top="225" w:right="339" w:bottom="352"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352"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27, 2026, Cartesian Growth Corporation III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an extraordinary general meeting of shareholders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in connection with the Business Combination Agreement, relating to a proposed business combination between inter alios, the Company, Fenway MS, Inc., a Delaware corporation and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Factorial Inc., a Delaware corporation (“</w:t>
      </w:r>
      <w:r>
        <w:rPr>
          <w:rFonts w:ascii="Times New Roman" w:cs="Times New Roman" w:eastAsia="Times New Roman" w:hAnsi="Times New Roman"/>
          <w:sz w:val="18"/>
          <w:szCs w:val="18"/>
          <w:u w:val="single" w:color="auto"/>
          <w:color w:val="auto"/>
        </w:rPr>
        <w:t>Factorial</w:t>
      </w:r>
      <w:r>
        <w:rPr>
          <w:rFonts w:ascii="Times New Roman" w:cs="Times New Roman" w:eastAsia="Times New Roman" w:hAnsi="Times New Roman"/>
          <w:sz w:val="18"/>
          <w:szCs w:val="18"/>
          <w:color w:val="auto"/>
        </w:rPr>
        <w:t>”), as described in the proxy statement filed by the Company with the SEC on May 6, 2026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Present at the Special Meeting were holders of 23,238,775 of the Company’s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 person or by proxy, representing 67.359% of the voting power of the Ordinary Shares as of May 1, 2026, the record date for the Special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and constituting a quorum for the transaction of business. As of the Record Date, there were 34,500,000 Ordinary Shares issued and outstanding.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Special Meeting, the Company’s shareholders approved the Business Combination Proposal, the Domestication Proposal, the BCA Stock Issuance Proposal, the PIPE Stock Issuance Proposal, the Organizational Documents Proposal, the Advisory Organizational Documents Proposals, the Incentive Plan Proposal, the ESPP Proposal, and the Director Election Proposal, in each case as defined and described in greater detail in the Proxy Statement. The Advisory Organizational Documents Proposals, as defined and described in greater detail in the Proxy Statement, contained six non-binding advisory proposals. The Adjournment Proposal, as defined and described in greater detail in the Proxy Statement, was not presented to the Company’s shareholders as the Business Combination Proposal, the Domestication Proposal, the BCA Stock Issuance Proposal, the PIPE Stock Issuance Proposal, the Organizational Documents Proposal, the Advisory Organizational Documents Proposals, the Incentive Plan Proposal, the ESPP Proposal, and the Director Election Proposal each received a sufficient number of votes for approval. Terms used herein and not otherwise defined shall have the meanings assigned to them in the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final voting results for all the proposals presented at the Special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Business Combination Proposal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proposal to approve the Business Combination Agreement and the transactions contemplated thereby was approved. The voting results were as follows: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20,948,365</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2,287,265</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3,145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Domestication Proposal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 to approve the change of the Company’s jurisdiction of registration from the Cayman Islands to the State of Delaware was approved. The voting results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tcPr>
          <w:p>
            <w:pPr>
              <w:spacing w:after="0"/>
              <w:rPr>
                <w:sz w:val="20"/>
                <w:szCs w:val="20"/>
                <w:color w:val="auto"/>
              </w:rPr>
            </w:pPr>
          </w:p>
        </w:tc>
      </w:tr>
      <w:tr>
        <w:trPr>
          <w:trHeight w:val="228"/>
        </w:trPr>
        <w:tc>
          <w:tcPr>
            <w:tcW w:w="2260" w:type="dxa"/>
            <w:vAlign w:val="bottom"/>
          </w:tcPr>
          <w:p>
            <w:pPr>
              <w:spacing w:after="0"/>
              <w:rPr>
                <w:sz w:val="19"/>
                <w:szCs w:val="19"/>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20,948,475</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2,287,265</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3,035</w:t>
            </w:r>
          </w:p>
        </w:tc>
        <w:tc>
          <w:tcPr>
            <w:tcW w:w="2240" w:type="dxa"/>
            <w:vAlign w:val="bottom"/>
          </w:tcPr>
          <w:p>
            <w:pPr>
              <w:spacing w:after="0"/>
              <w:rPr>
                <w:sz w:val="19"/>
                <w:szCs w:val="19"/>
                <w:color w:val="auto"/>
              </w:rPr>
            </w:pPr>
          </w:p>
        </w:tc>
      </w:tr>
      <w:tr>
        <w:trPr>
          <w:trHeight w:val="873"/>
        </w:trPr>
        <w:tc>
          <w:tcPr>
            <w:tcW w:w="2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BCA Stock Issuance Proposal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to approve the issuance or potential issuance of shares of PubCo Common Stock to the shareholders of the Company in the Domestication and stockholders of Factorial in the Merger pursuant to the Business Combination Agreement and for purposes of complying with the applicable provision of Nasdaq Stock Market was approved. The voting results were as follows:</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20,948,432</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2,287,263</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PIPE Stock Issuance Proposal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proposal to approve the issuance or potential issuance of (i) shares of PubCo Series A Common Stock to the PIPE Investors in the PIPE Investment pursuant to the Investor Stock Purchase Agreements and (ii) any other issuances of PubCo Series A Common Stock pursuant to subscription, purchase or similar agreements the Company or Factorial has entered, or may enter, into prior to Closing, and for purposes of complying with the applicable provisions of Nasdaq Stock Market was approved. The voting results were as follows: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20,943,027</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2,287,668</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8,080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Organizational Documents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to approve and adopt the Company’s new certificate of incorporation and bylaws in connection with the Business Combination was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were as follows:</w:t>
      </w:r>
    </w:p>
    <w:p>
      <w:pPr>
        <w:spacing w:after="0" w:line="207"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20,948,432</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2,287,263</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Advisory Organizational Documents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on a non-binding advisory basis, the six sub Advisory Organizational Documents Proposals. The voting results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1</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Authorized Shares</w:t>
            </w:r>
          </w:p>
        </w:tc>
        <w:tc>
          <w:tcPr>
            <w:tcW w:w="2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19,807,551</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3,421,544</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9,680</w:t>
            </w:r>
          </w:p>
        </w:tc>
        <w:tc>
          <w:tcPr>
            <w:tcW w:w="2240" w:type="dxa"/>
            <w:vAlign w:val="bottom"/>
          </w:tcPr>
          <w:p>
            <w:pPr>
              <w:spacing w:after="0"/>
              <w:rPr>
                <w:sz w:val="19"/>
                <w:szCs w:val="19"/>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2</w:t>
            </w:r>
          </w:p>
        </w:tc>
        <w:tc>
          <w:tcPr>
            <w:tcW w:w="34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Exclusive Forum Provision</w:t>
            </w:r>
          </w:p>
        </w:tc>
        <w:tc>
          <w:tcPr>
            <w:tcW w:w="2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c>
          <w:tcPr>
            <w:tcW w:w="224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20,232,421</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3,003,274</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c>
          <w:tcPr>
            <w:tcW w:w="2240" w:type="dxa"/>
            <w:vAlign w:val="bottom"/>
          </w:tcPr>
          <w:p>
            <w:pPr>
              <w:spacing w:after="0"/>
              <w:rPr>
                <w:sz w:val="19"/>
                <w:szCs w:val="19"/>
                <w:color w:val="auto"/>
              </w:rPr>
            </w:pPr>
          </w:p>
        </w:tc>
      </w:tr>
      <w:tr>
        <w:trPr>
          <w:trHeight w:val="1089"/>
        </w:trPr>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Sub-proposal 3 – Adoption of Supermajority Vote Requirement to Amend the proposed PubCo Organizational Documents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19,849,681</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3,386,014</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3,080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4</w:t>
            </w: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Removal of Directors</w:t>
            </w: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19,850,504</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3,384,191</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4,080</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5</w:t>
            </w:r>
          </w:p>
        </w:tc>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Action by Written Consent of Stockholders</w:t>
            </w: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19,850,781</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3,384,959</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3,035</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Sub-proposal 6</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18"/>
                <w:szCs w:val="18"/>
                <w:i w:val="1"/>
                <w:iCs w:val="1"/>
                <w:color w:val="auto"/>
              </w:rPr>
              <w:t>– Other Changes in Connection with Adoption of the proposed PubCo Organizational Documents</w:t>
            </w:r>
          </w:p>
        </w:tc>
      </w:tr>
      <w:tr>
        <w:trPr>
          <w:trHeight w:val="432"/>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20,949,442</w:t>
            </w:r>
          </w:p>
        </w:tc>
        <w:tc>
          <w:tcPr>
            <w:tcW w:w="1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2,287,268</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2,065</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Incentive Plan Proposal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 to approve the PubCo Incentive Plan, a copy of which was attached to the Proxy Statement as Annex K was approved. The voting results were as follows: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20,575,853</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2,656,287</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6,635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ESPP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to approve the ESPP, a copy of which was attached to the Proxy Statement as Annex L was approved. The voting results were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3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For</w:t>
            </w:r>
          </w:p>
        </w:tc>
        <w:tc>
          <w:tcPr>
            <w:tcW w:w="2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Against</w:t>
            </w:r>
          </w:p>
        </w:tc>
        <w:tc>
          <w:tcPr>
            <w:tcW w:w="2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Abstentions</w:t>
            </w:r>
          </w:p>
        </w:tc>
      </w:tr>
      <w:tr>
        <w:trPr>
          <w:trHeight w:val="228"/>
        </w:trPr>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19,848,905</w:t>
            </w: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3,384,290</w:t>
            </w: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5,580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Director Election Proposal</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proposal to approve the election of seven (7) directors to serve on the PubCo board of directors until their respective successors are duly elected and qualified was approved. The voting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Class of Director</w:t>
            </w:r>
          </w:p>
        </w:tc>
        <w:tc>
          <w:tcPr>
            <w:tcW w:w="2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Name of Director</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1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191"/>
        </w:trPr>
        <w:tc>
          <w:tcPr>
            <w:tcW w:w="2080" w:type="dxa"/>
            <w:vAlign w:val="bottom"/>
          </w:tcPr>
          <w:p>
            <w:pPr>
              <w:jc w:val="center"/>
              <w:ind w:right="290"/>
              <w:spacing w:after="0" w:line="191" w:lineRule="exact"/>
              <w:rPr>
                <w:sz w:val="20"/>
                <w:szCs w:val="20"/>
                <w:color w:val="auto"/>
              </w:rPr>
            </w:pPr>
            <w:r>
              <w:rPr>
                <w:rFonts w:ascii="Times New Roman" w:cs="Times New Roman" w:eastAsia="Times New Roman" w:hAnsi="Times New Roman"/>
                <w:sz w:val="18"/>
                <w:szCs w:val="18"/>
                <w:color w:val="auto"/>
                <w:w w:val="99"/>
              </w:rPr>
              <w:t>III</w:t>
            </w:r>
          </w:p>
        </w:tc>
        <w:tc>
          <w:tcPr>
            <w:tcW w:w="270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Siyu Huang</w:t>
            </w:r>
          </w:p>
        </w:tc>
        <w:tc>
          <w:tcPr>
            <w:tcW w:w="2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20,058,906</w:t>
            </w:r>
          </w:p>
        </w:tc>
        <w:tc>
          <w:tcPr>
            <w:tcW w:w="1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2,289,920</w:t>
            </w:r>
          </w:p>
        </w:tc>
      </w:tr>
      <w:tr>
        <w:trPr>
          <w:trHeight w:val="216"/>
        </w:trPr>
        <w:tc>
          <w:tcPr>
            <w:tcW w:w="20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Alex Yu</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20,055,156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2,293,670</w:t>
            </w:r>
          </w:p>
        </w:tc>
      </w:tr>
      <w:tr>
        <w:trPr>
          <w:trHeight w:val="216"/>
        </w:trPr>
        <w:tc>
          <w:tcPr>
            <w:tcW w:w="20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III</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Joseph M. Taylor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19,705,156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2,643,670</w:t>
            </w:r>
          </w:p>
        </w:tc>
      </w:tr>
      <w:tr>
        <w:trPr>
          <w:trHeight w:val="216"/>
        </w:trPr>
        <w:tc>
          <w:tcPr>
            <w:tcW w:w="20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Uwe Keller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20,058,906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2,289,920</w:t>
            </w:r>
          </w:p>
        </w:tc>
      </w:tr>
      <w:tr>
        <w:trPr>
          <w:trHeight w:val="216"/>
        </w:trPr>
        <w:tc>
          <w:tcPr>
            <w:tcW w:w="20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Liad Meidar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20,058,906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2,289,920</w:t>
            </w:r>
          </w:p>
        </w:tc>
      </w:tr>
      <w:tr>
        <w:trPr>
          <w:trHeight w:val="216"/>
        </w:trPr>
        <w:tc>
          <w:tcPr>
            <w:tcW w:w="20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II</w:t>
            </w: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Dieter Zetsche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20,057,906</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2,290,920</w:t>
            </w:r>
          </w:p>
        </w:tc>
      </w:tr>
      <w:tr>
        <w:trPr>
          <w:trHeight w:val="234"/>
        </w:trPr>
        <w:tc>
          <w:tcPr>
            <w:tcW w:w="20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Jon Nelson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20,058,907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2,289,919</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Shareholders holding 23,051,313 Class A ordinary shares exercised their right to redeem such shares for a pro rata portion of the funds in the Company’s trust account. As a result, $239,964,168.33 (approximately $10.41 per share) will be removed from the Company’s trust account to pay such shareholders.</w:t>
      </w:r>
    </w:p>
    <w:p>
      <w:pPr>
        <w:spacing w:after="0" w:line="16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As previously reported, on December 17, 2025, the Company entered into a Stock Purchase Agreement (the “</w:t>
      </w:r>
      <w:r>
        <w:rPr>
          <w:rFonts w:ascii="Times New Roman" w:cs="Times New Roman" w:eastAsia="Times New Roman" w:hAnsi="Times New Roman"/>
          <w:sz w:val="17"/>
          <w:szCs w:val="17"/>
          <w:u w:val="single" w:color="auto"/>
          <w:color w:val="auto"/>
        </w:rPr>
        <w:t>Institutional Investor Stock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a certain institutional investor (the “</w:t>
      </w:r>
      <w:r>
        <w:rPr>
          <w:rFonts w:ascii="Times New Roman" w:cs="Times New Roman" w:eastAsia="Times New Roman" w:hAnsi="Times New Roman"/>
          <w:sz w:val="17"/>
          <w:szCs w:val="17"/>
          <w:u w:val="single" w:color="auto"/>
          <w:color w:val="auto"/>
        </w:rPr>
        <w:t>Institutional Investor</w:t>
      </w:r>
      <w:r>
        <w:rPr>
          <w:rFonts w:ascii="Times New Roman" w:cs="Times New Roman" w:eastAsia="Times New Roman" w:hAnsi="Times New Roman"/>
          <w:sz w:val="17"/>
          <w:szCs w:val="17"/>
          <w:color w:val="auto"/>
        </w:rPr>
        <w:t>”) and a Stock Purchase Agreement (the “</w:t>
      </w:r>
      <w:r>
        <w:rPr>
          <w:rFonts w:ascii="Times New Roman" w:cs="Times New Roman" w:eastAsia="Times New Roman" w:hAnsi="Times New Roman"/>
          <w:sz w:val="17"/>
          <w:szCs w:val="17"/>
          <w:u w:val="single" w:color="auto"/>
          <w:color w:val="auto"/>
        </w:rPr>
        <w:t>Sponsor Investor Stock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 together with the Institutional Investor Stock Purchase Agreement, the “</w:t>
      </w:r>
      <w:r>
        <w:rPr>
          <w:rFonts w:ascii="Times New Roman" w:cs="Times New Roman" w:eastAsia="Times New Roman" w:hAnsi="Times New Roman"/>
          <w:sz w:val="17"/>
          <w:szCs w:val="17"/>
          <w:u w:val="single" w:color="auto"/>
          <w:color w:val="auto"/>
        </w:rPr>
        <w:t>Stock Purchase Agreements</w:t>
      </w:r>
      <w:r>
        <w:rPr>
          <w:rFonts w:ascii="Times New Roman" w:cs="Times New Roman" w:eastAsia="Times New Roman" w:hAnsi="Times New Roman"/>
          <w:sz w:val="17"/>
          <w:szCs w:val="17"/>
          <w:color w:val="auto"/>
        </w:rPr>
        <w:t>”) with an affiliate of CGC Sponsor</w:t>
      </w:r>
    </w:p>
    <w:p>
      <w:pPr>
        <w:spacing w:after="0" w:line="2" w:lineRule="exact"/>
        <w:rPr>
          <w:sz w:val="20"/>
          <w:szCs w:val="20"/>
          <w:color w:val="auto"/>
        </w:rPr>
      </w:pPr>
    </w:p>
    <w:p>
      <w:pPr>
        <w:ind w:right="60" w:firstLine="8"/>
        <w:spacing w:after="0" w:line="252"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the sponsor of the Company (such affiliate, the “</w:t>
      </w:r>
      <w:r>
        <w:rPr>
          <w:rFonts w:ascii="Times New Roman" w:cs="Times New Roman" w:eastAsia="Times New Roman" w:hAnsi="Times New Roman"/>
          <w:sz w:val="18"/>
          <w:szCs w:val="18"/>
          <w:u w:val="single" w:color="auto"/>
          <w:color w:val="auto"/>
        </w:rPr>
        <w:t>Sponsor Investor</w:t>
      </w:r>
      <w:r>
        <w:rPr>
          <w:rFonts w:ascii="Times New Roman" w:cs="Times New Roman" w:eastAsia="Times New Roman" w:hAnsi="Times New Roman"/>
          <w:sz w:val="18"/>
          <w:szCs w:val="18"/>
          <w:color w:val="auto"/>
        </w:rPr>
        <w:t>” and, together with the Institutional Investor,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the terms of the Stock Purchase Agreements, to the extent a PIPE Investor purchases Class A ordinary shares of the Company on the open market, and agrees (i) not to transfer directly or indirectly such shares until the Closing and (ii) in the case of the Institutional Investor, to vote such shares in favor of the proposals described above, or, in the case of the Sponsor Investor, to abstain from voting such shares in connection with the proposals described above, it will reduce, on a share for share basis, such PIPE Investor’s purchase obligation under its Stock Purchase Agreement. The Institutional Investor and the Sponsor Investor elected to satisfy 2,000,000 shares and 1,470,764 shares of their respective purchase obligations through such open market purchases.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27, 2026, the Company issued a press release announcing the results of the Special Meeting. A copy of the press release is filed hereto as Exhibit 99.1 and is incorporated herein by reference.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Exchange Act of 1934, as amended (the “Exchange Act”), or otherwise subject to liabilities under that section, and shall not be deemed to be incorporated by reference into the filings of the registrant under the Securities Act or the Exchange Act, regardless of any general incorporation language in such filings. This Current Report on Form 8-K will not be deemed an admission as to the materiality of any information contained in this Item 7.01,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19685</wp:posOffset>
            </wp:positionV>
            <wp:extent cx="6257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702"/>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Factorial and Cartesian Growth Corporation III Announce Approval of Business Combination by Cartesian Growth Shareholders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Boston, MA -- May 27, 2026 -- Cartesian Growth Corporation III (Nasdaq: CGCT), a special purpose acquisition company (“CGCT”), today announced that its previously announced business combination (the “Business Combination”) with Factorial Inc. (“Factorial”), a leader in solid-state battery technology, was approved at an extraordinary general meeting of shareholders (the "Meeting") of CGCT held on May 27, 2026. CGCT plans to file the results of the Meeting, as tabulated by its inspector of elections, on a Current Report on Form 8-K with the Securities and Exchange Commission (the “SEC”).</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closing of the Business Combination is subject to the satisfaction of customary closing conditions. The combined company will be renamed as Factorial Energy Inc. and its shares of Series A common stock and warrants are expected to begin trading on the Nasdaq Stock Market (“Nasdaq”) under the ticker symbols “FAC” and “FACWW” respectively, once the transaction is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Factorial</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Factorial Energy is a U.S. leader in solid-state batteries, delivering industry-leading performance through its proprietary FEST® and Solstice™ platforms, engineered for scalable manufacturing and developed in close collaboration with customers across drone, robotics, and automotive applications.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Backed by In-Q-Tel, the not-for-profit strategic investor for the U.S. national security community and America’s allies, Factorial’s commercial partnerships include global automotive leaders such as Mercedes-Benz, Stellantis, Hyundai Motor Company, and Kia Corporation. For more information, visit www.factorialenergy.com.</w:t>
      </w:r>
    </w:p>
    <w:p>
      <w:pPr>
        <w:spacing w:after="0" w:line="189" w:lineRule="exact"/>
        <w:rPr>
          <w:sz w:val="20"/>
          <w:szCs w:val="20"/>
          <w:color w:val="auto"/>
        </w:rPr>
      </w:pPr>
    </w:p>
    <w:p>
      <w:pPr>
        <w:ind w:right="60" w:firstLine="8"/>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Factorial Inc. All rights reserved. Factorial, the Factorial logo, FEST® and Solstice™, are trademarks or registered trademarks in the United States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Growth Corporation III</w:t>
      </w:r>
    </w:p>
    <w:p>
      <w:pPr>
        <w:spacing w:after="0" w:line="22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Cartesian Growth Corporation III is a blank check company organized for the purpose of effecting a merger, capital stock exchange, asset acquisition, stock purchase, or reorganization or engaging in any other similar business combination with one or more businesses or entities. Cartesian Growth Corporation</w:t>
      </w:r>
    </w:p>
    <w:p>
      <w:pPr>
        <w:spacing w:after="0" w:line="1" w:lineRule="exact"/>
        <w:rPr>
          <w:sz w:val="20"/>
          <w:szCs w:val="20"/>
          <w:color w:val="auto"/>
        </w:rPr>
      </w:pPr>
    </w:p>
    <w:p>
      <w:pPr>
        <w:ind w:right="340" w:firstLine="8"/>
        <w:spacing w:after="0" w:line="255"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Cartesian Capital Group, LLC, a global private equity firm and registered investment adviser headquartered in New York City, New York. Cartesian Growth Corporation III is an emerging growth company as defined in the Jumpstart Our Business Startups Act of 2012. For more information about Cartesian Growth Corporation III, please visit www.cartesiangrowth.com/cgc3.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consummation of the business combination,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6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2026-05-28T05:22:16Z</dcterms:created>
  <dcterms:modified xsi:type="dcterms:W3CDTF">2026-05-28T05:22:16Z</dcterms:modified>
</cp:coreProperties>
</file>