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225"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2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Business Combination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a Current Report on Form 8-K of Cartesian Growth Corporation III, a Cayman Islands exempted company (“Cartesian III”), filed with the U.S. Securities and Exchange Commission (the “SEC”) on December 18, 2025 (the “Prior 8-K”), Cartesian III announced that it had entered into a business combination agreement, dated December 17, 2025 (as amended, the “Business Combination Agreement” and, the transactions described within, the “Business Combination”), with Fenway MS, Inc., a Delaware corporation (“Merger Sub”), and Factorial Inc., a Delaware corporation (“Factorial”). Capitalized terms used but not expressly defined in this Current Report on Form 8-K shall have the meanings ascribed to them in the Business Combination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18, 2026, Cartesian III, Merger Sub and Factorial entered into Amendment No. 2 to the Business Combination Agreement (the “BCA Amendment”). The BCA Amendment amends the Business Combination Agreement (and the form of post-closing certificate of incorporation and bylaws attached as annexes thereto) to reflect that, in connection with the closing of the Business Combination and upon its domestication as a Delaware corporation, Cartesian III will change its name to “Factorial Energy, Inc.”.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BCA Amendment does not purport to be complete and is qualified in its entirety by reference to the full text of the BCA Amendment, a copy of which is attached hereto as Exhibit 2.1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on the Prior 8-K, on December 17, 2025, Cartesian III entered into a Stock Purchase Agreement (the “Institutional Investor Stock 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with a certain institutional investor (the “Institutional Investor”). Pursuant to the Institutional Investor Stock Purchase Agreement, the Institutional Investor agreed to subscribe for and purchase, and Cartesian III agreed to issue and sell to the Institutional Investor at the closing (the “Closing”) of the Business Combination, 7,500,000 shares of Series A common stock of the combined company at a subscription price of $10.00 per share. Pursuant to the terms of the Institutional Investor Stock Purchase Agreement, to the extent the Institutional Investor purchases Class A ordinary shares of Cartesian III on the open market, and agrees (i) not to transfer directly or indirectly such shares until the Closing and (ii) to vote such shares in favor of the Business Combination and related proposals, it will reduce, on a share for share basis, the Institutional Investors’ purchase obligation under the Institutional Investor Stock Purchase Agreement.</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18, 2026, the Institutional Investor entered into an agreement (the “Letter Agreement”) with Factorial and CGC III Sponsor LLC, a Cayman Islands limited liability company and sponsor of Cartesian III (“Sponsor”), pursuant to which (a) the Institutional Investor agreed to satisfy in part its purchase obligation under the Institutional Investor Stock Purchase Agreement through the purchase of up to 2 million Class A ordinary shares of Cartesian</w:t>
      </w:r>
    </w:p>
    <w:p>
      <w:pPr>
        <w:spacing w:after="0" w:line="1" w:lineRule="exact"/>
        <w:rPr>
          <w:sz w:val="20"/>
          <w:szCs w:val="20"/>
          <w:color w:val="auto"/>
        </w:rPr>
      </w:pPr>
    </w:p>
    <w:p>
      <w:pPr>
        <w:jc w:val="both"/>
        <w:ind w:firstLine="8"/>
        <w:spacing w:after="0" w:line="250" w:lineRule="auto"/>
        <w:tabs>
          <w:tab w:leader="none" w:pos="2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Letter Agreement, in open market transactions or privately negotiated transactions at market prices, (b) Sponsor agreed to transfer, in connection with the Closing, a number of Class B ordinary shares of Cartesian III equal to the quotient of the Differential Amount divided by $10.00, and (c) Factorial agreed to reimburse Sponsor in cash the Differential Amount. The “Differential Amount” is calculated as the difference between</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aggregate purchase price of the open market shares purchased by the Institutional Investor pursuant to the Letter Agreement minus (y) the product of (A) the number of shares so purchased and (B) $10.00.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Factorial’s and Cartesian III’s expectations regarding consummation of the business combination and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pursuant to the Business Combination Agreement, as amended. The proposed Business Combination will be submitted to shareholders of Cartesian III for their consideration. Cartesian III and Factorial have filed a registration statement on Form S-4 with the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www.sec.gov, or by directing a written request to Cartesian Growth Corporation III, 505 Fifth Avenue, 15th Floor, New York, New York 10017.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410"/>
        </w:trPr>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238"/>
        </w:trPr>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60" w:type="dxa"/>
            <w:vAlign w:val="bottom"/>
            <w:gridSpan w:val="2"/>
          </w:tcPr>
          <w:p>
            <w:pPr>
              <w:jc w:val="center"/>
              <w:ind w:left="450"/>
              <w:spacing w:after="0" w:line="169" w:lineRule="exact"/>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Amendment No. 2 to Business Combination Agreement, dated as of May 18, 2026, by and among Cartesian Growth Corporation III,</w:t>
            </w:r>
          </w:p>
        </w:tc>
      </w:tr>
      <w:tr>
        <w:trPr>
          <w:trHeight w:val="196"/>
        </w:trPr>
        <w:tc>
          <w:tcPr>
            <w:tcW w:w="5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Fenway MS, Inc., and Factorial Inc.</w:t>
            </w:r>
          </w:p>
        </w:tc>
      </w:tr>
      <w:tr>
        <w:trPr>
          <w:trHeight w:val="20"/>
        </w:trPr>
        <w:tc>
          <w:tcPr>
            <w:tcW w:w="1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675"/>
        </w:trPr>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Yu</w:t>
            </w:r>
          </w:p>
        </w:tc>
      </w:tr>
      <w:tr>
        <w:trPr>
          <w:trHeight w:val="191"/>
        </w:trPr>
        <w:tc>
          <w:tcPr>
            <w:tcW w:w="66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Yu</w:t>
            </w:r>
          </w:p>
        </w:tc>
      </w:tr>
      <w:tr>
        <w:trPr>
          <w:trHeight w:val="234"/>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18, 2026, to the Business Combination Agreement, dated as of December 17, 2025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is by and among Cartesian Growth Corporation III, a Cayman Islands exempted company (“</w:t>
      </w:r>
      <w:r>
        <w:rPr>
          <w:rFonts w:ascii="Times New Roman" w:cs="Times New Roman" w:eastAsia="Times New Roman" w:hAnsi="Times New Roman"/>
          <w:sz w:val="18"/>
          <w:szCs w:val="18"/>
          <w:u w:val="single" w:color="auto"/>
          <w:color w:val="auto"/>
        </w:rPr>
        <w:t>CGC</w:t>
      </w:r>
      <w:r>
        <w:rPr>
          <w:rFonts w:ascii="Times New Roman" w:cs="Times New Roman" w:eastAsia="Times New Roman" w:hAnsi="Times New Roman"/>
          <w:sz w:val="18"/>
          <w:szCs w:val="18"/>
          <w:color w:val="auto"/>
        </w:rPr>
        <w:t>”), Fenway MS,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Factorial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amended by that certain Amendment to the Business Combination Agreement dated March 26, 2026. Each of CGC, Merger Sub and the Company shall individually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not otherwise defined in this Amendment have the meanings given such terms in the Business Combination Agreement.</w:t>
      </w:r>
    </w:p>
    <w:p>
      <w:pPr>
        <w:spacing w:after="0" w:line="187"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WHEREAS, Section 8.3 of the Business Combination Agreement provides for the amendment of the Business Combination Agreement in accordance with the terms set forth therein;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amend the Business Combination Agreement as set forth below.</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THE BUSINESS COMBINATION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2.1(a) of the Business Combination Agreement is hereby amended and restated in its entirety to read as follows:</w:t>
      </w:r>
    </w:p>
    <w:p>
      <w:pPr>
        <w:spacing w:after="0" w:line="22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Domestication</w:t>
      </w:r>
      <w:r>
        <w:rPr>
          <w:rFonts w:ascii="Times New Roman" w:cs="Times New Roman" w:eastAsia="Times New Roman" w:hAnsi="Times New Roman"/>
          <w:sz w:val="18"/>
          <w:szCs w:val="18"/>
          <w:color w:val="auto"/>
        </w:rPr>
        <w:t xml:space="preserve">. At least one day prior to the Closing Date, CGC shall cause the Domestication to occur in accordance with Section 388 of the DGCL and Part Twelve of the Cayman Islands Companies Act (2025 Revision), including by filing with the Delaware Secretary of State a Certificate of Domestication with respect to the Domestication, in form and substance reasonably acceptable to CGC and the Company, together with the CGC Certificate of Incorporation and completing and making all filings required to be made with the Cayman Registrar to effect the Domestication. In connection with (and as part of) the Domestication, CGC shall cause (i) each CGC Class A Share and CGC Class B Share that is issued and outstanding immediately prior to the Domestication to be converted into one share of CGC Series A Common Stock, par value $0.00001 per share of CGC, (ii) the Governing Documents of CGC to become the certificate of incorporation, substantially in the form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(with such changes as may be agreed in writing by CGC and the Company, the “</w:t>
      </w:r>
      <w:r>
        <w:rPr>
          <w:rFonts w:ascii="Times New Roman" w:cs="Times New Roman" w:eastAsia="Times New Roman" w:hAnsi="Times New Roman"/>
          <w:sz w:val="18"/>
          <w:szCs w:val="18"/>
          <w:b w:val="1"/>
          <w:bCs w:val="1"/>
          <w:i w:val="1"/>
          <w:iCs w:val="1"/>
          <w:color w:val="auto"/>
        </w:rPr>
        <w:t>CGC Certificate of Incorporation</w:t>
      </w:r>
      <w:r>
        <w:rPr>
          <w:rFonts w:ascii="Times New Roman" w:cs="Times New Roman" w:eastAsia="Times New Roman" w:hAnsi="Times New Roman"/>
          <w:sz w:val="18"/>
          <w:szCs w:val="18"/>
          <w:color w:val="auto"/>
        </w:rPr>
        <w:t xml:space="preserve">”), and the bylaws, substantially in the form attached hereto as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(with such changes as may be agreed in writing by CGC and the Company, the “</w:t>
      </w:r>
      <w:r>
        <w:rPr>
          <w:rFonts w:ascii="Times New Roman" w:cs="Times New Roman" w:eastAsia="Times New Roman" w:hAnsi="Times New Roman"/>
          <w:sz w:val="18"/>
          <w:szCs w:val="18"/>
          <w:b w:val="1"/>
          <w:bCs w:val="1"/>
          <w:i w:val="1"/>
          <w:iCs w:val="1"/>
          <w:color w:val="auto"/>
        </w:rPr>
        <w:t>CGC Bylaws</w:t>
      </w:r>
      <w:r>
        <w:rPr>
          <w:rFonts w:ascii="Times New Roman" w:cs="Times New Roman" w:eastAsia="Times New Roman" w:hAnsi="Times New Roman"/>
          <w:sz w:val="18"/>
          <w:szCs w:val="18"/>
          <w:color w:val="auto"/>
        </w:rPr>
        <w:t>”) and (iii) CGC’s name to be changed to “</w:t>
      </w:r>
      <w:r>
        <w:rPr>
          <w:rFonts w:ascii="Times New Roman" w:cs="Times New Roman" w:eastAsia="Times New Roman" w:hAnsi="Times New Roman"/>
          <w:sz w:val="18"/>
          <w:szCs w:val="18"/>
          <w:b w:val="1"/>
          <w:bCs w:val="1"/>
          <w:i w:val="1"/>
          <w:iCs w:val="1"/>
          <w:color w:val="auto"/>
        </w:rPr>
        <w:t>Factorial Energy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clause (iii), each of the Parties acknowledges and agrees that each of the CGC Certificate of Incorporation and the CGC Bylaws shall be appropriately adjusted to give effect to any amendments to the Governing Documents of CGC contemplated by the CGC Certificate of Incorporation and the CGC Bylaws that are not adopted and approved by the Pre-Closing CGC Holders at the CGC Shareholders Meeting (other than, for the avoidance of doubt, the amendments to the Governing Documents of CGC that are contemplated by the Required Governing Document Proposals). CGC and its Representatives shall give the Company and its pertinent Representatives a reasonable opportunity to review any applicable documents, certificates or filings in connection with the Domestication and will consider, in good faith, any comments thereto. Following the consummation of the Domestication and prior to the Closing, the board of directors of CGC will resolve to ratify and approve such matters as may be required to effect the transactions contemplated by this Agreement and any such other matters as the Company and CGC may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2.               The CGC Certificate of Incorporation and CGC Bylaws are attached hereto as Annex A and Annex B, respectively.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No Further Amendment</w:t>
      </w:r>
      <w:r>
        <w:rPr>
          <w:rFonts w:ascii="Times New Roman" w:cs="Times New Roman" w:eastAsia="Times New Roman" w:hAnsi="Times New Roman"/>
          <w:sz w:val="18"/>
          <w:szCs w:val="18"/>
          <w:color w:val="auto"/>
        </w:rPr>
        <w:t>. Except as expressly amended hereby, the Business Combination Agreement is in all respects ratified and confirmed and all the terms, conditions, and provisions thereof shall remain in full force and effect. This Amendment is limited precisely as written and shall not be deemed to be an amendment to any other term or condition of the Business Combination Agreement or any of the documents referred to therein.</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This Amendment shall form a part of the Business Combination Agreement for all purposes, and each party thereto and hereto shall be bound hereby. From and after the execution of this Amendment by the Parties, any reference to the Business Combination Agreement shall be deemed a reference to the Business Combination Agreement as amended hereby.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New York applicable to contracts executed in and to be performed in that State. Any Action arising out of or relating to this Amendment shall, to the fullest extent permitted by applicable Law, be heard and determined exclusively in any New York State court or Federal court of the United States of America sitting in New York City in the Borough of Manhattan.</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Amendment is invalid, illegal or incapable of being enforced by any rule of law, or public policy, all other conditions and provisions of this Amendment shall nevertheless remain in full force and effect so long as the economic or legal substance of the transactions contemplated hereby is not affected in any manner materially adverse to any Party.</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and delivered (including by facsimile or portable document format (pdf) transmission) in one or more counterparts, and by the different Parties in separate counterparts, each of which when executed shall be deemed to be an original but all of which taken together shall constitute one and the same agreement.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as of the date first written above by their respective officers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&amp;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FENWAY MS,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/s/Peter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Yu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FACTORIAL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Siyu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Siyu Huang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CGC Certificate of Incorporation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Factorial Energy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320" w:firstLine="450"/>
        <w:spacing w:after="0" w:line="261"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340" w:firstLine="450"/>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that the Corporation shall have authority to issue is 750,000,000, which shall consist of two classes as follows: (a) 650,000,000 shares shall be a class designated as common stock, par value $0.00001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class of Common Stock shall be subdivided into two series consisting of (i) 600,000,000 shares designated as Series A common stock (the “</w:t>
      </w:r>
      <w:r>
        <w:rPr>
          <w:rFonts w:ascii="Times New Roman" w:cs="Times New Roman" w:eastAsia="Times New Roman" w:hAnsi="Times New Roman"/>
          <w:sz w:val="18"/>
          <w:szCs w:val="18"/>
          <w:b w:val="1"/>
          <w:bCs w:val="1"/>
          <w:i w:val="1"/>
          <w:iCs w:val="1"/>
          <w:color w:val="auto"/>
        </w:rPr>
        <w:t>Series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(ii) 50,000,000 shares designated as Series B common stock (the “</w:t>
      </w:r>
      <w:r>
        <w:rPr>
          <w:rFonts w:ascii="Times New Roman" w:cs="Times New Roman" w:eastAsia="Times New Roman" w:hAnsi="Times New Roman"/>
          <w:sz w:val="18"/>
          <w:szCs w:val="18"/>
          <w:b w:val="1"/>
          <w:bCs w:val="1"/>
          <w:i w:val="1"/>
          <w:iCs w:val="1"/>
          <w:color w:val="auto"/>
        </w:rPr>
        <w:t>Series B Common Stock</w:t>
      </w:r>
      <w:r>
        <w:rPr>
          <w:rFonts w:ascii="Times New Roman" w:cs="Times New Roman" w:eastAsia="Times New Roman" w:hAnsi="Times New Roman"/>
          <w:sz w:val="18"/>
          <w:szCs w:val="18"/>
          <w:color w:val="auto"/>
        </w:rPr>
        <w:t>”); and (b) 100,000,000 shares shall be a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as preferred stock, par value $0.00001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any certificate of designation of any series of Preferred Stock or in Sections 242(d)(1) or (d)(2) of the DGCL, the number of authorized shares of any class of Common Stock or Preferred Stock may from time to time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number of authorized shares of Series B Common Stock shall not be increased or decreased without the affirmative vote of the holders of a majority of shares of Series B Common Stock then outstanding, voting as a separate class. For the avoidance of doubt, the elimination and reduction of the voting requirements of Section 242 of the DGCL, as permitted by Section 242(d) of the DGCL, shall apply to any amendments to this Certificate of Incorporation, as it may be amended, restated or otherwise modified from time to time, including the terms of any certificate of designations of any class or series of Preferred Stock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80" w:firstLine="450"/>
        <w:spacing w:after="0" w:line="282" w:lineRule="auto"/>
        <w:rPr>
          <w:sz w:val="20"/>
          <w:szCs w:val="20"/>
          <w:color w:val="auto"/>
        </w:rPr>
      </w:pPr>
      <w:r>
        <w:rPr>
          <w:rFonts w:ascii="Times New Roman" w:cs="Times New Roman" w:eastAsia="Times New Roman" w:hAnsi="Times New Roman"/>
          <w:sz w:val="18"/>
          <w:szCs w:val="18"/>
          <w:color w:val="auto"/>
        </w:rPr>
        <w:t xml:space="preserve">The powers, preferences and rights of, and the qualifications, limitations and restrictions upon, each class or series of stock shall be determined in accordance with, or as set forth below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right="760" w:firstLine="450"/>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Preferred Stock and except as provided by law or in this Certificate of Incorporation (including any certificate of designation of any series of Preferred Stock):</w:t>
      </w:r>
    </w:p>
    <w:p>
      <w:pPr>
        <w:spacing w:after="0" w:line="162" w:lineRule="exact"/>
        <w:rPr>
          <w:sz w:val="20"/>
          <w:szCs w:val="20"/>
          <w:color w:val="auto"/>
        </w:rPr>
      </w:pPr>
    </w:p>
    <w:p>
      <w:pPr>
        <w:ind w:left="640" w:hanging="18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80" w:firstLine="1052"/>
        <w:spacing w:after="0" w:line="282" w:lineRule="auto"/>
        <w:tabs>
          <w:tab w:leader="none" w:pos="12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Right to Vote Together</w:t>
      </w:r>
      <w:r>
        <w:rPr>
          <w:rFonts w:ascii="Times New Roman" w:cs="Times New Roman" w:eastAsia="Times New Roman" w:hAnsi="Times New Roman"/>
          <w:sz w:val="18"/>
          <w:szCs w:val="18"/>
          <w:color w:val="auto"/>
        </w:rPr>
        <w:t>. Except as otherwise expressly provided herein or required by applicable law, the holders of Series A Common Stock and Series B Common Stock shall vote together on all matters submitted to a vote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20" w:right="40" w:firstLine="1052"/>
        <w:spacing w:after="0" w:line="254" w:lineRule="auto"/>
        <w:tabs>
          <w:tab w:leader="none" w:pos="127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Votes Per Share</w:t>
      </w:r>
      <w:r>
        <w:rPr>
          <w:rFonts w:ascii="Times New Roman" w:cs="Times New Roman" w:eastAsia="Times New Roman" w:hAnsi="Times New Roman"/>
          <w:sz w:val="18"/>
          <w:szCs w:val="18"/>
          <w:color w:val="auto"/>
        </w:rPr>
        <w:t>. Except as otherwise expressly provided herein or required by applicable law, on any matter that is submitted to a vote of the stockholders, each holder of Series A Common Stock shall be entitled to one vote for each such share held by such holder, and each holder of Series B Common Stock shall be entitled to 10 votes for each such share held by such holder. Notwithstanding the foregoing, except as otherwise required by law, holders of shares of Common Stock, as such, shall have no voting power with respect to, and shall not be entitled to vote on, any amendment to this Certificate of Incorporation (including any certificate of designation relating to any series of Preferred Stock) that relates solely to the terms of the Preferred Stock or one or more outstanding series thereof if the holders of such Preferred Stock or series thereof are entitled, either separately or together with the holders of one or more other such series, to vote thereon under this Certificate of Incorporation (including any certificate of designation relating to any series of Preferred Stock) or under the DGCL.</w:t>
      </w:r>
    </w:p>
    <w:p>
      <w:pPr>
        <w:spacing w:after="0" w:line="191" w:lineRule="exact"/>
        <w:rPr>
          <w:rFonts w:ascii="Times New Roman" w:cs="Times New Roman" w:eastAsia="Times New Roman" w:hAnsi="Times New Roman"/>
          <w:sz w:val="18"/>
          <w:szCs w:val="18"/>
          <w:color w:val="auto"/>
        </w:rPr>
      </w:pPr>
    </w:p>
    <w:p>
      <w:pPr>
        <w:ind w:left="-20" w:right="80" w:firstLine="458"/>
        <w:spacing w:after="0" w:line="266" w:lineRule="auto"/>
        <w:tabs>
          <w:tab w:leader="none" w:pos="6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Identical Rights</w:t>
      </w:r>
      <w:r>
        <w:rPr>
          <w:rFonts w:ascii="Times New Roman" w:cs="Times New Roman" w:eastAsia="Times New Roman" w:hAnsi="Times New Roman"/>
          <w:sz w:val="18"/>
          <w:szCs w:val="18"/>
          <w:color w:val="auto"/>
        </w:rPr>
        <w:t>. Except as otherwise expressly provided herein or required by applicable law, shares of Series A Common Stock and Series B Common Stock shall have the same rights and privileges and rank equally, share ratably and be identical in all respects as to all matters, including, without limitation:</w:t>
      </w:r>
    </w:p>
    <w:p>
      <w:pPr>
        <w:spacing w:after="0" w:line="175" w:lineRule="exact"/>
        <w:rPr>
          <w:rFonts w:ascii="Times New Roman" w:cs="Times New Roman" w:eastAsia="Times New Roman" w:hAnsi="Times New Roman"/>
          <w:sz w:val="18"/>
          <w:szCs w:val="18"/>
          <w:color w:val="auto"/>
        </w:rPr>
      </w:pPr>
    </w:p>
    <w:p>
      <w:pPr>
        <w:ind w:left="-20" w:firstLine="1052"/>
        <w:spacing w:after="0" w:line="253" w:lineRule="auto"/>
        <w:tabs>
          <w:tab w:leader="none" w:pos="12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Subject to applicable law and the rights, if any, of the holders of any outstanding series of Preferred Stock or any class or series of stock having a preference over or the right to participate with the Common Stock with respect to the payment of any Distribution, Distributions may be declared and paid ratably on the Common Stock out of the assets of the Corporation which are legally available for this purpose at such times and in such amounts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in its discretion shall determine. Shares of Series A Common Stock and Series B Common Stock shall be treated equally, identically and ratably, on a per share basis, with respect to any Distribution paid or distributed by the Corporation,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a Distribution is paid in the form of Series A Common Stock or Series B Common Stock (or Rights to acquire, or securities convertible into or exchangeable for, such stock, as the case may be), then holders of Series A Common Stock shall receive Series A Common Stock (or Rights to acquire, or securities convertible into or exchangeable for, such stock, as the case may be) and holders of Series B Common Stock shall receive Series B Common Stock (or Rights to acquire, or securities convertible into or exchangeable for, such stock, as the case may be) and such Distribution shall be deemed equal, identical and ratable so long as such Distribution is paid or distributed ratably on a per share basis.</w:t>
      </w:r>
    </w:p>
    <w:p>
      <w:pPr>
        <w:spacing w:after="0" w:line="187" w:lineRule="exact"/>
        <w:rPr>
          <w:rFonts w:ascii="Times New Roman" w:cs="Times New Roman" w:eastAsia="Times New Roman" w:hAnsi="Times New Roman"/>
          <w:sz w:val="18"/>
          <w:szCs w:val="18"/>
          <w:color w:val="auto"/>
        </w:rPr>
      </w:pPr>
    </w:p>
    <w:p>
      <w:pPr>
        <w:ind w:left="-20" w:right="140" w:firstLine="1052"/>
        <w:spacing w:after="0" w:line="256" w:lineRule="auto"/>
        <w:tabs>
          <w:tab w:leader="none" w:pos="12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 or Combination</w:t>
      </w:r>
      <w:r>
        <w:rPr>
          <w:rFonts w:ascii="Times New Roman" w:cs="Times New Roman" w:eastAsia="Times New Roman" w:hAnsi="Times New Roman"/>
          <w:sz w:val="18"/>
          <w:szCs w:val="18"/>
          <w:color w:val="auto"/>
        </w:rPr>
        <w:t>. If the Corporation in any manner subdivides, combines or reclassifies the outstanding shares of Series A Common Stock or Series B Common Stock, then the outstanding shares of the other such series will be concurrently subdivided, combined or reclassified in the same proportion and manner to maintain the same proportionate equity ownership between the holders of the outstanding Series A Common Stock and Series B Common Stock on the record date or effective date for such subdivision, combination or reclassification,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w:t>
      </w:r>
    </w:p>
    <w:p>
      <w:pPr>
        <w:spacing w:after="0" w:line="187" w:lineRule="exact"/>
        <w:rPr>
          <w:rFonts w:ascii="Times New Roman" w:cs="Times New Roman" w:eastAsia="Times New Roman" w:hAnsi="Times New Roman"/>
          <w:sz w:val="18"/>
          <w:szCs w:val="18"/>
          <w:color w:val="auto"/>
        </w:rPr>
      </w:pPr>
    </w:p>
    <w:p>
      <w:pPr>
        <w:ind w:left="-20" w:right="20" w:firstLine="1052"/>
        <w:spacing w:after="0" w:line="251" w:lineRule="auto"/>
        <w:tabs>
          <w:tab w:leader="none" w:pos="12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Treatment in a Change of Control Transaction</w:t>
      </w:r>
      <w:r>
        <w:rPr>
          <w:rFonts w:ascii="Times New Roman" w:cs="Times New Roman" w:eastAsia="Times New Roman" w:hAnsi="Times New Roman"/>
          <w:sz w:val="18"/>
          <w:szCs w:val="18"/>
          <w:color w:val="auto"/>
        </w:rPr>
        <w:t>. In connection with any Change of Control Transaction, shares of Series A Common Stock and Series B Common Stock shall be treated equally, identically and ratably, on a per share basis, with respect to any consideration into which such shares are converted or any consideration paid or otherwise distributed to stockholders of the Corporation (any such consideration,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shares of such series may receive, or have the right to elect to receive, different or disproportionate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consideration in connection with such Change of Control Transaction if (1) the only difference in the per share consideration to the holders of the Series A Common Stock and Series B Common Stock is that any securities distributed to the holders of, or issuable upon the conversion of, a share of Series B Common Stock have 10 times the voting power of any securities distributed to the holder of, or issuable upon the conversion of, a share of Series A Common Stock or (2) such different or disproportionate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Change of Control Consideration shall not be deemed to include any consideration paid to or received by a person who is a holder of Series A Common Stock and/or Series B Common Stock, as applicable, pursuant to (x) any bona fide, good faith employment, consulting, severance or other compensatory arrangement (including, without limitation, any equity-based or cash compensatory award or payment) whether or not entered into in connection with such Change of Control Transaction or (y) a negotiated agreement between a holder of Series A Common Stock and/or Series B Common Stock, as applicable, with any counterparty (or affiliate thereof) to a Change of Control Transaction wherein such holder is contributing, selling, transferring or otherwise disposing of shares of the Corporation’s capital stock to such counterparty (or affiliate thereof) as part of a “rollover” or similar transaction that is approved by a majority of the Disinterested Directors then in office (or a committee of the Board comprised of Disinterested Directors) and that is in connection with such Change of Control Transaction. Any merger or consolidation of the Corporation with or into any other entity, which is not a Change of Control Transaction, shall, in addition to any approval otherwise required herein or by applicable law, require approval by the affirmative vote of the holders of a majority of the outstanding shares of Series A Common Stock and by the affirmative vote of the holders of a majority of the outstanding shares of Series B Common Stock, each voting separately as a series, unless (i) the shares of Series A Common Stock and Series B Common Stock remain outstanding and no other consideration is received in respect thereof or (ii) such shares are converted on a pro rata basis into shares of the surviving or parent entity in such transaction having identical rights to the shares of Series A Common Stock and Series B Common Stock,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11" w:name="page12"/>
    <w:bookmarkEnd w:id="11"/>
    <w:p>
      <w:pPr>
        <w:ind w:left="620" w:hanging="182"/>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Series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052"/>
        <w:spacing w:after="0" w:line="261" w:lineRule="auto"/>
        <w:tabs>
          <w:tab w:leader="none" w:pos="12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Conversion</w:t>
      </w:r>
      <w:r>
        <w:rPr>
          <w:rFonts w:ascii="Times New Roman" w:cs="Times New Roman" w:eastAsia="Times New Roman" w:hAnsi="Times New Roman"/>
          <w:sz w:val="18"/>
          <w:szCs w:val="18"/>
          <w:color w:val="auto"/>
        </w:rPr>
        <w:t>. Each share of Series B Common Stock shall be convertible into one fully paid and nonassessable share of Series A Common Stock at the option of the holder thereof at any time upon written notice to the transfer agent of the Corporation. Such written notice shall state therein the number of shares of Series B Common Stock being converted and the name or names in which the shares of Series A Common Stock are to be registered.</w:t>
      </w:r>
    </w:p>
    <w:p>
      <w:pPr>
        <w:spacing w:after="0" w:line="179" w:lineRule="exact"/>
        <w:rPr>
          <w:rFonts w:ascii="Times New Roman" w:cs="Times New Roman" w:eastAsia="Times New Roman" w:hAnsi="Times New Roman"/>
          <w:sz w:val="18"/>
          <w:szCs w:val="18"/>
          <w:color w:val="auto"/>
        </w:rPr>
      </w:pPr>
    </w:p>
    <w:p>
      <w:pPr>
        <w:ind w:left="-20" w:right="440" w:firstLine="1052"/>
        <w:spacing w:after="0" w:line="282" w:lineRule="auto"/>
        <w:tabs>
          <w:tab w:leader="none" w:pos="12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w:t>
      </w:r>
      <w:r>
        <w:rPr>
          <w:rFonts w:ascii="Times New Roman" w:cs="Times New Roman" w:eastAsia="Times New Roman" w:hAnsi="Times New Roman"/>
          <w:sz w:val="18"/>
          <w:szCs w:val="18"/>
          <w:color w:val="auto"/>
        </w:rPr>
        <w:t>. Each share of Series B Common Stock shall automatically, without any further action by the holder thereof, convert into one fully paid and nonassessable share of Series A Common Stock upon the earlier of:</w:t>
      </w:r>
    </w:p>
    <w:p>
      <w:pPr>
        <w:spacing w:after="0" w:line="159" w:lineRule="exact"/>
        <w:rPr>
          <w:rFonts w:ascii="Times New Roman" w:cs="Times New Roman" w:eastAsia="Times New Roman" w:hAnsi="Times New Roman"/>
          <w:sz w:val="18"/>
          <w:szCs w:val="18"/>
          <w:color w:val="auto"/>
        </w:rPr>
      </w:pPr>
    </w:p>
    <w:p>
      <w:pPr>
        <w:ind w:left="-20" w:right="260" w:firstLine="1448"/>
        <w:spacing w:after="0" w:line="267" w:lineRule="auto"/>
        <w:tabs>
          <w:tab w:leader="none" w:pos="163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such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automatic conversion shall occur in the case of a Transfer by a Series B Stockholder to any of the persons or entities listed in clauses (A) through (H) below (each, a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and from any such Permitted Transferee back to such Series B Stockholder and/or any other Permitted Transferee established by or for such Series B Stockholder:</w:t>
      </w:r>
    </w:p>
    <w:p>
      <w:pPr>
        <w:spacing w:after="0" w:line="175" w:lineRule="exact"/>
        <w:rPr>
          <w:rFonts w:ascii="Times New Roman" w:cs="Times New Roman" w:eastAsia="Times New Roman" w:hAnsi="Times New Roman"/>
          <w:sz w:val="18"/>
          <w:szCs w:val="18"/>
          <w:color w:val="auto"/>
        </w:rPr>
      </w:pPr>
    </w:p>
    <w:p>
      <w:pPr>
        <w:ind w:left="-20" w:right="240" w:firstLine="1988"/>
        <w:spacing w:after="0" w:line="261" w:lineRule="auto"/>
        <w:tabs>
          <w:tab w:leader="none" w:pos="225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of such Series B Stockholder, which shall mean with respect to any natural person who is a Series B Stockholder, the spouse, domestic partner, parents, grandparents, lineal descendants, siblings and lineal descendants of siblings of such Series B Stockholder and any spouse of any such person; and provided, further, that lineal descendants shall include adopted persons, but only so long as they are adopted during minority (herein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20" w:firstLine="1988"/>
        <w:spacing w:after="0" w:line="254" w:lineRule="auto"/>
        <w:tabs>
          <w:tab w:leader="none" w:pos="224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solely for the benefit of such Series B Stockholder and/or one or more of such Series B Stockholder’s Family Members (except for remote contingent interests) so long as all trustees of such trust are one or more of (i) such Series B Stockholder, (ii) a Family Member of such Series B Stockholder and/or (iii) an institution or individual who is a bank or trust company, a professional trustee, investment advisor or manager, investment banker, accountant or lawyer (herein referred to as a “</w:t>
      </w:r>
      <w:r>
        <w:rPr>
          <w:rFonts w:ascii="Times New Roman" w:cs="Times New Roman" w:eastAsia="Times New Roman" w:hAnsi="Times New Roman"/>
          <w:sz w:val="18"/>
          <w:szCs w:val="18"/>
          <w:b w:val="1"/>
          <w:bCs w:val="1"/>
          <w:i w:val="1"/>
          <w:iCs w:val="1"/>
          <w:color w:val="auto"/>
        </w:rPr>
        <w:t>Qualified 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 does not involve any payment of cash, securities, property or other consideration to the Series B Stockholder (other than as a settlor or beneficiary of such trust)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at any time such trust ceases to meet the requirements of this subsection (B), each share of Series B Common Stock then held by the trustee or trustees of such trust shall, on the fifth calendar day following receipt by said trustee or trustees of a notice from the Corporation that it has obtained actual knowledge that the trust no longer meets the requirements of this subsection (B), unless said trust Transfers such share of Series B Common Stock to a Permitted Transferee prior to such fifth calendar day, automatically convert into one fully paid and nonassessable share of Series A Common Stock;</w:t>
      </w:r>
    </w:p>
    <w:p>
      <w:pPr>
        <w:spacing w:after="0" w:line="184" w:lineRule="exact"/>
        <w:rPr>
          <w:rFonts w:ascii="Times New Roman" w:cs="Times New Roman" w:eastAsia="Times New Roman" w:hAnsi="Times New Roman"/>
          <w:sz w:val="18"/>
          <w:szCs w:val="18"/>
          <w:color w:val="auto"/>
        </w:rPr>
      </w:pPr>
    </w:p>
    <w:p>
      <w:pPr>
        <w:ind w:left="-20" w:firstLine="1988"/>
        <w:spacing w:after="0" w:line="257" w:lineRule="auto"/>
        <w:tabs>
          <w:tab w:leader="none" w:pos="224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beneficiaries or trustee of a trust; so long as the original grantor of the trust (the “</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xml:space="preserve">”) is such Series B Stockholder and such Series B Stockholder has sole dispositive power and exclusive Voting Control with respect to the shares of Series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such Grantor no longer has sole dispositive power and exclusive Voting Control with respect to the shares of Series B Common Stock, then, unless such trust Transfers such shares of Series B Common Stock to a Permitted Transferee within five calendar days after the date upon which such Grantor no longer has sole dispositive power and exclusive Voting Control with respect to the shares of Series B Common Stock, each share of Series B Common Stock then held by such trust shall automatically convert into one fully paid and nonassessable share of Series A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88" w:right="359" w:bottom="1440" w:gutter="0" w:footer="0" w:header="0"/>
        </w:sectPr>
      </w:pPr>
    </w:p>
    <w:bookmarkStart w:id="12" w:name="page13"/>
    <w:bookmarkEnd w:id="12"/>
    <w:p>
      <w:pPr>
        <w:ind w:firstLine="1988"/>
        <w:spacing w:after="0" w:line="255" w:lineRule="auto"/>
        <w:tabs>
          <w:tab w:leader="none" w:pos="2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trust under the terms of which such Series B Stockholder has retained a “qualified interest” within the meaning of §2702(b)(1) of the Internal Revenue Code (or successor provision) and/or a reversionary interest so long as all trustees of such trust are Qualified Trustees;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at any time such trust ceases to meet the requirements of this subsection (D), each share of Series B Common Stock then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or trustees of such trust shall, on the fifth calendar day following receipt by said trustee or trustees of a notice from the Corporation that it has obtained actual knowledge that the trust no longer meets the requirements of this subsection (D), unless said trust Transfers such share of Series B Common Stock to a Permitted Transferee prior to such fifth calendar day, automatically convert into one fully paid and nonassessable share of Series A Common Stock;</w:t>
      </w:r>
    </w:p>
    <w:p>
      <w:pPr>
        <w:spacing w:after="0" w:line="188" w:lineRule="exact"/>
        <w:rPr>
          <w:rFonts w:ascii="Times New Roman" w:cs="Times New Roman" w:eastAsia="Times New Roman" w:hAnsi="Times New Roman"/>
          <w:sz w:val="18"/>
          <w:szCs w:val="18"/>
          <w:color w:val="auto"/>
        </w:rPr>
      </w:pPr>
    </w:p>
    <w:p>
      <w:pPr>
        <w:ind w:right="40" w:firstLine="1988"/>
        <w:spacing w:after="0" w:line="254" w:lineRule="auto"/>
        <w:tabs>
          <w:tab w:leader="none" w:pos="2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Individual Retirement Account, as defined in Section 408(a) of the Internal Revenue Code (or successor provision), or a pension, profit sharing, stock bonus or other type of plan or trust of which such Series B Stockholder is a participant or beneficiary and which satisfies the requirements for qualification under Section 401 of the Internal Revenue Code (or successor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Series B Stockholder has sole dispositive power and exclusive Voting Control with respect to the shares of Series B Common Stock held in such account, plan or trust,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the Series B Stockholder no longer has sole dispositive power and exclusive Voting Control with respect to the shares of Series B Common Stock held by such account, plan or trust, then, unless such account Transfers such shares of Series B Common Stock to a Permitted Transferee within five calendar days after the date upon which such Series B Stockholder no longer has sole dispositive power and exclusive Voting Control with respect to the shares of Series B Common Stock, each share of Series B Common Stock then held by such account, plan or trust shall automatically convert into one fully paid and nonassessable share of Series A Common Stock;</w:t>
      </w:r>
    </w:p>
    <w:p>
      <w:pPr>
        <w:spacing w:after="0" w:line="188" w:lineRule="exact"/>
        <w:rPr>
          <w:rFonts w:ascii="Times New Roman" w:cs="Times New Roman" w:eastAsia="Times New Roman" w:hAnsi="Times New Roman"/>
          <w:sz w:val="18"/>
          <w:szCs w:val="18"/>
          <w:color w:val="auto"/>
        </w:rPr>
      </w:pPr>
    </w:p>
    <w:p>
      <w:pPr>
        <w:ind w:right="40" w:firstLine="1988"/>
        <w:spacing w:after="0" w:line="253" w:lineRule="auto"/>
        <w:tabs>
          <w:tab w:leader="none" w:pos="2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corporation, partnership or limited liability company wholly and solely owned by Series B Stockholders and Permitted Transferees in which Series B Stockholders directly, or indirectly through one or more Permitted Transferees, own shares, partnership interests or membership interests, as applicable, with sufficient Voting Control in the corporation, partnership or limited liability company, as applicable, or otherwise has legally enforceable rights, such that the Series B Stockholders retain sole dispositive power and exclusive Voting Control with respect to the shares of Series B Common Stock held by such corporation, partnership or limited liability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Series B Stockholders no longer own sufficient shares, partnership interests or membership interests, as applicable, or no longer has sufficient legally enforceable rights to ensure the Series B Stockholders retain sole dispositive power and exclusive Voting Control with respect to the shares of Series B Common Stock held by such corporation, partnership or limited liability company, as applicable, then, unless such corporation, partnership or limited liability company Transfers such shares of Series B Common Stock to a Permitted Transferee within five calendar days after the date upon which such Series B Stockholders no longer have sole dispositive power and exclusive Voting Control with respect to the shares of Series B Common Stock, each share of Series B Common Stock then held by such corporation, partnership or limited liability company, as applicable, shall automatically convert into one fully paid and nonassessable share of Series A Common Stock;</w:t>
      </w:r>
    </w:p>
    <w:p>
      <w:pPr>
        <w:spacing w:after="0" w:line="189" w:lineRule="exact"/>
        <w:rPr>
          <w:rFonts w:ascii="Times New Roman" w:cs="Times New Roman" w:eastAsia="Times New Roman" w:hAnsi="Times New Roman"/>
          <w:sz w:val="18"/>
          <w:szCs w:val="18"/>
          <w:color w:val="auto"/>
        </w:rPr>
      </w:pPr>
    </w:p>
    <w:p>
      <w:pPr>
        <w:ind w:left="2280" w:hanging="292"/>
        <w:spacing w:after="0"/>
        <w:tabs>
          <w:tab w:leader="none" w:pos="2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Series B Stockholder or such Series B Stockholder’s Affiliates to another Series B Stockholder or such other Series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Stockholder’s Affiliates;</w:t>
      </w:r>
    </w:p>
    <w:p>
      <w:pPr>
        <w:spacing w:after="0" w:line="204" w:lineRule="exact"/>
        <w:rPr>
          <w:rFonts w:ascii="Times New Roman" w:cs="Times New Roman" w:eastAsia="Times New Roman" w:hAnsi="Times New Roman"/>
          <w:sz w:val="18"/>
          <w:szCs w:val="18"/>
          <w:color w:val="auto"/>
        </w:rPr>
      </w:pPr>
    </w:p>
    <w:p>
      <w:pPr>
        <w:ind w:right="60" w:firstLine="1988"/>
        <w:spacing w:after="0" w:line="255" w:lineRule="auto"/>
        <w:tabs>
          <w:tab w:leader="none" w:pos="2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Affiliate of a Series B Stockholder;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person or entity holding sole dispositive power and exclusive Voting Control with respect to the shares of Series B Common Stock being Transferred (the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xml:space="preserve">”) retains, directly or indirectly, sole dispositive power and exclusive Voting Control with respect to the shares following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the event the Controlling Person no longer has sole dispositive power and exclusive Voting Control with respect to the shares of Series B Common Stock Transferred to such Affiliate, then, unless such Affiliate Transfers such shares of Series B Common Stock to a Permitted Transferee within five calendar days after the date upon which Controlling Person no longer has sole dispositive power and exclusive Voting Control with respect to the shares of Series B Common Stock, each such share of Series B Common Stock Transferred to such Affiliate shall automatically convert into one share of Series A Common Stock unless such transaction is otherwise approved by the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140" w:firstLine="1448"/>
        <w:spacing w:after="0" w:line="256" w:lineRule="auto"/>
        <w:tabs>
          <w:tab w:leader="none" w:pos="170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specified by a written notice and certification request of the Corporation to the holder of such share of Series B Common Stock requesting a certification, in a form satisfactory to the Corporation, verifying such holder’s ownership of Series B Common Stock and confirming that a conversion to Series A Common Stock has not occurred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which date shall not be less than 60 calendar days after the date of such notice and certification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automatic conversion pursuant to this subsection (ii) shall occur in the case of a Series B Stockholder or its Permitted Transferees that furnishes a certification satisfactory to the Corporation prior to the specified date that such conversion to Series A Common Stock has not occurred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 or</w:t>
      </w:r>
    </w:p>
    <w:p>
      <w:pPr>
        <w:spacing w:after="0" w:line="187" w:lineRule="exact"/>
        <w:rPr>
          <w:rFonts w:ascii="Times New Roman" w:cs="Times New Roman" w:eastAsia="Times New Roman" w:hAnsi="Times New Roman"/>
          <w:sz w:val="18"/>
          <w:szCs w:val="18"/>
          <w:color w:val="auto"/>
        </w:rPr>
      </w:pPr>
    </w:p>
    <w:p>
      <w:pPr>
        <w:ind w:right="460" w:firstLine="1448"/>
        <w:spacing w:after="0" w:line="282" w:lineRule="auto"/>
        <w:tabs>
          <w:tab w:leader="none" w:pos="17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number of Threshold Shares collectively held by a Series B Stockholder and any Permitted Transferees thereof is less than 50% of the number of shares of Series B Common Stock held by such Series B Stockholder at the Effective Time</w:t>
      </w:r>
    </w:p>
    <w:p>
      <w:pPr>
        <w:spacing w:after="0" w:line="161" w:lineRule="exact"/>
        <w:rPr>
          <w:rFonts w:ascii="Times New Roman" w:cs="Times New Roman" w:eastAsia="Times New Roman" w:hAnsi="Times New Roman"/>
          <w:sz w:val="18"/>
          <w:szCs w:val="18"/>
          <w:color w:val="auto"/>
        </w:rPr>
      </w:pPr>
    </w:p>
    <w:p>
      <w:pPr>
        <w:ind w:right="220" w:firstLine="998"/>
        <w:spacing w:after="0" w:line="282" w:lineRule="auto"/>
        <w:tabs>
          <w:tab w:leader="none" w:pos="12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of All Outstanding Series B Common Stock</w:t>
      </w:r>
      <w:r>
        <w:rPr>
          <w:rFonts w:ascii="Times New Roman" w:cs="Times New Roman" w:eastAsia="Times New Roman" w:hAnsi="Times New Roman"/>
          <w:sz w:val="18"/>
          <w:szCs w:val="18"/>
          <w:color w:val="auto"/>
        </w:rPr>
        <w:t>. Each share of Series B Common Stock shall automatically, without any further action by the holder thereof, convert into one fully paid and nonassessable share of Series A Common Stock upon the earliest of:</w:t>
      </w:r>
    </w:p>
    <w:p>
      <w:pPr>
        <w:spacing w:after="0" w:line="161" w:lineRule="exact"/>
        <w:rPr>
          <w:rFonts w:ascii="Times New Roman" w:cs="Times New Roman" w:eastAsia="Times New Roman" w:hAnsi="Times New Roman"/>
          <w:sz w:val="18"/>
          <w:szCs w:val="18"/>
          <w:color w:val="auto"/>
        </w:rPr>
      </w:pPr>
    </w:p>
    <w:p>
      <w:pPr>
        <w:ind w:left="1660" w:hanging="212"/>
        <w:spacing w:after="0"/>
        <w:tabs>
          <w:tab w:leader="none" w:pos="1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affirmative vote of the holders of at least 66-2/3% of the outstanding shares of Series B Common Stock, voting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single series;</w:t>
      </w:r>
    </w:p>
    <w:p>
      <w:pPr>
        <w:spacing w:after="0" w:line="206" w:lineRule="exact"/>
        <w:rPr>
          <w:rFonts w:ascii="Times New Roman" w:cs="Times New Roman" w:eastAsia="Times New Roman" w:hAnsi="Times New Roman"/>
          <w:sz w:val="18"/>
          <w:szCs w:val="18"/>
          <w:color w:val="auto"/>
        </w:rPr>
      </w:pPr>
    </w:p>
    <w:p>
      <w:pPr>
        <w:ind w:left="1720" w:hanging="272"/>
        <w:spacing w:after="0"/>
        <w:tabs>
          <w:tab w:leader="none" w:pos="17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nine months following the death or Incapacity of all Founders; and</w:t>
      </w:r>
    </w:p>
    <w:p>
      <w:pPr>
        <w:spacing w:after="0" w:line="225"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the seven year anniversary of the Effective Time.</w:t>
      </w:r>
    </w:p>
    <w:p>
      <w:pPr>
        <w:spacing w:after="0" w:line="225" w:lineRule="exact"/>
        <w:rPr>
          <w:sz w:val="20"/>
          <w:szCs w:val="20"/>
          <w:color w:val="auto"/>
        </w:rPr>
      </w:pPr>
    </w:p>
    <w:p>
      <w:pPr>
        <w:ind w:right="120" w:firstLine="990"/>
        <w:spacing w:after="0" w:line="258" w:lineRule="auto"/>
        <w:rPr>
          <w:sz w:val="20"/>
          <w:szCs w:val="20"/>
          <w:color w:val="auto"/>
        </w:rPr>
      </w:pPr>
      <w:r>
        <w:rPr>
          <w:rFonts w:ascii="Times New Roman" w:cs="Times New Roman" w:eastAsia="Times New Roman" w:hAnsi="Times New Roman"/>
          <w:sz w:val="18"/>
          <w:szCs w:val="18"/>
          <w:color w:val="auto"/>
        </w:rPr>
        <w:t>Following such conversion, the reissuance of any shares of Series B Common Stock shall be prohibited, and the Corporation shall take all necessary action to retire each share of Series B Common Stock in accordance with Section 243 of the DGCL, including filing a certificate of retirement with the Secretary of State of the State of Delaware required thereby, and upon the effectiveness of such certificate of retirement, it shall have the effect of reducing the number of authorized shares of Series B Common Stock and eliminating all references to Series B Common Stock in this Certificate of Incorporation.</w:t>
      </w:r>
    </w:p>
    <w:p>
      <w:pPr>
        <w:spacing w:after="0" w:line="183" w:lineRule="exact"/>
        <w:rPr>
          <w:sz w:val="20"/>
          <w:szCs w:val="20"/>
          <w:color w:val="auto"/>
        </w:rPr>
      </w:pPr>
    </w:p>
    <w:p>
      <w:pPr>
        <w:ind w:right="140" w:firstLine="998"/>
        <w:spacing w:after="0" w:line="255" w:lineRule="auto"/>
        <w:tabs>
          <w:tab w:leader="none" w:pos="1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xml:space="preserve">. The Corporation may, from time to time, establish such policies and procedures relating to the conversion of Series B Common Stock to Series A Common Stock in accordance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and the general administration of this dual series stock structure, including the issuance of stock certificates (or the establishment of book-entry positions) with respect thereto, as it may deem necessary or advisable, and may request that holders of shares of Series B Common Stock furnish certifications, affidavits or other proof to the Corporation as it deems necessary to verify the ownership of Series B Common Stock and to confirm that a conversion to Series A Common Stock has not occurred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B(3)(b)(ii). A determination by the Board that a Transfer results in a conversion to Series A Common Stock shall be conclusive and binding.</w:t>
      </w:r>
    </w:p>
    <w:p>
      <w:pPr>
        <w:spacing w:after="0" w:line="188" w:lineRule="exact"/>
        <w:rPr>
          <w:rFonts w:ascii="Times New Roman" w:cs="Times New Roman" w:eastAsia="Times New Roman" w:hAnsi="Times New Roman"/>
          <w:sz w:val="18"/>
          <w:szCs w:val="18"/>
          <w:color w:val="auto"/>
        </w:rPr>
      </w:pPr>
    </w:p>
    <w:p>
      <w:pPr>
        <w:ind w:firstLine="998"/>
        <w:spacing w:after="0" w:line="254" w:lineRule="auto"/>
        <w:tabs>
          <w:tab w:leader="none" w:pos="12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Immediate Effect of Conversion</w:t>
      </w:r>
      <w:r>
        <w:rPr>
          <w:rFonts w:ascii="Times New Roman" w:cs="Times New Roman" w:eastAsia="Times New Roman" w:hAnsi="Times New Roman"/>
          <w:sz w:val="18"/>
          <w:szCs w:val="18"/>
          <w:color w:val="auto"/>
        </w:rPr>
        <w:t xml:space="preserve">. In the event of a conversion of shares of Series B Common Stock to shares of Series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such conversion(s) shall be deemed to have been effective immediately prior to the close of business on the date that the Corporation’s transfer agent receives the written notice required under Section B(3)(a)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time that the Transfer of such shares occurred under Section B(3)(b)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date specified in Section B(3)(c)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applicable. Upon any conversion of Series B Common Stock to Series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 all rights of the holder of such shares of Series B Common Stock shall cease and the person or persons in whose names or names the certificate or certificates (or book-entry position(s) representing the shares of Series A Common Stock) are to be issued shall be treated for all purposes as having become the record holder or holders of such number of shares of Series A Common Stock into which such shares of Series B Common Stock were converted. Shares of Series B Common Stock that are converted into shares of Series A Common Stock as provided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 shall be retired and shall not be reissued.</w:t>
      </w:r>
    </w:p>
    <w:p>
      <w:pPr>
        <w:spacing w:after="0" w:line="188" w:lineRule="exact"/>
        <w:rPr>
          <w:rFonts w:ascii="Times New Roman" w:cs="Times New Roman" w:eastAsia="Times New Roman" w:hAnsi="Times New Roman"/>
          <w:sz w:val="18"/>
          <w:szCs w:val="18"/>
          <w:color w:val="auto"/>
        </w:rPr>
      </w:pPr>
    </w:p>
    <w:p>
      <w:pPr>
        <w:ind w:right="160" w:firstLine="998"/>
        <w:spacing w:after="0" w:line="261" w:lineRule="auto"/>
        <w:tabs>
          <w:tab w:leader="none" w:pos="1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xml:space="preserve">. The Corporation shall at all times reserve and keep available out of its authorized but unissued shares of Series A Common Stock, solely for the purpose of effecting the conversion of the shares of Series B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 such number of its shares of Series A Common Stock as shall from time to time be sufficient to effect the conversion of all outstanding shares of Series B Common Stock into shares of Series A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right="20" w:firstLine="458"/>
        <w:spacing w:after="0" w:line="258"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Issuances</w:t>
      </w:r>
      <w:r>
        <w:rPr>
          <w:rFonts w:ascii="Times New Roman" w:cs="Times New Roman" w:eastAsia="Times New Roman" w:hAnsi="Times New Roman"/>
          <w:sz w:val="18"/>
          <w:szCs w:val="18"/>
          <w:color w:val="auto"/>
        </w:rPr>
        <w:t xml:space="preserve">. Except for the issuance of Series B Common Stock issuable upon the settlement, exercise or conversion of Rights outstanding at the Effective Time, a dividend payable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Section B(3)(a) or a subdivision or reclassification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Section B(3)(b), the Corporation shall not at any time after the Effective Time issue any additional shares of Series B Common Stock, unless such issuance is approved by the affirmative vote of the holders of a majority of the outstanding shares of Series B Common Stock, voting as a separate series.</w:t>
      </w:r>
    </w:p>
    <w:p>
      <w:pPr>
        <w:spacing w:after="0" w:line="183" w:lineRule="exact"/>
        <w:rPr>
          <w:rFonts w:ascii="Times New Roman" w:cs="Times New Roman" w:eastAsia="Times New Roman" w:hAnsi="Times New Roman"/>
          <w:sz w:val="18"/>
          <w:szCs w:val="18"/>
          <w:color w:val="auto"/>
        </w:rPr>
      </w:pPr>
    </w:p>
    <w:p>
      <w:pPr>
        <w:ind w:left="4900" w:hanging="207"/>
        <w:spacing w:after="0"/>
        <w:tabs>
          <w:tab w:leader="none" w:pos="4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The Board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following terms, where capitalized in this Certificate of Incorporation, shall have the meanings ascribed to them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5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spacing w:after="0" w:line="179" w:lineRule="exact"/>
        <w:rPr>
          <w:sz w:val="20"/>
          <w:szCs w:val="20"/>
          <w:color w:val="auto"/>
        </w:rPr>
      </w:pPr>
    </w:p>
    <w:p>
      <w:pPr>
        <w:ind w:right="20" w:firstLine="45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Share Issuance</w:t>
      </w:r>
      <w:r>
        <w:rPr>
          <w:rFonts w:ascii="Times New Roman" w:cs="Times New Roman" w:eastAsia="Times New Roman" w:hAnsi="Times New Roman"/>
          <w:sz w:val="18"/>
          <w:szCs w:val="18"/>
          <w:color w:val="auto"/>
        </w:rPr>
        <w:t>” means the issuance by the Corporation, in a transaction or series of related transactions, of voting securities of the Corporation to any person or persons acting as a group as contemplated in Rule 13d-5(b) under the Exchange Act (or any successor provision) that immediately prior to such transaction or series of related transactions held 50% or less of the total voting power of the Corporation (assuming Series A Common Stock and Series B Common Stock each have one vote per share), such that, immediately following such transaction or series of related transactions, such person or group of persons would hold more than 50% of the total voting power of the Corporation (assuming Series A Common Stock and Series B Common Stock each have one vote per share).</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 w:name="page16"/>
    <w:bookmarkEnd w:id="15"/>
    <w:p>
      <w:pPr>
        <w:ind w:firstLine="45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 Transaction</w:t>
      </w:r>
      <w:r>
        <w:rPr>
          <w:rFonts w:ascii="Times New Roman" w:cs="Times New Roman" w:eastAsia="Times New Roman" w:hAnsi="Times New Roman"/>
          <w:sz w:val="18"/>
          <w:szCs w:val="18"/>
          <w:color w:val="auto"/>
        </w:rPr>
        <w:t xml:space="preserve">” means (i) the sale, lease, exclusive license,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sale, lease, exclusive license, exchange or other disposition of property or assets exclusively between or among the Corporation and any direct or indirect subsidiary or subsidiaries of the Corporation shall not be deemed a “Change of Control Transaction”;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50% of the total voting power represented by the voting securities of the Corporation, surviving entity or its parent (as applicable)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50% of the total number of outstanding shares of the Corporation’s, surviving entity’s or its parent’s (as applicable)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(as applicable)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50% of the total voting power represented by the voting securities of the Corporation, surviving entity or its parent (as applicable)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50% of the total number of outstanding shares of the Corporation’s, surviving entity’s or parent’s (as applicable)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(iv) any Change of Control Share Issuance; and (v) any transfer, domestication, continuance, conversion or other similar transaction of the Corporation other than a transfer, domestication, continuance, conversion or other similar transaction that would result in the voting securities of the Corporation outstanding immediately prior thereto continuing to represent (either by remaining outstanding or by being converted into voting securities of the transferred, domesticated, continued or converted entity or its parent) more than 50% of the total voting power represented by the voting securities of the Corporation, the transferred, domesticated, continued or converted entity or its parent (as applicable)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more than 50% of the total number of outstanding shares of the Corporation’s, the transferred, domesticated, continued or converted entity’s or it parent’s (as applicable) capital stock, in each case as outstanding immediately after such transfer, domestication, continuance, conversion or other similar transaction, and the stockholders of the Corporation immediately prior to the transfer, domestication, continuance, conversion or other similar transaction own voting securities of the Corporation, the transferred, domesticated, continued or converted entity of its parent (as applicable) immediately following the transfer, domestication, continuance, conversion or other similar transaction in substantially the same proportions (vis-à-vis each other) as such stockholders owned the voting securities of the Corporation immediately prior to the transaction.</w:t>
      </w:r>
    </w:p>
    <w:p>
      <w:pPr>
        <w:spacing w:after="0" w:line="200" w:lineRule="exact"/>
        <w:rPr>
          <w:sz w:val="20"/>
          <w:szCs w:val="20"/>
          <w:color w:val="auto"/>
        </w:rPr>
      </w:pPr>
    </w:p>
    <w:p>
      <w:pPr>
        <w:ind w:right="320"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Directors</w:t>
      </w:r>
      <w:r>
        <w:rPr>
          <w:rFonts w:ascii="Times New Roman" w:cs="Times New Roman" w:eastAsia="Times New Roman" w:hAnsi="Times New Roman"/>
          <w:sz w:val="18"/>
          <w:szCs w:val="18"/>
          <w:color w:val="auto"/>
        </w:rPr>
        <w:t>” means the Directors who have been determined by the Board to be disinterested with respect to a particular Transfer or Change of Control Transaction, as applicable.</w:t>
      </w:r>
    </w:p>
    <w:p>
      <w:pPr>
        <w:spacing w:after="0" w:line="155" w:lineRule="exact"/>
        <w:rPr>
          <w:sz w:val="20"/>
          <w:szCs w:val="20"/>
          <w:color w:val="auto"/>
        </w:rPr>
      </w:pPr>
    </w:p>
    <w:p>
      <w:pPr>
        <w:jc w:val="both"/>
        <w:ind w:right="80" w:firstLine="45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(i) any dividend of cash, property or shares of the Corporation’s capital stock payable to holders of shares of the Corporation’s capital stock; and (ii) any distribution to holders of shares of the Corporation’s capital stock following or in connection with any liquidation, dissolution or winding up of the Corporation, either voluntary or involuntary.</w:t>
      </w:r>
    </w:p>
    <w:p>
      <w:pPr>
        <w:spacing w:after="0" w:line="17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of the completion of the transactions contemplated by that certain Business Combination Agreement, by and among Cartesian Growth Corporation III, a Cayman Islands exempted company, Fenway MS, Inc., a Delaware corporation, and Factorial Inc., a Delaware corporation, dated as of December 17, 2025.</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each of Siyu Huang and Alex Yu].</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200" w:firstLine="45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Incapacity</w:t>
      </w:r>
      <w:r>
        <w:rPr>
          <w:rFonts w:ascii="Times New Roman" w:cs="Times New Roman" w:eastAsia="Times New Roman" w:hAnsi="Times New Roman"/>
          <w:sz w:val="18"/>
          <w:szCs w:val="18"/>
          <w:color w:val="auto"/>
        </w:rPr>
        <w:t>” means that such Series B Stockholder is incapable of managing such holder’s financial affairs under the criteria set forth in the applicable probate code and such incapacity has lasted or can be expected to last for a continuous period of not less than 12 months or is suffering from a condition that can be expected to result in death, in each case, as determined by a licensed medical practitioner jointly selected by a majority of the Disinterested Directors and such Founder or such Founder’s legal representative. In the event of a dispute regarding whether a Series B Stockholder has suffered an Incapacity, no Incapacity of such holder will be deemed to have occurred unless and until an affirmative ruling regarding such Incapacity has been made by a court of competent jurisdiction.</w:t>
      </w:r>
    </w:p>
    <w:p>
      <w:pPr>
        <w:spacing w:after="0" w:line="182" w:lineRule="exact"/>
        <w:rPr>
          <w:sz w:val="20"/>
          <w:szCs w:val="20"/>
          <w:color w:val="auto"/>
        </w:rPr>
      </w:pPr>
    </w:p>
    <w:p>
      <w:pPr>
        <w:ind w:right="360"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means any option, warrant, restricted stock unit, conversion right or contractual right of any kind to acquire shares of the Corporation’s authorized but unissued capital stock.</w:t>
      </w:r>
    </w:p>
    <w:p>
      <w:pPr>
        <w:spacing w:after="0" w:line="155"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Exchange</w:t>
      </w:r>
      <w:r>
        <w:rPr>
          <w:rFonts w:ascii="Times New Roman" w:cs="Times New Roman" w:eastAsia="Times New Roman" w:hAnsi="Times New Roman"/>
          <w:sz w:val="18"/>
          <w:szCs w:val="18"/>
          <w:color w:val="auto"/>
        </w:rPr>
        <w:t>” means, at any time, the registered national securities exchange on which the Corporation’s equity securities are then principally listed or traded, which shall be the New York Stock Exchange or Nasdaq Stock Market (or similar national quotation system of the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any successor exchange of either the New York Stock Exchange or Nasdaq.</w:t>
      </w:r>
    </w:p>
    <w:p>
      <w:pPr>
        <w:spacing w:after="0" w:line="171" w:lineRule="exact"/>
        <w:rPr>
          <w:sz w:val="20"/>
          <w:szCs w:val="20"/>
          <w:color w:val="auto"/>
        </w:rPr>
      </w:pPr>
    </w:p>
    <w:p>
      <w:pPr>
        <w:ind w:right="180" w:firstLine="45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B Stockholder</w:t>
      </w:r>
      <w:r>
        <w:rPr>
          <w:rFonts w:ascii="Times New Roman" w:cs="Times New Roman" w:eastAsia="Times New Roman" w:hAnsi="Times New Roman"/>
          <w:sz w:val="17"/>
          <w:szCs w:val="17"/>
          <w:color w:val="auto"/>
        </w:rPr>
        <w:t>” means (i) the registered holder of a share of Series B Common Stock issued at or prior to the Effective Time, (ii) the registered holder of any shares of Series B Common Stock that are originally issued by the Corporation after the Effective Time and (iii) any registered holder of a share of Series B Common Stock described in clause (i) or (ii) who acquires such share of Series B Common Stock as a Permitted Transferee.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Securities Exchange is open for trading.</w:t>
      </w:r>
    </w:p>
    <w:p>
      <w:pPr>
        <w:spacing w:after="0" w:line="225" w:lineRule="exact"/>
        <w:rPr>
          <w:sz w:val="20"/>
          <w:szCs w:val="20"/>
          <w:color w:val="auto"/>
        </w:rPr>
      </w:pPr>
    </w:p>
    <w:p>
      <w:pPr>
        <w:ind w:right="120" w:firstLine="45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Threshold Shares</w:t>
      </w:r>
      <w:r>
        <w:rPr>
          <w:rFonts w:ascii="Times New Roman" w:cs="Times New Roman" w:eastAsia="Times New Roman" w:hAnsi="Times New Roman"/>
          <w:sz w:val="18"/>
          <w:szCs w:val="18"/>
          <w:color w:val="auto"/>
        </w:rPr>
        <w:t>” means, with respect to any person as of any time, the sum of (without duplication): (a) any shares of capital stock of the Corporation, including Series A Common Stock and Series B Common Stock, held by such person as of such time; and (b) any shares of capital stock of the Corporation, including Series A Common Stock and Series B Common Stock, underlying any securities (including restricted stock units, options or other convertible instruments) held by such person as of such time, whether such securities are vested or unvested, earned or unearned, or convertible into or exchangeable or exercisable for such shares of capital stock, as of such time or in the future.</w:t>
      </w:r>
    </w:p>
    <w:p>
      <w:pPr>
        <w:spacing w:after="0" w:line="179" w:lineRule="exact"/>
        <w:rPr>
          <w:sz w:val="20"/>
          <w:szCs w:val="20"/>
          <w:color w:val="auto"/>
        </w:rPr>
      </w:pPr>
    </w:p>
    <w:p>
      <w:pPr>
        <w:ind w:firstLine="45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of a share of Series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(i) a transfer of a share of Series B Common Stock to a broker or other nominee (regardless of whether or not there is a corresponding change in beneficial ownership) or (ii) the transfer of, or entering into a binding agreement with respect to, Voting Control over a share of Series B Common Stock by proxy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following shall not be considered a “Transfer”: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Series B Stockholder that creates a mere security interest in such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loan or indebtedness transaction so long as the Series B Stockholder continues to exercise Voting Control over such pledged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foreclosure on such shares of Series B Common Stock or other similar action by the pledgee shall constitute a “Transfer”; (c) the fact that, as of the Effective Time or at any time after the Effective Time, the spouse of any Series B Stockholder possesses or obtains an interest in such holder’s shares of Series B Common Stock arising solely by reason of the application of the community property laws of any jurisdiction, so long as no other event or circumstance shall exist or have occurred that constitutes a “Transfer” of such shares of Series B Common Stock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shares by any holder of shares of Series B Common Stock to such holder’s spouse, including a transfer in connection with a divorce proceeding, domestic relations order or similar legal requirement, shall constitute a “Transfer” of such shares of Series B Common Stock unless otherwise exempt from the definition of Transfer); (d) entering into a trading plan pursuant to Rule 10b5-1 under the Exchange Act with a broker or other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sale of such shares of Series B Common Stock pursuant to such plan shall constitute a “Transfer”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(x) on the death of such Series B Stockholder or (y)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other Founder or Affiliate of such Founder.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7" w:name="page18"/>
    <w:bookmarkEnd w:id="17"/>
    <w:p>
      <w:pPr>
        <w:ind w:firstLine="45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xml:space="preserve">” with respect to a share of Series B Common Stock means the exclusive power (whether directly or indirectly) to vote or direct the voting of such share of Series B Common Stock by proxy, voting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following shall not be considered a loss or other diminishment of “Voting Control”: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holder that creates a mere security interest in such shares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loan or indebtedness transaction so long as the holder continues to exercise voting control over such pledged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foreclosure on such shares of Series B Common Stock or other similar action by the pledgee shall constitute a loss of “Voting Control”; (c) the fact that, as of the Effective Time or at any time after the Effective Time, the spouse of any holder possesses or obtains an interest in such holder’s shares of Series B Common Stock arising solely by reason of the application of the community property laws of any jurisdiction, so long as no other event or circumstance shall exist or have occurred that constitutes a loss of “Voting Control” of such shares of Series B Common Stock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voting control over shares held by any holder of shares of Series B Common Stock to such holder’s spouse, including a transfer of voting control in connection with a divorce proceeding, domestic relations order or similar legal requirement, shall constitute a loss of “Voting Control” of such shares of Series B Common Stock unless otherwise provided herein); (d) entering into a trading plan pursuant to Rule 10b5-1 under the Exchange Act with a broker or other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sale of such shares of Series B Common Stock pursuant to such plan shall constitute a loss of “Voting Control”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(I) on the death of such Series B Stockholder or (II)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Founder or Affiliate of such Founder.</w:t>
      </w:r>
    </w:p>
    <w:p>
      <w:pPr>
        <w:spacing w:after="0" w:line="185" w:lineRule="exact"/>
        <w:rPr>
          <w:sz w:val="20"/>
          <w:szCs w:val="20"/>
          <w:color w:val="auto"/>
        </w:rPr>
      </w:pPr>
    </w:p>
    <w:p>
      <w:pPr>
        <w:ind w:right="120" w:firstLine="45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Threshold Date</w:t>
      </w:r>
      <w:r>
        <w:rPr>
          <w:rFonts w:ascii="Times New Roman" w:cs="Times New Roman" w:eastAsia="Times New Roman" w:hAnsi="Times New Roman"/>
          <w:sz w:val="18"/>
          <w:szCs w:val="18"/>
          <w:color w:val="auto"/>
        </w:rPr>
        <w:t>” means the first date on which the outstanding shares of Series B Common Stock represent less than a majority of the total voting power of the then outstanding shares of capital stock of the Corporation entitled to vote generally in the election of Directors.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ind w:firstLine="458"/>
        <w:spacing w:after="0" w:line="254"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Subject to the rights, if any, of the holders of shares of Preferred Stock, from and after the Voting Threshold Date,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Subject to the rights of the holders of any shares of Preferred Stock, before the Voting Threshold Date, any action required or permitted to be taken by the stockholders of the Corporation may be taken without a meeting, without prior notice and without a vote if: (x) the action is first recommended or approved by the Board and (y)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w:t>
      </w:r>
    </w:p>
    <w:p>
      <w:pPr>
        <w:spacing w:after="0" w:line="191" w:lineRule="exact"/>
        <w:rPr>
          <w:rFonts w:ascii="Times New Roman" w:cs="Times New Roman" w:eastAsia="Times New Roman" w:hAnsi="Times New Roman"/>
          <w:sz w:val="18"/>
          <w:szCs w:val="18"/>
          <w:color w:val="auto"/>
        </w:rPr>
      </w:pPr>
    </w:p>
    <w:p>
      <w:pPr>
        <w:ind w:right="40" w:firstLine="458"/>
        <w:spacing w:after="0" w:line="261"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shares of any series of Preferred Stock, special meetings of the stockholders of the Corporation may be called only by the Board, and special meetings of stockholders may not be called by any other person or persons. Only those matters set forth in the notice of the special meeting may be considered or acted upon at a special meeting of stockholders of the Corporation.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5240" w:hanging="224"/>
        <w:spacing w:after="0"/>
        <w:tabs>
          <w:tab w:leader="none" w:pos="5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p>
    <w:p>
      <w:pPr>
        <w:spacing w:after="0" w:line="225" w:lineRule="exact"/>
        <w:rPr>
          <w:rFonts w:ascii="Times New Roman" w:cs="Times New Roman" w:eastAsia="Times New Roman" w:hAnsi="Times New Roman"/>
          <w:sz w:val="18"/>
          <w:szCs w:val="18"/>
          <w:color w:val="auto"/>
        </w:rPr>
      </w:pPr>
    </w:p>
    <w:p>
      <w:pPr>
        <w:ind w:right="100" w:firstLine="458"/>
        <w:spacing w:after="0" w:line="282" w:lineRule="auto"/>
        <w:tabs>
          <w:tab w:leader="none" w:pos="6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firstLine="458"/>
        <w:spacing w:after="0" w:line="253" w:lineRule="auto"/>
        <w:tabs>
          <w:tab w:leader="none" w:pos="6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xml:space="preserve">. Except as otherwise provided for or fixed pursuant to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(including any certificate of designation with respect to any series of Preferred Stock) and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relating to the rights of the holders of any series of Preferred Stock to elect additional Directors, the number of Directors of the Corporation (the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shall be fixed solely and exclusively by resolution duly adopted from time to time by the Board.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 scheduled annual meeting of stockholders following the Effective Time. The term of office of the initial Class II Directors shall expire at the second annual meeting of stockholders following the Effective Time. The term of office of the initial Class III Directors shall expire at the third annual meeting of stockholders following the Effective Time. The Board is authorized to assign members of the Board already in office to such classes at the time the classification of the Board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spacing w:after="0" w:line="187"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whenever, pursuant to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Certificate of Incorporation,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of Incorporation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of the Corporation shall automatically be reduced accordingly.</w:t>
      </w:r>
    </w:p>
    <w:p>
      <w:pPr>
        <w:spacing w:after="0" w:line="196" w:lineRule="exact"/>
        <w:rPr>
          <w:sz w:val="20"/>
          <w:szCs w:val="20"/>
          <w:color w:val="auto"/>
        </w:rPr>
      </w:pPr>
    </w:p>
    <w:p>
      <w:pPr>
        <w:ind w:firstLine="458"/>
        <w:spacing w:after="0" w:line="253" w:lineRule="auto"/>
        <w:tabs>
          <w:tab w:leader="none" w:pos="6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xml:space="preserve">. Subject to the rights, if any, of the holders of any series of Preferred Stock to elect Directors and to fill vacancies in the Board relating thereto, any and all vacancies and newly created directorships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disqualification, death or removal. Subject to the rights, if any, of the holders of any series of Preferred Stock to elect Directors, when the number of Directors is increased or decreased, the Board shall, subject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Section 2 hereof, determine the class or classes to which the increased or decreased number of Directors shall be apportioned. In the event of a vacancy in the Board, the remaining Directors, except as otherwise provided by law, shall exercise the powers of the full Board until the vacancy is filled.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9" w:name="page20"/>
    <w:bookmarkEnd w:id="19"/>
    <w:p>
      <w:pPr>
        <w:ind w:left="-20" w:firstLine="458"/>
        <w:spacing w:after="0" w:line="256" w:lineRule="auto"/>
        <w:tabs>
          <w:tab w:leader="none" w:pos="6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Preferred Stock to elect Directors and to remove any Director whom the holders of any such series have the right to elect, any Director (including persons elected by Directors to fill vacancies on the Board) may be removed from office (i) only for cause and (ii) only by the affirmative vote of the holders of not less than 2/3 of the voting power of the outstanding shares of capital stock then entitled to vote at an election of Directors. At least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left="-20" w:right="60" w:firstLine="458"/>
        <w:spacing w:after="0" w:line="255" w:lineRule="auto"/>
        <w:tabs>
          <w:tab w:leader="none" w:pos="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the fullest extent permitted by the DGCL, as the same exists or may hereafter be amended from time to time,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8" w:lineRule="exact"/>
        <w:rPr>
          <w:rFonts w:ascii="Times New Roman" w:cs="Times New Roman" w:eastAsia="Times New Roman" w:hAnsi="Times New Roman"/>
          <w:sz w:val="18"/>
          <w:szCs w:val="18"/>
          <w:color w:val="auto"/>
        </w:rPr>
      </w:pPr>
    </w:p>
    <w:p>
      <w:pPr>
        <w:ind w:left="-20" w:right="20" w:firstLine="458"/>
        <w:spacing w:after="0" w:line="253" w:lineRule="auto"/>
        <w:tabs>
          <w:tab w:leader="none" w:pos="6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To the fullest extent permitted by the DGCL, as the same exists or may hereafter be amended from time to time,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of Incorporation to authorize corporate action further eliminating or limiting the personal liability of Officers, then the liability of an Officer of the Corporation shall be eliminated or limited to the fullest extent permitted by the DGCL, as so amended.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spacing w:after="0" w:line="194" w:lineRule="exact"/>
        <w:rPr>
          <w:rFonts w:ascii="Times New Roman" w:cs="Times New Roman" w:eastAsia="Times New Roman" w:hAnsi="Times New Roman"/>
          <w:sz w:val="18"/>
          <w:szCs w:val="18"/>
          <w:color w:val="auto"/>
        </w:rPr>
      </w:pPr>
    </w:p>
    <w:p>
      <w:pPr>
        <w:ind w:left="-20" w:right="280" w:firstLine="458"/>
        <w:spacing w:after="0" w:line="289" w:lineRule="auto"/>
        <w:tabs>
          <w:tab w:leader="none" w:pos="61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or Modification</w:t>
      </w:r>
      <w:r>
        <w:rPr>
          <w:rFonts w:ascii="Times New Roman" w:cs="Times New Roman" w:eastAsia="Times New Roman" w:hAnsi="Times New Roman"/>
          <w:sz w:val="17"/>
          <w:szCs w:val="17"/>
          <w:color w:val="auto"/>
        </w:rPr>
        <w:t xml:space="preserve">. Any amendment, repeal or modification of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left="-20" w:firstLine="458"/>
        <w:spacing w:after="0" w:line="282" w:lineRule="auto"/>
        <w:tabs>
          <w:tab w:leader="none" w:pos="6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adopted, amended or repealed by the Board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left="-20" w:firstLine="458"/>
        <w:spacing w:after="0" w:line="258" w:lineRule="auto"/>
        <w:tabs>
          <w:tab w:leader="none" w:pos="6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xml:space="preserve">. Except as otherwise provided therein, the Bylaws of the Corporation may be amended or repealed by the stockholders by the affirmative vote of the holders of at least 2/3 of the voting power of the outstanding shares of capital stock entitled to vote on such amendment or repeal,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Board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0" w:name="page21"/>
    <w:bookmarkEnd w:id="2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ind w:firstLine="45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of Incorporation in the manner now or hereafter prescribed by statute and this Certificate of Incorporation, and all rights conferred upon stockholders herein are granted subject to this reservation. For the avoidance of doubt, the provisions of Sections 242(d)(1) and (d)(2) of the DGCL shall apply to the Corporation.</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7"/>
          <w:szCs w:val="17"/>
          <w:color w:val="auto"/>
        </w:rPr>
        <w:t>THIS CERTIFICATE OF INCORPORATION is executed this [ ] day of [       ], 202[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CGC Bylaws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FACTORIAL ENERGY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Sections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4" w:right="20" w:firstLine="648"/>
        <w:spacing w:after="0" w:line="257" w:lineRule="auto"/>
        <w:rPr>
          <w:sz w:val="20"/>
          <w:szCs w:val="20"/>
          <w:color w:val="auto"/>
        </w:rPr>
      </w:pPr>
      <w:r>
        <w:rPr>
          <w:rFonts w:ascii="Times New Roman" w:cs="Times New Roman" w:eastAsia="Times New Roman" w:hAnsi="Times New Roman"/>
          <w:sz w:val="18"/>
          <w:szCs w:val="18"/>
          <w:color w:val="auto"/>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w:t>
      </w:r>
    </w:p>
    <w:p>
      <w:pPr>
        <w:spacing w:after="0" w:line="1" w:lineRule="exact"/>
        <w:rPr>
          <w:sz w:val="20"/>
          <w:szCs w:val="20"/>
          <w:color w:val="auto"/>
        </w:rPr>
      </w:pPr>
    </w:p>
    <w:p>
      <w:pPr>
        <w:ind w:left="4" w:right="20" w:hanging="4"/>
        <w:spacing w:after="0" w:line="251" w:lineRule="auto"/>
        <w:tabs>
          <w:tab w:leader="none" w:pos="3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Such stockholder’s Timely Notice shall set forth or include:</w:t>
      </w:r>
    </w:p>
    <w:p>
      <w:pPr>
        <w:spacing w:after="0" w:line="193" w:lineRule="exact"/>
        <w:rPr>
          <w:sz w:val="20"/>
          <w:szCs w:val="20"/>
          <w:color w:val="auto"/>
        </w:rPr>
      </w:pPr>
    </w:p>
    <w:p>
      <w:pPr>
        <w:ind w:left="644" w:right="20" w:firstLine="648"/>
        <w:spacing w:after="0" w:line="252" w:lineRule="auto"/>
        <w:rPr>
          <w:sz w:val="20"/>
          <w:szCs w:val="20"/>
          <w:color w:val="auto"/>
        </w:rPr>
      </w:pPr>
      <w:r>
        <w:rPr>
          <w:rFonts w:ascii="Times New Roman" w:cs="Times New Roman" w:eastAsia="Times New Roman" w:hAnsi="Times New Roman"/>
          <w:sz w:val="18"/>
          <w:szCs w:val="18"/>
          <w:color w:val="auto"/>
        </w:rPr>
        <w:t>(A)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w:t>
      </w:r>
    </w:p>
    <w:p>
      <w:pPr>
        <w:spacing w:after="0" w:line="4" w:lineRule="exact"/>
        <w:rPr>
          <w:sz w:val="20"/>
          <w:szCs w:val="20"/>
          <w:color w:val="auto"/>
        </w:rPr>
      </w:pPr>
    </w:p>
    <w:p>
      <w:pPr>
        <w:ind w:left="644" w:firstLine="4"/>
        <w:spacing w:after="0" w:line="251" w:lineRule="auto"/>
        <w:tabs>
          <w:tab w:leader="none" w:pos="8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189" w:lineRule="exact"/>
        <w:rPr>
          <w:sz w:val="20"/>
          <w:szCs w:val="20"/>
          <w:color w:val="auto"/>
        </w:rPr>
      </w:pPr>
    </w:p>
    <w:p>
      <w:pPr>
        <w:ind w:left="644" w:right="240" w:firstLine="648"/>
        <w:spacing w:after="0" w:line="289" w:lineRule="auto"/>
        <w:rPr>
          <w:sz w:val="20"/>
          <w:szCs w:val="20"/>
          <w:color w:val="auto"/>
        </w:rPr>
      </w:pPr>
      <w:r>
        <w:rPr>
          <w:rFonts w:ascii="Times New Roman" w:cs="Times New Roman" w:eastAsia="Times New Roman" w:hAnsi="Times New Roman"/>
          <w:sz w:val="17"/>
          <w:szCs w:val="17"/>
          <w:color w:val="auto"/>
        </w:rPr>
        <w:t>(B)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37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ind w:left="180" w:firstLine="648"/>
        <w:spacing w:after="0" w:line="252" w:lineRule="auto"/>
        <w:rPr>
          <w:sz w:val="20"/>
          <w:szCs w:val="20"/>
          <w:color w:val="auto"/>
        </w:rPr>
      </w:pPr>
      <w:r>
        <w:rPr>
          <w:rFonts w:ascii="Times New Roman" w:cs="Times New Roman" w:eastAsia="Times New Roman" w:hAnsi="Times New Roman"/>
          <w:sz w:val="18"/>
          <w:szCs w:val="18"/>
          <w:color w:val="auto"/>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w:t>
      </w:r>
    </w:p>
    <w:p>
      <w:pPr>
        <w:spacing w:after="0" w:line="4" w:lineRule="exact"/>
        <w:rPr>
          <w:sz w:val="20"/>
          <w:szCs w:val="20"/>
          <w:color w:val="auto"/>
        </w:rPr>
      </w:pPr>
    </w:p>
    <w:p>
      <w:pPr>
        <w:ind w:left="180" w:firstLine="4"/>
        <w:spacing w:after="0" w:line="251" w:lineRule="auto"/>
        <w:tabs>
          <w:tab w:leader="none" w:pos="4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188" w:lineRule="exact"/>
        <w:rPr>
          <w:sz w:val="20"/>
          <w:szCs w:val="20"/>
          <w:color w:val="auto"/>
        </w:rPr>
      </w:pPr>
    </w:p>
    <w:p>
      <w:pPr>
        <w:ind w:left="180" w:firstLine="648"/>
        <w:spacing w:after="0" w:line="253" w:lineRule="auto"/>
        <w:rPr>
          <w:sz w:val="20"/>
          <w:szCs w:val="20"/>
          <w:color w:val="auto"/>
        </w:rPr>
      </w:pPr>
      <w:r>
        <w:rPr>
          <w:rFonts w:ascii="Times New Roman" w:cs="Times New Roman" w:eastAsia="Times New Roman" w:hAnsi="Times New Roman"/>
          <w:sz w:val="18"/>
          <w:szCs w:val="18"/>
          <w:color w:val="auto"/>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6" w:name="page27"/>
    <w:bookmarkEnd w:id="26"/>
    <w:p>
      <w:pPr>
        <w:ind w:left="640" w:right="20" w:firstLine="648"/>
        <w:spacing w:after="0" w:line="252" w:lineRule="auto"/>
        <w:rPr>
          <w:sz w:val="20"/>
          <w:szCs w:val="20"/>
          <w:color w:val="auto"/>
        </w:rPr>
      </w:pPr>
      <w:r>
        <w:rPr>
          <w:rFonts w:ascii="Times New Roman" w:cs="Times New Roman" w:eastAsia="Times New Roman" w:hAnsi="Times New Roman"/>
          <w:sz w:val="18"/>
          <w:szCs w:val="18"/>
          <w:color w:val="auto"/>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7"/>
          <w:szCs w:val="17"/>
          <w:color w:val="auto"/>
        </w:rPr>
        <w:t>(3)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w:t>
      </w:r>
    </w:p>
    <w:p>
      <w:pPr>
        <w:spacing w:after="0" w:line="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ind w:left="4" w:right="120" w:firstLine="648"/>
        <w:spacing w:after="0" w:line="255" w:lineRule="auto"/>
        <w:rPr>
          <w:sz w:val="20"/>
          <w:szCs w:val="20"/>
          <w:color w:val="auto"/>
        </w:rPr>
      </w:pPr>
      <w:r>
        <w:rPr>
          <w:rFonts w:ascii="Times New Roman" w:cs="Times New Roman" w:eastAsia="Times New Roman" w:hAnsi="Times New Roman"/>
          <w:sz w:val="18"/>
          <w:szCs w:val="18"/>
          <w:color w:val="auto"/>
        </w:rPr>
        <w:t>(4)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648"/>
        <w:spacing w:after="0" w:line="268" w:lineRule="auto"/>
        <w:rPr>
          <w:sz w:val="20"/>
          <w:szCs w:val="20"/>
          <w:color w:val="auto"/>
        </w:rPr>
      </w:pPr>
      <w:r>
        <w:rPr>
          <w:rFonts w:ascii="Times New Roman" w:cs="Times New Roman" w:eastAsia="Times New Roman" w:hAnsi="Times New Roman"/>
          <w:sz w:val="17"/>
          <w:szCs w:val="17"/>
          <w:color w:val="auto"/>
        </w:rPr>
        <w:t>(1)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w:t>
      </w:r>
    </w:p>
    <w:p>
      <w:pPr>
        <w:spacing w:after="0" w:line="5" w:lineRule="exact"/>
        <w:rPr>
          <w:sz w:val="20"/>
          <w:szCs w:val="20"/>
          <w:color w:val="auto"/>
        </w:rPr>
      </w:pPr>
    </w:p>
    <w:p>
      <w:pPr>
        <w:ind w:left="4" w:right="80" w:hanging="4"/>
        <w:spacing w:after="0" w:line="253" w:lineRule="auto"/>
        <w:tabs>
          <w:tab w:leader="none" w:pos="1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spacing w:after="0" w:line="189"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6" w:lineRule="exact"/>
        <w:rPr>
          <w:sz w:val="20"/>
          <w:szCs w:val="20"/>
          <w:color w:val="auto"/>
        </w:rPr>
      </w:pPr>
    </w:p>
    <w:p>
      <w:pPr>
        <w:ind w:left="4" w:right="20" w:firstLine="648"/>
        <w:spacing w:after="0" w:line="255" w:lineRule="auto"/>
        <w:rPr>
          <w:sz w:val="20"/>
          <w:szCs w:val="20"/>
          <w:color w:val="auto"/>
        </w:rPr>
      </w:pPr>
      <w:r>
        <w:rPr>
          <w:rFonts w:ascii="Times New Roman" w:cs="Times New Roman" w:eastAsia="Times New Roman" w:hAnsi="Times New Roman"/>
          <w:sz w:val="18"/>
          <w:szCs w:val="18"/>
          <w:color w:val="auto"/>
        </w:rPr>
        <w:t>(3)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ind w:left="660" w:right="360" w:firstLine="648"/>
        <w:spacing w:after="0" w:line="266" w:lineRule="auto"/>
        <w:rPr>
          <w:sz w:val="20"/>
          <w:szCs w:val="20"/>
          <w:color w:val="auto"/>
        </w:rPr>
      </w:pPr>
      <w:r>
        <w:rPr>
          <w:rFonts w:ascii="Times New Roman" w:cs="Times New Roman" w:eastAsia="Times New Roman" w:hAnsi="Times New Roman"/>
          <w:sz w:val="18"/>
          <w:szCs w:val="18"/>
          <w:color w:val="auto"/>
        </w:rPr>
        <w:t>(4)              For purposes of this Bylaw, “public announcement” shall mean disclosure in a press release reported by the Dow Jones News Service, Associated Press or comparable national news service or in a document publicly filed by the Corporation with the Securities and Exchange Commission (“SEC”) pursuant to Section 13, 14 or 15(d) of the Exchange Act.</w:t>
      </w:r>
    </w:p>
    <w:p>
      <w:pPr>
        <w:spacing w:after="0" w:line="176" w:lineRule="exact"/>
        <w:rPr>
          <w:sz w:val="20"/>
          <w:szCs w:val="20"/>
          <w:color w:val="auto"/>
        </w:rPr>
      </w:pPr>
    </w:p>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183"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90" w:lineRule="exact"/>
        <w:rPr>
          <w:sz w:val="20"/>
          <w:szCs w:val="20"/>
          <w:color w:val="auto"/>
        </w:rPr>
      </w:pPr>
    </w:p>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              Notice of all special meetings of stockholders shall be given in the same manner as provided for Annual Meetings, except that the notice of all special meetings shall also state the purpose or purposes for which the meeting has been called.</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w:t>
      </w:r>
    </w:p>
    <w:p>
      <w:pPr>
        <w:spacing w:after="0" w:line="3"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(ii) by written proxy or (iii) by a transmission permitted by Section 212(c) of the DGCL. Any copy, facsimile telecommunication or other</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18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(b)              Any stockholder directly or indirectly soliciting proxies from other stockholders must use a proxy card color other than white, which shall be reserved for the exclusive use by the Board of Directors.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Corporation shall prepare, no later than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spacing w:after="0" w:line="20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or by applicable law.</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9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affirmative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director or directors in attendance at a meeting called in accordance with Section 17(a) of this Article II shall constitute a quorum.</w:t>
      </w:r>
    </w:p>
    <w:p>
      <w:pPr>
        <w:spacing w:after="0" w:line="225"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spacing w:after="0" w:line="14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Observers</w:t>
      </w:r>
      <w:r>
        <w:rPr>
          <w:rFonts w:ascii="Times New Roman" w:cs="Times New Roman" w:eastAsia="Times New Roman" w:hAnsi="Times New Roman"/>
          <w:sz w:val="18"/>
          <w:szCs w:val="18"/>
          <w:color w:val="auto"/>
        </w:rPr>
        <w:t>. The Corporation may agree to appoint one or more observers to the Board of Directors (each, an “Observer”). The terms of appointment of any Observer shall be at the discretion of the Board of Directors including with respect to entitlement, scope, and timing of communications, participation, and attendance. In no case shall an Observer be entitled to vote at any meeting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the President, the Treasurer and the Secretary. Other officers may be elected by the Board of Directors or by such officers delegated such authority by the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death, resignation or removal.</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Bonded Officers</w:t>
      </w:r>
      <w:r>
        <w:rPr>
          <w:rFonts w:ascii="Times New Roman" w:cs="Times New Roman" w:eastAsia="Times New Roman" w:hAnsi="Times New Roman"/>
          <w:sz w:val="18"/>
          <w:szCs w:val="18"/>
          <w:color w:val="auto"/>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spacing w:after="0" w:line="19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Subject to Section 7(b) of this Article IV, the holders (the “Lock-up Holders”) of common stock of the Corporation, par value of $0.00001 per share (“Common Stock”), including (1) the shares of Common Stock designated as Series A Common Stock (“Series A Common Stock”) and Series B Common Stock, issued (i) as consideration pursuant to the merger of Factorial Inc., a Delaware corporation (“Factorial”), with and into Fenway MS, Inc., a Delaware corporation and a direct, wholly owned subsidiary of the Corporation (“Merger Sub”) (the “Factorial Transaction”), pursuant to that certain Business Combination Agreement, dated as of December 17, 2025 (as amended, the “Business Combination Agreement”), by and among Factorial, the Corporation, and Merger Sub, or (ii) upon the settlement or exercise of warrants, stock options, restricted stock units or other equity awards assumed, continued or substituted by the Corporation pursuant to the Business Combination Agreement (such awards, the “Equity Awards” and such shares, the “Factorial Equity Award Shares”) and (2) the Sponsor Shares, shall not, without the prior written consent of the Board of Directors, Transfer any Lock-up Shares until the end of the Lock-up Period (the “Lock-up”).</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restrictions set forth in Section 7(a) of this Article IV shall not apply to:</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              a Transfer to the Corporation’s officers or directors, any affiliate or family members of the Corporation’s officers or directors, any members or partners of such Lock-up Holder or their affiliates, any affiliates of such Lock-up Holder, or any employees of such affiliates;</w:t>
      </w:r>
    </w:p>
    <w:p>
      <w:pPr>
        <w:spacing w:after="0" w:line="162"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(2)              in the case of an individual, a Transfer by gift to a member of the individual’s immediate family (as defined below), or to a trust, the beneficiary of which is the individual or a member of the individual’s immediate family or an affiliate of such person, or to a charitable organization;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 the case of an individual, Transfers by virtue of laws of descent and distribution upon death of the individual;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in the case of an individual, Transfers by operation of law or pursuant to a qualified domestic relations order;</w:t>
      </w:r>
    </w:p>
    <w:p>
      <w:pPr>
        <w:spacing w:after="0" w:line="225" w:lineRule="exact"/>
        <w:rPr>
          <w:sz w:val="20"/>
          <w:szCs w:val="20"/>
          <w:color w:val="auto"/>
        </w:rPr>
      </w:pPr>
    </w:p>
    <w:p>
      <w:pPr>
        <w:ind w:left="660" w:right="60" w:firstLine="648"/>
        <w:spacing w:after="0" w:line="266" w:lineRule="auto"/>
        <w:rPr>
          <w:sz w:val="20"/>
          <w:szCs w:val="20"/>
          <w:color w:val="auto"/>
        </w:rPr>
      </w:pPr>
      <w:r>
        <w:rPr>
          <w:rFonts w:ascii="Times New Roman" w:cs="Times New Roman" w:eastAsia="Times New Roman" w:hAnsi="Times New Roman"/>
          <w:sz w:val="18"/>
          <w:szCs w:val="18"/>
          <w:color w:val="auto"/>
        </w:rPr>
        <w:t>(5)              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60" w:right="560" w:firstLine="648"/>
        <w:spacing w:after="0" w:line="282" w:lineRule="auto"/>
        <w:rPr>
          <w:sz w:val="20"/>
          <w:szCs w:val="20"/>
          <w:color w:val="auto"/>
        </w:rPr>
      </w:pPr>
      <w:r>
        <w:rPr>
          <w:rFonts w:ascii="Times New Roman" w:cs="Times New Roman" w:eastAsia="Times New Roman" w:hAnsi="Times New Roman"/>
          <w:sz w:val="18"/>
          <w:szCs w:val="18"/>
          <w:color w:val="auto"/>
        </w:rPr>
        <w:t>(6)              in the case of an entity, Transfers to any direct or indirect partners, members or equity holders of such entity, or any related investment funds or vehicles controlled or managed by such persons or entities or their respective affiliates;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              in the case of an entity that is a trust, Transfers to a trustor or beneficiary of the trust or to the estate of a beneficiary of such trust;</w:t>
      </w:r>
    </w:p>
    <w:p>
      <w:pPr>
        <w:spacing w:after="0" w:line="237" w:lineRule="exact"/>
        <w:rPr>
          <w:sz w:val="20"/>
          <w:szCs w:val="20"/>
          <w:color w:val="auto"/>
        </w:rPr>
      </w:pPr>
    </w:p>
    <w:p>
      <w:pPr>
        <w:ind w:left="660" w:right="400" w:firstLine="648"/>
        <w:spacing w:after="0" w:line="282" w:lineRule="auto"/>
        <w:rPr>
          <w:sz w:val="20"/>
          <w:szCs w:val="20"/>
          <w:color w:val="auto"/>
        </w:rPr>
      </w:pPr>
      <w:r>
        <w:rPr>
          <w:rFonts w:ascii="Times New Roman" w:cs="Times New Roman" w:eastAsia="Times New Roman" w:hAnsi="Times New Roman"/>
          <w:sz w:val="18"/>
          <w:szCs w:val="18"/>
          <w:color w:val="auto"/>
        </w:rPr>
        <w:t>(8)              in the case of an entity, Transfers by virtue of the laws of the entity’s jurisdiction of formation or incorporation or the entity’s organizational documents upon dissolution of the entity;</w:t>
      </w:r>
    </w:p>
    <w:p>
      <w:pPr>
        <w:spacing w:after="0" w:line="162" w:lineRule="exact"/>
        <w:rPr>
          <w:sz w:val="20"/>
          <w:szCs w:val="20"/>
          <w:color w:val="auto"/>
        </w:rPr>
      </w:pPr>
    </w:p>
    <w:p>
      <w:pPr>
        <w:ind w:left="660" w:right="40" w:firstLine="648"/>
        <w:spacing w:after="0" w:line="282" w:lineRule="auto"/>
        <w:rPr>
          <w:sz w:val="20"/>
          <w:szCs w:val="20"/>
          <w:color w:val="auto"/>
        </w:rPr>
      </w:pPr>
      <w:r>
        <w:rPr>
          <w:rFonts w:ascii="Times New Roman" w:cs="Times New Roman" w:eastAsia="Times New Roman" w:hAnsi="Times New Roman"/>
          <w:sz w:val="18"/>
          <w:szCs w:val="18"/>
          <w:color w:val="auto"/>
        </w:rPr>
        <w:t>(9)              Transfers to any other Lock-up Holders, any affiliates of such other Lock-up Holders or their Permitted Transferees or any related investment funds or vehicles controlled or managed by such persons or entities or their respective affiliates;</w:t>
      </w:r>
    </w:p>
    <w:p>
      <w:pPr>
        <w:spacing w:after="0" w:line="162" w:lineRule="exact"/>
        <w:rPr>
          <w:sz w:val="20"/>
          <w:szCs w:val="20"/>
          <w:color w:val="auto"/>
        </w:rPr>
      </w:pPr>
    </w:p>
    <w:p>
      <w:pPr>
        <w:ind w:left="660" w:right="140" w:firstLine="648"/>
        <w:spacing w:after="0" w:line="256" w:lineRule="auto"/>
        <w:rPr>
          <w:sz w:val="20"/>
          <w:szCs w:val="20"/>
          <w:color w:val="auto"/>
        </w:rPr>
      </w:pPr>
      <w:r>
        <w:rPr>
          <w:rFonts w:ascii="Times New Roman" w:cs="Times New Roman" w:eastAsia="Times New Roman" w:hAnsi="Times New Roman"/>
          <w:sz w:val="18"/>
          <w:szCs w:val="18"/>
          <w:color w:val="auto"/>
        </w:rPr>
        <w:t>(10)           the exercise of Equity Awards, stock options or warrants to purchase shares of Common Stock or the vesting of stock awards of Common Stock (including Factorial Equity Award Shares) and any related transfer of shares to the Corporation in connection therewith (1) deemed to occur upon the “cashless” or “net” exercise of such options or warrants or (2) for the purpose of paying the exercise price of such options or warrants or for paying taxes due as a result of the exercise of such options or warrants, the vesting of such options, warrants or stock awards, or as a result of the vesting of such shares, it being understood that all shares received upon such exercise, vesting or transfer will remain subject to the restrictions set forth in Section 7(a) of this Article IV during the Lock-Up Period;</w:t>
      </w:r>
    </w:p>
    <w:p>
      <w:pPr>
        <w:spacing w:after="0" w:line="187"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(11)           Transfers to the Corporation pursuant to any contractual arrangement in effect at the Closing (as such term is defined in the Business Combination Agreement) that provides for the repurchase by the Corporation or forfeiture of Equity Awards, Common Stock or other securities convertible into or exercisable or exchangeable for Common Stock in connection with the termination of such Lock-up Holder’s service to the Corporation;</w:t>
      </w:r>
    </w:p>
    <w:p>
      <w:pPr>
        <w:spacing w:after="0" w:line="180"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(12)           the entry, by the Lock-up Holder, at any time after the Closing (as such term is defined in the Business Combination Agreement), of any trading plan providing for the sale of shares held by the Lock-up Holder, which trading plan meets the requirements of Rule 10b5-l(c) under the Exchange Act, provided, however, that such plan does not provide for, or permit, the sale of any shares during the Lock-Up Period; and</w:t>
      </w:r>
    </w:p>
    <w:p>
      <w:pPr>
        <w:spacing w:after="0" w:line="158"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(13)           Transfers 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(as such term is defined in the Business Combination Agreement).</w:t>
      </w:r>
    </w:p>
    <w:p>
      <w:pPr>
        <w:spacing w:after="0" w:line="180"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provided, however, that in any such case, it shall be a condition to such Transfer that each Permitted Transferee execute and deliver to the Corporation an agreement in form and substance satisfactory to the Corporation stating that such Transferee will not engage in any activities restricted under this Section 7 (as if such transferee had been an original Lock-up Holder hereto).</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For purposes of this Section 7(b) of Article IV,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 of 1933, as amended (the “Securities Act”).</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each Lock-up Holder shall retain all of its rights as a stockholder of the Corporation with respect to the Lock-up Shares during the Lock-Up Period, including the right to vote any Lock-up Shares that are entitled to vote.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right="340" w:firstLine="1296"/>
        <w:spacing w:after="0" w:line="261" w:lineRule="auto"/>
        <w:rPr>
          <w:sz w:val="20"/>
          <w:szCs w:val="20"/>
          <w:color w:val="auto"/>
        </w:rPr>
      </w:pPr>
      <w:r>
        <w:rPr>
          <w:rFonts w:ascii="Times New Roman" w:cs="Times New Roman" w:eastAsia="Times New Roman" w:hAnsi="Times New Roman"/>
          <w:sz w:val="18"/>
          <w:szCs w:val="18"/>
          <w:color w:val="auto"/>
        </w:rPr>
        <w:t>In furtherance of the foregoing, the Corporation, and any duly appointed transfer agent for the registration or transfer of the securities described therein, are hereby authorized to decline to make any transfer of securities if such transfer would constitute a violation or breach of this restriction, and such purported Transfer shall be null and void ab initio. In addition, during the Lock-Up Period, each certificate or book-entry position evidencing the Lock-Up Shares shall be marked with a legend in substantially the following form, in addition to any other applicable legends:</w:t>
      </w:r>
    </w:p>
    <w:p>
      <w:pPr>
        <w:spacing w:after="0" w:line="180"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 SET FORTH IN THE ISSUER’S BYLAWS. A COPY OF SUCH BYLAWS WILL BE FURNISHED WITHOUT CHARGE BY THE ISSUER TO THE HOLDER HEREOF UPON WRITTEN REQUEST.”</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(c)              Notwithstanding the other provisions set forth in this Section 7 of this Article IV, the Board of Directors may, in its sole discretion, determine to waive, amend, or repeal the Lock-up obligation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For purposes of this Section 7 of this Article IV:</w:t>
      </w:r>
    </w:p>
    <w:p>
      <w:pPr>
        <w:spacing w:after="0" w:line="225"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auto"/>
        </w:rPr>
        <w:t>(1)              the term “First Trading Price Condition” means that the VWAP of the Series A Common Stock for the period of 20 Trading Days ending on the Trading Day immediately prior to the date of determination equals or exceeds $12.00;</w:t>
      </w:r>
    </w:p>
    <w:p>
      <w:pPr>
        <w:spacing w:after="0" w:line="162" w:lineRule="exact"/>
        <w:rPr>
          <w:sz w:val="20"/>
          <w:szCs w:val="20"/>
          <w:color w:val="auto"/>
        </w:rPr>
      </w:pPr>
    </w:p>
    <w:p>
      <w:pPr>
        <w:ind w:left="660" w:right="80" w:firstLine="648"/>
        <w:spacing w:after="0" w:line="276" w:lineRule="auto"/>
        <w:rPr>
          <w:sz w:val="20"/>
          <w:szCs w:val="20"/>
          <w:color w:val="auto"/>
        </w:rPr>
      </w:pPr>
      <w:r>
        <w:rPr>
          <w:rFonts w:ascii="Times New Roman" w:cs="Times New Roman" w:eastAsia="Times New Roman" w:hAnsi="Times New Roman"/>
          <w:sz w:val="17"/>
          <w:szCs w:val="17"/>
          <w:color w:val="auto"/>
        </w:rPr>
        <w:t>(2)              the term “Lock-up Period” means the period beginning on the Closing Date (as such term is defined in the Business Combination Agreement) and ending (i) with respect to 25% of the Lock-Up Shares (the “Six-Month Lock-Up Shares”), on the date one hundred and eighty</w:t>
      </w:r>
    </w:p>
    <w:p>
      <w:pPr>
        <w:spacing w:after="0" w:line="1" w:lineRule="exact"/>
        <w:rPr>
          <w:sz w:val="20"/>
          <w:szCs w:val="20"/>
          <w:color w:val="auto"/>
        </w:rPr>
      </w:pPr>
    </w:p>
    <w:p>
      <w:pPr>
        <w:ind w:left="660" w:right="80" w:hanging="4"/>
        <w:spacing w:after="0" w:line="267" w:lineRule="auto"/>
        <w:tabs>
          <w:tab w:leader="none" w:pos="10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Closing Date (as such term is defined in the Business Combination Agreement) (the “Six-Month Lock-Up Date”), (ii) with respect to 25% of the Lock-Up Shares (the “Nine-Month Lock-Up Shares”), on the date two hundred and seventy (270) days after the Closing Date (the “Nine-Month Lock-Up Date”) and (iii) with respect to 50% of the Lock-Up Shares (the “One Year Lock-Up Shares”), on the first anniversary of the Closing Date (the “One Year Lock-Up Date” and each of the Six-Month Lock-Up Date, the Nine-Month Lock-Up Date and the One Year Lock-Up Date, a “Lock-Up Termination Date”)); provided, however, that, on the date on which any Trading Price Condition is satisfied (an “Early Release Date”), the Lock-Up Period shall terminate with respect to one-third (1/3) of the Lock-Up Shares (“Early Release Lock-Up Shares”), with such Early Release Lock-Up Shares allocated first among the Lock-Up Shares with the earliest Lock-Up Termination Date that has not yet occurred and successively to each remaining tranche of Lock-Up Shares in chronological order. For example, if the First Trading Price Condition is satisfied prior to the Six-Month Lock-Up Date, then, on the related Early Release Date, the Lock-Up Period shall terminate with respect to all of the Six-Month Lock-Up Shares (1/4 of the aggregate Lock-Up Shares) and shall terminate with respect to one-third (1/3) of the Nine-Month Lock-Up Shares (1/12 of the aggregate Lock-Up Shares), but, if the First Trading Price Condition is satisfied after the Six-Month Lock-Up Date and prior to the Nine-Month Lock-Up Date, then, on the related Early Release Date, the Lock-Up Period shall terminate with respect to all of the Nine-Month Lock-Up Shares and shall terminate with respect to one-sixth (1/6) of the One Year Lock-Up Shares;</w:t>
      </w:r>
    </w:p>
    <w:p>
      <w:pPr>
        <w:spacing w:after="0" w:line="178"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(3)              the term “Lock-up Shares” means the shares of Common Stock issued as consideration in the Factorial Transaction pursuant to the Business Combination Agreement, the Sponsor Shares, and the Factorial Equity Award Shares, except, with respect to each Lock-up Holder, 750 of the shares of Common Stock held by such Lock-Up Holder (or such lesser number as applicable); provided, that, for clarity, shares of Common Stock issued in connection with the Domestication (as defined in the Business Combination Agreement) (other than the Sponsor Shares) or the PIPE Financing (as defined in the Business Combination Agreement) shall not constitute Lock-up Shares; and provided further, that shares of Common Stock acquired upon the cash exercise of Equity Awards, stock options or warrants to purchase shares of Common Stock shall not constitute Lock-up Shares; and provided further, that shares of Common Stock acquired in the public market shall not constitute Lock-up Shares; and provided finally that shares of Common Stock acquired pursuant to a transaction exempt from registration under the Securities Act or pursuant to a subscription agreement where the issuance of Common Stock occurs on or after the closing of the Factorial Transaction shall not constitute Lock-up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(4)              the term “Permitted Transferees” means, prior to the expiration of the Lock-up Period, any person or entity to whom such Lock-up Holder is permitted to transfer such shares of Common Stock prior to the expiration of the Lock-up Period pursuant to Section 7(b) of this Article IV;</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(5)              the term “Principal Market” means, as of any time of determination, the principal trading market, if any, in which the shares of Series A Common Stock then trade;</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(6)              the term “Second Trading Price Condition” means that the VWAP of the Series A Common Stock for the period of 20 Trading Days ending on the Trading Day immediately prior to the date of determination equals or exceeds $14.00;</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(7)              the term “Sponsor Shares” means 6,800,000 shares of Series A Common Stock issued in connection with the Domestication (as defined in the Business Combination Agreement) to CGC III Sponsor LLC, a Cayman Islands limited liability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(8)              the term “Third Trading Price Condition” means that the VWAP of the Series A Common Stock for the period of 20 Trading Days ending on the Trading Day immediately prior to the date of determination equals or exceeds $16.00;</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(9)              the term “Trading Day” means any day on which the Series A Common Stock is traded on the Principal Market, or, if the Principal Market is not the principal trading market for the Series A Common Stock, then on the principal securities exchange or securities market on which the Series A Common Stock is then traded, provided that “Trading Day” shall not include any day on which the Series A Common Stock is scheduled to trade on such exchange or market for less than 4.5 hours or any day that the Series A Common Stock is suspended from trading during the final hour of trading on such exchange or market (or if such exchange or market does not designate in advance the closing time of trading on such exchange or market, then during the hour ending at 4:00 p.m., New York time);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(10)           the term “Trading Price Conditions” means each of the “First Trading Price Condition,” the “Second Trading Price Condition” and the “Third Trading Price Condition”;</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(11)           the term “Transfer” means (A) sell, offer to sell, contract or agree to sell, assign, transfer (including by operation of law), hypothecate, pledge, distribute, grant any option to purchase or otherwise dispose of or agree to dispose of, directly or indirectly, file (or participate in the filing of) a registration statement with the SEC or establish or increase a put equivalent position or liquidate or decrease a call equivalent position within the meaning of Section 16 of the Exchange Act with respect to, any Lock-up Shares, (B) deposit any Lock-up Shares into a voting trust or enter into a voting agreement or arrangement or grant any proxy or power of attorney with respect thereto that is inconsistent with these Bylaws, (C) enter into any swap or other arrangement that transfers to another, in whole or in part, any of the economic consequences of ownership of any Lock-up Shares, whether any such transaction is to be settled by delivery of such Lock-up Shares, in cash or otherwise, or (D) publicly announce any intention to effect any transaction specified in clauses (A) through (C); and</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(12)           the term “VWAP” means the dollar volume-weighted average price for the Series A Common Stock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L.P. (“Bloomberg”) through its “VAP” function (set to 09:30 start time and 16:00 end time) or, if the foregoing does not apply, the dollar volume-weighted average price of the Series A Common Stock in the over-the-counter market on the electronic bulletin board for such security during the period beginning at 9:30 a.m., New York time, and ending at 4:00 p.m., New York time, as reported by Bloomberg, or, if no dollar volume-weighted average price is reported for the Series A Common Stock by Bloomberg for such hours, the average of the highest closing bid price and the lowest closing ask price of any of the market makers for the Series A Common Stock as reported in The Pink Open Market (or a similar organization or agency succeeding to its functions of reporting prices). All such determinations shall be appropriately adjusted for any stock dividend, stock split, stock combination, recapitalization or other similar transaction during such period.</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“Director” means any person who serves or has served the Corporation as a director on the Board of Directors of the Corporation;</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              “Disinterested Director” means, with respect to each Proceeding in respect of which indemnification is sought hereunder, a Director of the Corporation who is not and was not a party to such Proceeding;</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“Liabilities” means judgments, damages, liabilities, losses, penalties, excise taxes, fines and amounts paid in settlement;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               “Non-Officer Employee” means any person who serves or has served as an employee or agent of the Corporation, but who is not or was not a Director or Officer;</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              “Officer” means any person who serves or has served the Corporation as an officer of the Corporation appointed by the Board of Directors of the Corporation;</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(h)              “Proceeding”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80"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9" w:lineRule="exact"/>
        <w:rPr>
          <w:sz w:val="20"/>
          <w:szCs w:val="20"/>
          <w:color w:val="auto"/>
        </w:rPr>
      </w:pPr>
    </w:p>
    <w:p>
      <w:pPr>
        <w:ind w:left="660"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94" w:lineRule="exact"/>
        <w:rPr>
          <w:sz w:val="20"/>
          <w:szCs w:val="20"/>
          <w:color w:val="auto"/>
        </w:rPr>
      </w:pPr>
    </w:p>
    <w:p>
      <w:pPr>
        <w:jc w:val="both"/>
        <w:ind w:left="660" w:right="160" w:firstLine="648"/>
        <w:spacing w:after="0" w:line="312"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u w:val="single" w:color="auto"/>
          <w:color w:val="auto"/>
        </w:rPr>
        <w:t>Survival of Rights</w:t>
      </w:r>
      <w:r>
        <w:rPr>
          <w:rFonts w:ascii="Times New Roman" w:cs="Times New Roman" w:eastAsia="Times New Roman" w:hAnsi="Times New Roman"/>
          <w:sz w:val="17"/>
          <w:szCs w:val="17"/>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40" w:lineRule="exact"/>
        <w:rPr>
          <w:sz w:val="20"/>
          <w:szCs w:val="20"/>
          <w:color w:val="auto"/>
        </w:rPr>
      </w:pPr>
    </w:p>
    <w:p>
      <w:pPr>
        <w:ind w:left="660"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spacing w:after="0" w:line="1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              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left="7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the Chief Executive Officer or the Treasurer or any other officer, employee or agent of the Corporation as the Board of Directors or an executive committee of the Board of Directors may authorize or determine.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Certificate, as amended and/or restated and in effect from time to time.</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required by law, these Bylaws may be amended or repealed by the Board of Directors by the affirmative vote of a majority of the directors then in office (so long as a quorum is present).</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voting power of the outstanding shares of capital stock entitled to vote on such amendment or repeal, voting together as a single class.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___________, ____ and effective as of ___________, 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61"/>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decimal"/>
      <w:start w:val="1"/>
    </w:lvl>
    <w:lvl w:ilvl="1">
      <w:lvlJc w:val="left"/>
      <w:lvlText w:val="(%2)"/>
      <w:numFmt w:val="lowerLetter"/>
      <w:start w:val="2"/>
    </w:lvl>
  </w:abstractNum>
  <w:abstractNum w:abstractNumId="5">
    <w:nsid w:val="41A7C4C9"/>
    <w:multiLevelType w:val="hybridMultilevel"/>
    <w:lvl w:ilvl="0">
      <w:lvlJc w:val="left"/>
      <w:lvlText w:val="%1."/>
      <w:numFmt w:val="decimal"/>
      <w:start w:val="2"/>
    </w:lvl>
    <w:lvl w:ilvl="1">
      <w:lvlJc w:val="left"/>
      <w:lvlText w:val="(%2)"/>
      <w:numFmt w:val="lowerLetter"/>
      <w:start w:val="1"/>
    </w:lvl>
  </w:abstractNum>
  <w:abstractNum w:abstractNumId="6">
    <w:nsid w:val="6B6807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
    <w:nsid w:val="4E6AFB66"/>
    <w:multiLevelType w:val="hybridMultilevel"/>
    <w:lvl w:ilvl="0">
      <w:lvlJc w:val="left"/>
      <w:lvlText w:val="(%1)"/>
      <w:numFmt w:val="upperLetter"/>
      <w:start w:val="4"/>
    </w:lvl>
  </w:abstractNum>
  <w:abstractNum w:abstractNumId="8">
    <w:nsid w:val="25E45D32"/>
    <w:multiLevelType w:val="hybridMultilevel"/>
    <w:lvl w:ilvl="0">
      <w:lvlJc w:val="left"/>
      <w:lvlText w:val="%1"/>
      <w:numFmt w:val="lowerLetter"/>
      <w:start w:val="1"/>
    </w:lvl>
    <w:lvl w:ilvl="1">
      <w:lvlJc w:val="left"/>
      <w:lvlText w:val="(%2)"/>
      <w:numFmt w:val="lowerRoman"/>
      <w:start w:val="2"/>
    </w:lvl>
  </w:abstractNum>
  <w:abstractNum w:abstractNumId="9">
    <w:nsid w:val="519B500D"/>
    <w:multiLevelType w:val="hybridMultilevel"/>
    <w:lvl w:ilvl="0">
      <w:lvlJc w:val="left"/>
      <w:lvlText w:val="(%1)"/>
      <w:numFmt w:val="lowerLetter"/>
      <w:start w:val="3"/>
    </w:lvl>
    <w:lvl w:ilvl="1">
      <w:lvlJc w:val="left"/>
      <w:lvlText w:val="(%2)"/>
      <w:numFmt w:val="lowerRoman"/>
      <w:start w:val="1"/>
    </w:lvl>
  </w:abstractNum>
  <w:abstractNum w:abstractNumId="10">
    <w:nsid w:val="431BD7B7"/>
    <w:multiLevelType w:val="hybridMultilevel"/>
    <w:lvl w:ilvl="0">
      <w:lvlJc w:val="left"/>
      <w:lvlText w:val="(%1)"/>
      <w:numFmt w:val="lowerLetter"/>
      <w:start w:val="4"/>
    </w:lvl>
  </w:abstractNum>
  <w:abstractNum w:abstractNumId="11">
    <w:nsid w:val="3F2DBA31"/>
    <w:multiLevelType w:val="hybridMultilevel"/>
    <w:lvl w:ilvl="0">
      <w:lvlJc w:val="left"/>
      <w:lvlText w:val="%1."/>
      <w:numFmt w:val="decimal"/>
      <w:start w:val="4"/>
    </w:lvl>
    <w:lvl w:ilvl="1">
      <w:lvlJc w:val="left"/>
      <w:lvlText w:val="%2."/>
      <w:numFmt w:val="upperLetter"/>
      <w:start w:val="3"/>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lvl w:ilvl="1">
      <w:lvlJc w:val="left"/>
      <w:lvlText w:val="%2."/>
      <w:numFmt w:val="upperLetter"/>
      <w:start w:val="1"/>
    </w:lvl>
  </w:abstractNum>
  <w:abstractNum w:abstractNumId="14">
    <w:nsid w:val="62BBD95A"/>
    <w:multiLevelType w:val="hybridMultilevel"/>
    <w:lvl w:ilvl="0">
      <w:lvlJc w:val="left"/>
      <w:lvlText w:val="%1."/>
      <w:numFmt w:val="decimal"/>
      <w:start w:val="1"/>
    </w:lvl>
    <w:lvl w:ilvl="1">
      <w:lvlJc w:val="left"/>
      <w:lvlText w:val="%2"/>
      <w:numFmt w:val="upperLetter"/>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4"/>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Roman"/>
      <w:start w:val="3"/>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1)"/>
      <w:numFmt w:val="upperLetter"/>
      <w:start w:val="9"/>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decimal"/>
      <w:start w:val="18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2026-05-18T07:03:33Z</dcterms:created>
  <dcterms:modified xsi:type="dcterms:W3CDTF">2026-05-18T07:03:33Z</dcterms:modified>
</cp:coreProperties>
</file>