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2"/>
          <w:szCs w:val="12"/>
          <w:b w:val="1"/>
          <w:bCs w:val="1"/>
          <w:color w:val="auto"/>
        </w:rPr>
        <w:t>Filed by Factorial Inc.</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Pursuant to Rule 425</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under the Securities Act of 1933, as amended</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and deemed filed pursuant to Rule 14a-12</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under the Securities Exchange Act of 1934, as amended</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Subject Company: Cartesian Growth Corporation III</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(Commission File No. 001-42629)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198120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220980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1"/>
          <w:szCs w:val="11"/>
          <w:color w:val="auto"/>
        </w:rPr>
        <w:t xml:space="preserve">Date of report (Date of earliest event reported): </w:t>
      </w:r>
      <w:r>
        <w:rPr>
          <w:rFonts w:ascii="Times New Roman" w:cs="Times New Roman" w:eastAsia="Times New Roman" w:hAnsi="Times New Roman"/>
          <w:sz w:val="11"/>
          <w:szCs w:val="11"/>
          <w:b w:val="1"/>
          <w:bCs w:val="1"/>
          <w:color w:val="auto"/>
        </w:rPr>
        <w:t>December 17, 2025</w:t>
      </w:r>
    </w:p>
    <w:p>
      <w:pPr>
        <w:spacing w:after="0" w:line="15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Cartesian Growth Corporation III</w:t>
      </w:r>
    </w:p>
    <w:p>
      <w:pPr>
        <w:spacing w:after="0" w:line="2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11308"/>
          </w:cols>
          <w:pgMar w:left="292" w:top="341" w:right="299" w:bottom="1440" w:gutter="0" w:footer="0" w:header="0"/>
        </w:sectPr>
      </w:pPr>
    </w:p>
    <w:p>
      <w:pPr>
        <w:spacing w:after="0" w:line="134" w:lineRule="exact"/>
        <w:rPr>
          <w:sz w:val="24"/>
          <w:szCs w:val="24"/>
          <w:color w:val="auto"/>
        </w:rPr>
      </w:pPr>
    </w:p>
    <w:p>
      <w:pPr>
        <w:ind w:left="1348"/>
        <w:spacing w:after="0"/>
        <w:rPr>
          <w:sz w:val="20"/>
          <w:szCs w:val="20"/>
          <w:color w:val="auto"/>
        </w:rPr>
      </w:pPr>
      <w:r>
        <w:rPr>
          <w:rFonts w:ascii="Times New Roman" w:cs="Times New Roman" w:eastAsia="Times New Roman" w:hAnsi="Times New Roman"/>
          <w:sz w:val="12"/>
          <w:szCs w:val="12"/>
          <w:b w:val="1"/>
          <w:bCs w:val="1"/>
          <w:color w:val="auto"/>
        </w:rPr>
        <w:t>Cayman Islands</w:t>
      </w:r>
    </w:p>
    <w:p>
      <w:pPr>
        <w:spacing w:after="0" w:line="21" w:lineRule="exact"/>
        <w:rPr>
          <w:sz w:val="24"/>
          <w:szCs w:val="24"/>
          <w:color w:val="auto"/>
        </w:rPr>
      </w:pPr>
    </w:p>
    <w:p>
      <w:pPr>
        <w:ind w:left="1128"/>
        <w:spacing w:after="0"/>
        <w:rPr>
          <w:sz w:val="20"/>
          <w:szCs w:val="20"/>
          <w:color w:val="auto"/>
        </w:rPr>
      </w:pPr>
      <w:r>
        <w:rPr>
          <w:rFonts w:ascii="Times New Roman" w:cs="Times New Roman" w:eastAsia="Times New Roman" w:hAnsi="Times New Roman"/>
          <w:sz w:val="11"/>
          <w:szCs w:val="11"/>
          <w:color w:val="auto"/>
        </w:rPr>
        <w:t>(State or other jurisdiction</w:t>
      </w:r>
    </w:p>
    <w:p>
      <w:pPr>
        <w:spacing w:after="0" w:line="18" w:lineRule="exact"/>
        <w:rPr>
          <w:sz w:val="24"/>
          <w:szCs w:val="24"/>
          <w:color w:val="auto"/>
        </w:rPr>
      </w:pPr>
    </w:p>
    <w:p>
      <w:pPr>
        <w:ind w:left="1348"/>
        <w:spacing w:after="0"/>
        <w:rPr>
          <w:sz w:val="20"/>
          <w:szCs w:val="20"/>
          <w:color w:val="auto"/>
        </w:rPr>
      </w:pPr>
      <w:r>
        <w:rPr>
          <w:rFonts w:ascii="Times New Roman" w:cs="Times New Roman" w:eastAsia="Times New Roman" w:hAnsi="Times New Roman"/>
          <w:sz w:val="12"/>
          <w:szCs w:val="12"/>
          <w:color w:val="auto"/>
        </w:rPr>
        <w:t>of incorporation)</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2"/>
          <w:szCs w:val="12"/>
          <w:b w:val="1"/>
          <w:bCs w:val="1"/>
          <w:color w:val="auto"/>
        </w:rPr>
        <w:t>001-42629</w:t>
      </w:r>
    </w:p>
    <w:p>
      <w:pPr>
        <w:spacing w:after="0" w:line="21"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21"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2"/>
          <w:szCs w:val="12"/>
          <w:color w:val="auto"/>
        </w:rPr>
        <w:t>(I.R.S. Employer</w:t>
      </w:r>
    </w:p>
    <w:p>
      <w:pPr>
        <w:spacing w:after="0" w:line="6"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35" w:lineRule="exact"/>
        <w:rPr>
          <w:sz w:val="24"/>
          <w:szCs w:val="24"/>
          <w:color w:val="auto"/>
        </w:rPr>
      </w:pPr>
    </w:p>
    <w:p>
      <w:pPr>
        <w:sectPr>
          <w:pgSz w:w="11900" w:h="16838" w:orient="portrait"/>
          <w:cols w:equalWidth="0" w:num="3">
            <w:col w:w="4288" w:space="720"/>
            <w:col w:w="3380" w:space="720"/>
            <w:col w:w="2200"/>
          </w:cols>
          <w:pgMar w:left="292" w:top="341" w:right="299" w:bottom="1440" w:gutter="0" w:footer="0" w:header="0"/>
          <w:type w:val="continuous"/>
        </w:sectPr>
      </w:pPr>
    </w:p>
    <w:p>
      <w:pPr>
        <w:jc w:val="center"/>
        <w:ind w:right="1952"/>
        <w:spacing w:after="0"/>
        <w:rPr>
          <w:sz w:val="20"/>
          <w:szCs w:val="20"/>
          <w:color w:val="auto"/>
        </w:rPr>
      </w:pPr>
      <w:r>
        <w:rPr>
          <w:rFonts w:ascii="Times New Roman" w:cs="Times New Roman" w:eastAsia="Times New Roman" w:hAnsi="Times New Roman"/>
          <w:sz w:val="12"/>
          <w:szCs w:val="12"/>
          <w:b w:val="1"/>
          <w:bCs w:val="1"/>
          <w:color w:val="auto"/>
        </w:rPr>
        <w:t>505 Fifth Avenue, 15th Floor</w:t>
      </w:r>
    </w:p>
    <w:p>
      <w:pPr>
        <w:spacing w:after="0" w:line="21" w:lineRule="exact"/>
        <w:rPr>
          <w:sz w:val="24"/>
          <w:szCs w:val="24"/>
          <w:color w:val="auto"/>
        </w:rPr>
      </w:pPr>
    </w:p>
    <w:p>
      <w:pPr>
        <w:jc w:val="center"/>
        <w:ind w:right="1952"/>
        <w:spacing w:after="0"/>
        <w:rPr>
          <w:sz w:val="20"/>
          <w:szCs w:val="20"/>
          <w:color w:val="auto"/>
        </w:rPr>
      </w:pPr>
      <w:r>
        <w:rPr>
          <w:rFonts w:ascii="Times New Roman" w:cs="Times New Roman" w:eastAsia="Times New Roman" w:hAnsi="Times New Roman"/>
          <w:sz w:val="12"/>
          <w:szCs w:val="12"/>
          <w:b w:val="1"/>
          <w:bCs w:val="1"/>
          <w:color w:val="auto"/>
        </w:rPr>
        <w:t>New York, New York</w:t>
      </w:r>
    </w:p>
    <w:p>
      <w:pPr>
        <w:spacing w:after="0" w:line="6" w:lineRule="exact"/>
        <w:rPr>
          <w:sz w:val="24"/>
          <w:szCs w:val="24"/>
          <w:color w:val="auto"/>
        </w:rPr>
      </w:pPr>
    </w:p>
    <w:p>
      <w:pPr>
        <w:jc w:val="center"/>
        <w:ind w:right="1952"/>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680"/>
        <w:spacing w:after="0"/>
        <w:rPr>
          <w:sz w:val="20"/>
          <w:szCs w:val="20"/>
          <w:color w:val="auto"/>
        </w:rPr>
      </w:pPr>
      <w:r>
        <w:rPr>
          <w:rFonts w:ascii="Times New Roman" w:cs="Times New Roman" w:eastAsia="Times New Roman" w:hAnsi="Times New Roman"/>
          <w:sz w:val="12"/>
          <w:szCs w:val="12"/>
          <w:b w:val="1"/>
          <w:bCs w:val="1"/>
          <w:color w:val="auto"/>
        </w:rPr>
        <w:t>10017</w:t>
      </w:r>
    </w:p>
    <w:p>
      <w:pPr>
        <w:spacing w:after="0" w:line="21" w:lineRule="exact"/>
        <w:rPr>
          <w:sz w:val="24"/>
          <w:szCs w:val="24"/>
          <w:color w:val="auto"/>
        </w:rPr>
      </w:pPr>
    </w:p>
    <w:p>
      <w:pPr>
        <w:jc w:val="center"/>
        <w:ind w:right="2680"/>
        <w:spacing w:after="0"/>
        <w:rPr>
          <w:sz w:val="20"/>
          <w:szCs w:val="20"/>
          <w:color w:val="auto"/>
        </w:rPr>
      </w:pPr>
      <w:r>
        <w:rPr>
          <w:rFonts w:ascii="Times New Roman" w:cs="Times New Roman" w:eastAsia="Times New Roman" w:hAnsi="Times New Roman"/>
          <w:sz w:val="11"/>
          <w:szCs w:val="11"/>
          <w:color w:val="auto"/>
        </w:rPr>
        <w:t>(Zip Code)</w:t>
      </w:r>
    </w:p>
    <w:p>
      <w:pPr>
        <w:spacing w:after="0" w:line="291" w:lineRule="exact"/>
        <w:rPr>
          <w:sz w:val="24"/>
          <w:szCs w:val="24"/>
          <w:color w:val="auto"/>
        </w:rPr>
      </w:pPr>
    </w:p>
    <w:p>
      <w:pPr>
        <w:sectPr>
          <w:pgSz w:w="11900" w:h="16838" w:orient="portrait"/>
          <w:cols w:equalWidth="0" w:num="2">
            <w:col w:w="7388" w:space="720"/>
            <w:col w:w="3200"/>
          </w:cols>
          <w:pgMar w:left="292" w:top="341" w:right="299" w:bottom="1440" w:gutter="0" w:footer="0" w:header="0"/>
          <w:type w:val="continuous"/>
        </w:sect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(212) 461-6363</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3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428" w:hanging="428"/>
        <w:spacing w:after="0"/>
        <w:tabs>
          <w:tab w:leader="none" w:pos="4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sz w:val="24"/>
          <w:szCs w:val="24"/>
          <w:color w:val="auto"/>
        </w:rPr>
      </w:pPr>
    </w:p>
    <w:p>
      <w:pPr>
        <w:ind w:left="428" w:hanging="428"/>
        <w:spacing w:after="0"/>
        <w:tabs>
          <w:tab w:leader="none" w:pos="42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428" w:hanging="428"/>
        <w:spacing w:after="0"/>
        <w:tabs>
          <w:tab w:leader="none" w:pos="42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8" w:right="5520" w:hanging="8"/>
        <w:spacing w:after="0" w:line="500" w:lineRule="auto"/>
        <w:tabs>
          <w:tab w:leader="none" w:pos="44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8" w:type="dxa"/>
        <w:tblCellMar>
          <w:top w:w="0" w:type="dxa"/>
          <w:left w:w="0" w:type="dxa"/>
          <w:bottom w:w="0" w:type="dxa"/>
          <w:right w:w="0" w:type="dxa"/>
        </w:tblCellMar>
      </w:tblPr>
      <w:tr>
        <w:trPr>
          <w:trHeight w:val="173"/>
        </w:trPr>
        <w:tc>
          <w:tcPr>
            <w:tcW w:w="54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8"/>
              </w:rPr>
              <w:t>Trading Symbol(s)</w:t>
            </w:r>
          </w:p>
        </w:tc>
        <w:tc>
          <w:tcPr>
            <w:tcW w:w="3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118"/>
        </w:trPr>
        <w:tc>
          <w:tcPr>
            <w:tcW w:w="53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9"/>
              </w:rPr>
              <w:t>Units, each consisting of one Class A ordinary share and one-half of one redeemable warrant</w:t>
            </w:r>
          </w:p>
        </w:tc>
        <w:tc>
          <w:tcPr>
            <w:tcW w:w="100" w:type="dxa"/>
            <w:vAlign w:val="bottom"/>
          </w:tcPr>
          <w:p>
            <w:pPr>
              <w:spacing w:after="0"/>
              <w:rPr>
                <w:sz w:val="10"/>
                <w:szCs w:val="10"/>
                <w:color w:val="auto"/>
              </w:rPr>
            </w:pPr>
          </w:p>
        </w:tc>
        <w:tc>
          <w:tcPr>
            <w:tcW w:w="1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6"/>
              </w:rPr>
              <w:t>CGCTU</w:t>
            </w:r>
          </w:p>
        </w:tc>
        <w:tc>
          <w:tcPr>
            <w:tcW w:w="100" w:type="dxa"/>
            <w:vAlign w:val="bottom"/>
          </w:tcPr>
          <w:p>
            <w:pPr>
              <w:spacing w:after="0"/>
              <w:rPr>
                <w:sz w:val="10"/>
                <w:szCs w:val="10"/>
                <w:color w:val="auto"/>
              </w:rPr>
            </w:pPr>
          </w:p>
        </w:tc>
        <w:tc>
          <w:tcPr>
            <w:tcW w:w="39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rPr>
              <w:t>The Nasdaq Stock Market LLC</w:t>
            </w:r>
          </w:p>
        </w:tc>
      </w:tr>
      <w:tr>
        <w:trPr>
          <w:trHeight w:val="144"/>
        </w:trPr>
        <w:tc>
          <w:tcPr>
            <w:tcW w:w="54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Class A ordinary shares, par value $0.0001 per share</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CGCT</w:t>
            </w:r>
          </w:p>
        </w:tc>
        <w:tc>
          <w:tcPr>
            <w:tcW w:w="3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tc>
      </w:tr>
      <w:tr>
        <w:trPr>
          <w:trHeight w:val="159"/>
        </w:trPr>
        <w:tc>
          <w:tcPr>
            <w:tcW w:w="54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Warrants, each whole warrant exercisable for one Class A ordinary share at an exercise price of $11.50</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CGCTW</w:t>
            </w:r>
          </w:p>
        </w:tc>
        <w:tc>
          <w:tcPr>
            <w:tcW w:w="3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tc>
      </w:tr>
    </w:tbl>
    <w:p>
      <w:pPr>
        <w:spacing w:after="0" w:line="133" w:lineRule="exact"/>
        <w:rPr>
          <w:sz w:val="24"/>
          <w:szCs w:val="24"/>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jc w:val="both"/>
        <w:ind w:left="8" w:right="2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97790</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292100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41" w:right="299" w:bottom="1440" w:gutter="0" w:footer="0" w:header="0"/>
          <w:type w:val="continuous"/>
        </w:sectPr>
      </w:pPr>
    </w:p>
    <w:bookmarkStart w:id="1" w:name="page2"/>
    <w:bookmarkEnd w:id="1"/>
    <w:p>
      <w:pPr>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Item 1.01</w:t>
      </w:r>
      <w:r>
        <w:rPr>
          <w:sz w:val="20"/>
          <w:szCs w:val="20"/>
          <w:color w:val="auto"/>
        </w:rPr>
        <w:tab/>
      </w:r>
      <w:r>
        <w:rPr>
          <w:rFonts w:ascii="Times New Roman" w:cs="Times New Roman" w:eastAsia="Times New Roman" w:hAnsi="Times New Roman"/>
          <w:sz w:val="11"/>
          <w:szCs w:val="11"/>
          <w:b w:val="1"/>
          <w:bCs w:val="1"/>
          <w:color w:val="auto"/>
        </w:rPr>
        <w:t>Entry Into A Material Definitive Agreement</w:t>
      </w:r>
    </w:p>
    <w:p>
      <w:pPr>
        <w:spacing w:after="0" w:line="150"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color w:val="auto"/>
        </w:rPr>
        <w:t>On December 17, 2025, Cartesian Growth Corporation III, a Cayman Islands exempted company (“</w:t>
      </w:r>
      <w:r>
        <w:rPr>
          <w:rFonts w:ascii="Times New Roman" w:cs="Times New Roman" w:eastAsia="Times New Roman" w:hAnsi="Times New Roman"/>
          <w:sz w:val="12"/>
          <w:szCs w:val="12"/>
          <w:b w:val="1"/>
          <w:bCs w:val="1"/>
          <w:i w:val="1"/>
          <w:iCs w:val="1"/>
          <w:color w:val="auto"/>
        </w:rPr>
        <w:t>CGC</w:t>
      </w:r>
      <w:r>
        <w:rPr>
          <w:rFonts w:ascii="Times New Roman" w:cs="Times New Roman" w:eastAsia="Times New Roman" w:hAnsi="Times New Roman"/>
          <w:sz w:val="12"/>
          <w:szCs w:val="12"/>
          <w:color w:val="auto"/>
        </w:rPr>
        <w:t>”), Fenway MS, Inc., a Delaware corporation (“</w:t>
      </w:r>
      <w:r>
        <w:rPr>
          <w:rFonts w:ascii="Times New Roman" w:cs="Times New Roman" w:eastAsia="Times New Roman" w:hAnsi="Times New Roman"/>
          <w:sz w:val="12"/>
          <w:szCs w:val="12"/>
          <w:b w:val="1"/>
          <w:bCs w:val="1"/>
          <w:i w:val="1"/>
          <w:iCs w:val="1"/>
          <w:color w:val="auto"/>
        </w:rPr>
        <w:t>Merger Sub</w:t>
      </w:r>
      <w:r>
        <w:rPr>
          <w:rFonts w:ascii="Times New Roman" w:cs="Times New Roman" w:eastAsia="Times New Roman" w:hAnsi="Times New Roman"/>
          <w:sz w:val="12"/>
          <w:szCs w:val="12"/>
          <w:color w:val="auto"/>
        </w:rPr>
        <w:t>”), and Factorial Inc., a Delaware corporation (“</w:t>
      </w:r>
      <w:r>
        <w:rPr>
          <w:rFonts w:ascii="Times New Roman" w:cs="Times New Roman" w:eastAsia="Times New Roman" w:hAnsi="Times New Roman"/>
          <w:sz w:val="12"/>
          <w:szCs w:val="12"/>
          <w:b w:val="1"/>
          <w:bCs w:val="1"/>
          <w:i w:val="1"/>
          <w:iCs w:val="1"/>
          <w:color w:val="auto"/>
        </w:rPr>
        <w:t>Factorial</w:t>
      </w:r>
      <w:r>
        <w:rPr>
          <w:rFonts w:ascii="Times New Roman" w:cs="Times New Roman" w:eastAsia="Times New Roman" w:hAnsi="Times New Roman"/>
          <w:sz w:val="12"/>
          <w:szCs w:val="12"/>
          <w:color w:val="auto"/>
        </w:rPr>
        <w:t>”), entered into a Business Combination Agreement (as it may be amended, supplemented or otherwise modified from time to time, the “</w:t>
      </w:r>
      <w:r>
        <w:rPr>
          <w:rFonts w:ascii="Times New Roman" w:cs="Times New Roman" w:eastAsia="Times New Roman" w:hAnsi="Times New Roman"/>
          <w:sz w:val="12"/>
          <w:szCs w:val="12"/>
          <w:b w:val="1"/>
          <w:bCs w:val="1"/>
          <w:i w:val="1"/>
          <w:iCs w:val="1"/>
          <w:color w:val="auto"/>
        </w:rPr>
        <w:t>Business Combination Agreement</w:t>
      </w:r>
      <w:r>
        <w:rPr>
          <w:rFonts w:ascii="Times New Roman" w:cs="Times New Roman" w:eastAsia="Times New Roman" w:hAnsi="Times New Roman"/>
          <w:sz w:val="12"/>
          <w:szCs w:val="12"/>
          <w:color w:val="auto"/>
        </w:rPr>
        <w:t>”). The Business Combination Agreement and the transactions contemplated thereby (the “</w:t>
      </w:r>
      <w:r>
        <w:rPr>
          <w:rFonts w:ascii="Times New Roman" w:cs="Times New Roman" w:eastAsia="Times New Roman" w:hAnsi="Times New Roman"/>
          <w:sz w:val="12"/>
          <w:szCs w:val="12"/>
          <w:b w:val="1"/>
          <w:bCs w:val="1"/>
          <w:i w:val="1"/>
          <w:iCs w:val="1"/>
          <w:color w:val="auto"/>
        </w:rPr>
        <w:t>Business Combination</w:t>
      </w:r>
      <w:r>
        <w:rPr>
          <w:rFonts w:ascii="Times New Roman" w:cs="Times New Roman" w:eastAsia="Times New Roman" w:hAnsi="Times New Roman"/>
          <w:sz w:val="12"/>
          <w:szCs w:val="12"/>
          <w:color w:val="auto"/>
        </w:rPr>
        <w:t>”) were unanimously approved by the boards of directors and special committees comprised of independent and disinterested members of the boards of directors of each of CGC and Factorial. The Business Combination is expected to close in mid-2026, following the receipt of the requisite approvals of CGC shareholders and Factorial stockholders and the fulfillment of other customary closing conditions. Capitalized terms used but not expressly defined in this Current Report on Form 8-K shall have the meanings ascribed to them in the Business Combination Agreement.</w:t>
      </w:r>
    </w:p>
    <w:p>
      <w:pPr>
        <w:spacing w:after="0" w:line="123"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Factorial is a leader in solid-state battery technology. Factorial’s solid-state cells have been validated through real-world testing and OEM collaborations, including integration into a lightly modified Mercedes-Benz EQS test vehicle achieving over 1,200 km of range on a single charge with 106 Ah cells and Stellantis-verified 77Ah cells demonstrating high energy density, fast charging, and robust performance across temperature extremes. Beyond passenger vehicles, Factorial is expanding into high-growth defense, aerospace, and robotics applications where high power, ability to operate across extreme temperature ranges, and lightweight performance are mission-critical.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Business Combination Agreement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The Domestication</w:t>
      </w:r>
    </w:p>
    <w:p>
      <w:pPr>
        <w:spacing w:after="0" w:line="148"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The Business Combination Agreement provides, among other things, that at least one day prior to the closing of the transactions contemplated by the Business Combination Agreement (the “</w:t>
      </w:r>
      <w:r>
        <w:rPr>
          <w:rFonts w:ascii="Times New Roman" w:cs="Times New Roman" w:eastAsia="Times New Roman" w:hAnsi="Times New Roman"/>
          <w:sz w:val="12"/>
          <w:szCs w:val="12"/>
          <w:b w:val="1"/>
          <w:bCs w:val="1"/>
          <w:i w:val="1"/>
          <w:iCs w:val="1"/>
          <w:color w:val="auto"/>
        </w:rPr>
        <w:t>Closing</w:t>
      </w:r>
      <w:r>
        <w:rPr>
          <w:rFonts w:ascii="Times New Roman" w:cs="Times New Roman" w:eastAsia="Times New Roman" w:hAnsi="Times New Roman"/>
          <w:sz w:val="12"/>
          <w:szCs w:val="12"/>
          <w:color w:val="auto"/>
        </w:rPr>
        <w:t>” and the date upon which the Closing actually occurs, the “</w:t>
      </w:r>
      <w:r>
        <w:rPr>
          <w:rFonts w:ascii="Times New Roman" w:cs="Times New Roman" w:eastAsia="Times New Roman" w:hAnsi="Times New Roman"/>
          <w:sz w:val="12"/>
          <w:szCs w:val="12"/>
          <w:b w:val="1"/>
          <w:bCs w:val="1"/>
          <w:i w:val="1"/>
          <w:iCs w:val="1"/>
          <w:color w:val="auto"/>
        </w:rPr>
        <w:t>Closing Date</w:t>
      </w:r>
      <w:r>
        <w:rPr>
          <w:rFonts w:ascii="Times New Roman" w:cs="Times New Roman" w:eastAsia="Times New Roman" w:hAnsi="Times New Roman"/>
          <w:sz w:val="12"/>
          <w:szCs w:val="12"/>
          <w:color w:val="auto"/>
        </w:rPr>
        <w:t>”), CGC will de-register from the Register of Companies in the Cayman Islands and transfer by way of continuation from the Cayman Islands to Delaware and domesticate as a Delaware corporation in accordance with Section 388 of the General Corporation Law of the State of Delaware (the “</w:t>
      </w:r>
      <w:r>
        <w:rPr>
          <w:rFonts w:ascii="Times New Roman" w:cs="Times New Roman" w:eastAsia="Times New Roman" w:hAnsi="Times New Roman"/>
          <w:sz w:val="12"/>
          <w:szCs w:val="12"/>
          <w:b w:val="1"/>
          <w:bCs w:val="1"/>
          <w:i w:val="1"/>
          <w:iCs w:val="1"/>
          <w:color w:val="auto"/>
        </w:rPr>
        <w:t>DGCL</w:t>
      </w:r>
      <w:r>
        <w:rPr>
          <w:rFonts w:ascii="Times New Roman" w:cs="Times New Roman" w:eastAsia="Times New Roman" w:hAnsi="Times New Roman"/>
          <w:sz w:val="12"/>
          <w:szCs w:val="12"/>
          <w:color w:val="auto"/>
        </w:rPr>
        <w:t>”) and Part Twelve of the Cayman Islands Companies Act (2025 Revision) (the “</w:t>
      </w:r>
      <w:r>
        <w:rPr>
          <w:rFonts w:ascii="Times New Roman" w:cs="Times New Roman" w:eastAsia="Times New Roman" w:hAnsi="Times New Roman"/>
          <w:sz w:val="12"/>
          <w:szCs w:val="12"/>
          <w:b w:val="1"/>
          <w:bCs w:val="1"/>
          <w:i w:val="1"/>
          <w:iCs w:val="1"/>
          <w:color w:val="auto"/>
        </w:rPr>
        <w:t>Domestication</w:t>
      </w:r>
      <w:r>
        <w:rPr>
          <w:rFonts w:ascii="Times New Roman" w:cs="Times New Roman" w:eastAsia="Times New Roman" w:hAnsi="Times New Roman"/>
          <w:sz w:val="12"/>
          <w:szCs w:val="12"/>
          <w:color w:val="auto"/>
        </w:rPr>
        <w:t>”). In connection with the Domestication, (i) each outstanding Class A ordinary share of CGC (each, a “</w:t>
      </w:r>
      <w:r>
        <w:rPr>
          <w:rFonts w:ascii="Times New Roman" w:cs="Times New Roman" w:eastAsia="Times New Roman" w:hAnsi="Times New Roman"/>
          <w:sz w:val="12"/>
          <w:szCs w:val="12"/>
          <w:b w:val="1"/>
          <w:bCs w:val="1"/>
          <w:i w:val="1"/>
          <w:iCs w:val="1"/>
          <w:color w:val="auto"/>
        </w:rPr>
        <w:t>CGC Class A Share</w:t>
      </w:r>
      <w:r>
        <w:rPr>
          <w:rFonts w:ascii="Times New Roman" w:cs="Times New Roman" w:eastAsia="Times New Roman" w:hAnsi="Times New Roman"/>
          <w:sz w:val="12"/>
          <w:szCs w:val="12"/>
          <w:color w:val="auto"/>
        </w:rPr>
        <w:t>”), each outstanding Class B ordinary share of CGC and each outstanding preference share of CGC will be converted into one share of Series A common stock, par value $0.00001 per share, of CGC (the “</w:t>
      </w:r>
      <w:r>
        <w:rPr>
          <w:rFonts w:ascii="Times New Roman" w:cs="Times New Roman" w:eastAsia="Times New Roman" w:hAnsi="Times New Roman"/>
          <w:sz w:val="12"/>
          <w:szCs w:val="12"/>
          <w:b w:val="1"/>
          <w:bCs w:val="1"/>
          <w:i w:val="1"/>
          <w:iCs w:val="1"/>
          <w:color w:val="auto"/>
        </w:rPr>
        <w:t>New Factorial Series A Common Stock</w:t>
      </w:r>
      <w:r>
        <w:rPr>
          <w:rFonts w:ascii="Times New Roman" w:cs="Times New Roman" w:eastAsia="Times New Roman" w:hAnsi="Times New Roman"/>
          <w:sz w:val="12"/>
          <w:szCs w:val="12"/>
          <w:color w:val="auto"/>
        </w:rPr>
        <w:t>”), (ii) CGC will file the New Factorial COI with the Secretary of State of the State of Delaware and adopt the New Factorial Bylaws (each, as defined and described below) and (iii) CGC’s name will be changed to “</w:t>
      </w:r>
      <w:r>
        <w:rPr>
          <w:rFonts w:ascii="Times New Roman" w:cs="Times New Roman" w:eastAsia="Times New Roman" w:hAnsi="Times New Roman"/>
          <w:sz w:val="12"/>
          <w:szCs w:val="12"/>
          <w:b w:val="1"/>
          <w:bCs w:val="1"/>
          <w:i w:val="1"/>
          <w:iCs w:val="1"/>
          <w:color w:val="auto"/>
        </w:rPr>
        <w:t>Factorial Holdings, Inc.</w:t>
      </w:r>
      <w:r>
        <w:rPr>
          <w:rFonts w:ascii="Times New Roman" w:cs="Times New Roman" w:eastAsia="Times New Roman" w:hAnsi="Times New Roman"/>
          <w:sz w:val="12"/>
          <w:szCs w:val="12"/>
          <w:color w:val="auto"/>
        </w:rPr>
        <w:t>” (the resulting post-Closing entity, “</w:t>
      </w:r>
      <w:r>
        <w:rPr>
          <w:rFonts w:ascii="Times New Roman" w:cs="Times New Roman" w:eastAsia="Times New Roman" w:hAnsi="Times New Roman"/>
          <w:sz w:val="12"/>
          <w:szCs w:val="12"/>
          <w:b w:val="1"/>
          <w:bCs w:val="1"/>
          <w:i w:val="1"/>
          <w:iCs w:val="1"/>
          <w:color w:val="auto"/>
        </w:rPr>
        <w:t>New Factorial</w:t>
      </w:r>
      <w:r>
        <w:rPr>
          <w:rFonts w:ascii="Times New Roman" w:cs="Times New Roman" w:eastAsia="Times New Roman" w:hAnsi="Times New Roman"/>
          <w:sz w:val="12"/>
          <w:szCs w:val="12"/>
          <w:color w:val="auto"/>
        </w:rPr>
        <w: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CGC Shareholder Redemptions</w:t>
      </w:r>
    </w:p>
    <w:p>
      <w:pPr>
        <w:spacing w:after="0" w:line="15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CGC will provide the holders of CGC Class A Shares the right to have all or a portion of their CGC Class A Shares redeemed for cash in connection with the Business Combination, in accordance with CGC’s governing documents, for a per-share price equal to the pro rata portion of the funds then in CGC’s trust account (including interest not previously released to pay taxes). Any such redemptions will occur immediately prior to the consummation of the Domestication.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i w:val="1"/>
          <w:iCs w:val="1"/>
          <w:color w:val="auto"/>
        </w:rPr>
        <w:t>The Merger</w:t>
      </w:r>
    </w:p>
    <w:p>
      <w:pPr>
        <w:spacing w:after="0" w:line="152"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Subject to the terms and conditions of the Business Combination Agreement, promptly following the Domestication, Merger Sub will merge with and into Factorial, with Factorial as the surviving company in the merger and, after giving effect to such merger, as a wholly-owned subsidiary of New Factorial (the “</w:t>
      </w:r>
      <w:r>
        <w:rPr>
          <w:rFonts w:ascii="Times New Roman" w:cs="Times New Roman" w:eastAsia="Times New Roman" w:hAnsi="Times New Roman"/>
          <w:sz w:val="12"/>
          <w:szCs w:val="12"/>
          <w:b w:val="1"/>
          <w:bCs w:val="1"/>
          <w:i w:val="1"/>
          <w:iCs w:val="1"/>
          <w:color w:val="auto"/>
        </w:rPr>
        <w:t>Merger</w:t>
      </w:r>
      <w:r>
        <w:rPr>
          <w:rFonts w:ascii="Times New Roman" w:cs="Times New Roman" w:eastAsia="Times New Roman" w:hAnsi="Times New Roman"/>
          <w:sz w:val="12"/>
          <w:szCs w:val="12"/>
          <w:color w:val="auto"/>
        </w:rPr>
        <w:t>”). At the time the Merger becomes effective (the “</w:t>
      </w:r>
      <w:r>
        <w:rPr>
          <w:rFonts w:ascii="Times New Roman" w:cs="Times New Roman" w:eastAsia="Times New Roman" w:hAnsi="Times New Roman"/>
          <w:sz w:val="12"/>
          <w:szCs w:val="12"/>
          <w:b w:val="1"/>
          <w:bCs w:val="1"/>
          <w:i w:val="1"/>
          <w:iCs w:val="1"/>
          <w:color w:val="auto"/>
        </w:rPr>
        <w:t>Effective Time</w:t>
      </w:r>
      <w:r>
        <w:rPr>
          <w:rFonts w:ascii="Times New Roman" w:cs="Times New Roman" w:eastAsia="Times New Roman" w:hAnsi="Times New Roman"/>
          <w:sz w:val="12"/>
          <w:szCs w:val="12"/>
          <w:color w:val="auto"/>
        </w:rPr>
        <w:t>”), (i) each share of Factorial common stock (collectively, “</w:t>
      </w:r>
      <w:r>
        <w:rPr>
          <w:rFonts w:ascii="Times New Roman" w:cs="Times New Roman" w:eastAsia="Times New Roman" w:hAnsi="Times New Roman"/>
          <w:sz w:val="12"/>
          <w:szCs w:val="12"/>
          <w:b w:val="1"/>
          <w:bCs w:val="1"/>
          <w:i w:val="1"/>
          <w:iCs w:val="1"/>
          <w:color w:val="auto"/>
        </w:rPr>
        <w:t>Factorial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Common Shares</w:t>
      </w:r>
      <w:r>
        <w:rPr>
          <w:rFonts w:ascii="Times New Roman" w:cs="Times New Roman" w:eastAsia="Times New Roman" w:hAnsi="Times New Roman"/>
          <w:sz w:val="12"/>
          <w:szCs w:val="12"/>
          <w:color w:val="auto"/>
        </w:rPr>
        <w:t>”) issued and outstanding as of immediately prior to the Effective Time (including such shares issued upon (x) the conversion or exercise of the Company Warrants, (y) the conversion of the Company Convertible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Notes, and (z) the conversion of all shares of Factorial preferred stock into Factorial Common Shares prior to the Effective Time in accordance with the terms of the Business Combination Agreement, but excluding Factorial Common Shares held in treasury, by the Founders or by Factorial stockholders who have properly demanded appraisal of such Factorial Common Shares in accordance with Section 262 of the DGCL) will be automatically canceled and extinguished and converted into the right to receive a number of shares of New Factorial Series A Common Stock equal to an exchange ratio, which is based on an implied Factorial fully-diluted equity value of $1,100,000,000 and subject to certain adjustments as set forth in the Business Combination Agreement (the “</w:t>
      </w:r>
      <w:r>
        <w:rPr>
          <w:rFonts w:ascii="Times New Roman" w:cs="Times New Roman" w:eastAsia="Times New Roman" w:hAnsi="Times New Roman"/>
          <w:sz w:val="12"/>
          <w:szCs w:val="12"/>
          <w:b w:val="1"/>
          <w:bCs w:val="1"/>
          <w:i w:val="1"/>
          <w:iCs w:val="1"/>
          <w:color w:val="auto"/>
        </w:rPr>
        <w:t>Exchange Ratio</w:t>
      </w:r>
      <w:r>
        <w:rPr>
          <w:rFonts w:ascii="Times New Roman" w:cs="Times New Roman" w:eastAsia="Times New Roman" w:hAnsi="Times New Roman"/>
          <w:sz w:val="12"/>
          <w:szCs w:val="12"/>
          <w:color w:val="auto"/>
        </w:rPr>
        <w:t>”); (ii) each share of Factorial common stock or preferred stock held by the Founders issued and outstanding as of immediately prior to the Effective Time will be automatically canceled and extinguished and converted into the right to receive a number of shares of Series B common stock, par value $0.00001 per share, of New Factorial (the “</w:t>
      </w:r>
      <w:r>
        <w:rPr>
          <w:rFonts w:ascii="Times New Roman" w:cs="Times New Roman" w:eastAsia="Times New Roman" w:hAnsi="Times New Roman"/>
          <w:sz w:val="12"/>
          <w:szCs w:val="12"/>
          <w:b w:val="1"/>
          <w:bCs w:val="1"/>
          <w:i w:val="1"/>
          <w:iCs w:val="1"/>
          <w:color w:val="auto"/>
        </w:rPr>
        <w:t>New Factorial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Series B Common Stock</w:t>
      </w:r>
      <w:r>
        <w:rPr>
          <w:rFonts w:ascii="Times New Roman" w:cs="Times New Roman" w:eastAsia="Times New Roman" w:hAnsi="Times New Roman"/>
          <w:sz w:val="12"/>
          <w:szCs w:val="12"/>
          <w:color w:val="auto"/>
        </w:rPr>
        <w:t>,” and together with the New Factorial Series A Common Stock, the “</w:t>
      </w:r>
      <w:r>
        <w:rPr>
          <w:rFonts w:ascii="Times New Roman" w:cs="Times New Roman" w:eastAsia="Times New Roman" w:hAnsi="Times New Roman"/>
          <w:sz w:val="12"/>
          <w:szCs w:val="12"/>
          <w:b w:val="1"/>
          <w:bCs w:val="1"/>
          <w:i w:val="1"/>
          <w:iCs w:val="1"/>
          <w:color w:val="auto"/>
        </w:rPr>
        <w:t>New Factorial Common Stock</w:t>
      </w:r>
      <w:r>
        <w:rPr>
          <w:rFonts w:ascii="Times New Roman" w:cs="Times New Roman" w:eastAsia="Times New Roman" w:hAnsi="Times New Roman"/>
          <w:sz w:val="12"/>
          <w:szCs w:val="12"/>
          <w:color w:val="auto"/>
        </w:rPr>
        <w:t>”) equal to the Exchange Ratio; (iii) each option to purchase Factorial Common Shares (each, a “</w:t>
      </w:r>
      <w:r>
        <w:rPr>
          <w:rFonts w:ascii="Times New Roman" w:cs="Times New Roman" w:eastAsia="Times New Roman" w:hAnsi="Times New Roman"/>
          <w:sz w:val="12"/>
          <w:szCs w:val="12"/>
          <w:b w:val="1"/>
          <w:bCs w:val="1"/>
          <w:i w:val="1"/>
          <w:iCs w:val="1"/>
          <w:color w:val="auto"/>
        </w:rPr>
        <w:t>Factorial Option</w:t>
      </w:r>
      <w:r>
        <w:rPr>
          <w:rFonts w:ascii="Times New Roman" w:cs="Times New Roman" w:eastAsia="Times New Roman" w:hAnsi="Times New Roman"/>
          <w:sz w:val="12"/>
          <w:szCs w:val="12"/>
          <w:color w:val="auto"/>
        </w:rPr>
        <w:t>”), whether vested or unvested, will cease to represent the right to purchase Factorial Common Shares and will be canceled in exchange for options to purchase New Factorial Series A Common Stock under the equity incentive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plan to be adopted by CGC in advance of the Closing (the “</w:t>
      </w:r>
      <w:r>
        <w:rPr>
          <w:rFonts w:ascii="Times New Roman" w:cs="Times New Roman" w:eastAsia="Times New Roman" w:hAnsi="Times New Roman"/>
          <w:sz w:val="12"/>
          <w:szCs w:val="12"/>
          <w:b w:val="1"/>
          <w:bCs w:val="1"/>
          <w:i w:val="1"/>
          <w:iCs w:val="1"/>
          <w:color w:val="auto"/>
        </w:rPr>
        <w:t>New Factorial Equity Incentive Plan</w:t>
      </w:r>
      <w:r>
        <w:rPr>
          <w:rFonts w:ascii="Times New Roman" w:cs="Times New Roman" w:eastAsia="Times New Roman" w:hAnsi="Times New Roman"/>
          <w:sz w:val="12"/>
          <w:szCs w:val="12"/>
          <w:color w:val="auto"/>
        </w:rPr>
        <w:t>”), in an amount equal to the product (rounded down to the nearest whole number) of (x) the number of Factorial Common Shares subject to such Factorial Option immediately prior to the Effective Time, multiplied by (y) the Exchange Ratio, at an exercise price per share (rounded up to the nearest whole cent) equal to the quotient of (i) the exercise price per share of such Factorial Option immediately prior to the Effective Time, divided by (ii) the Exchange Ratio, and generally subject to the same terms and conditions (including applicable vesting, expiration and forfeiture provisions) that applied to the corresponding Factorial Option immediately prior to the Effective Time; and (iv) each restricted stock unit award that is outstanding with respect to Factorial Common Shares (each, a “</w:t>
      </w:r>
      <w:r>
        <w:rPr>
          <w:rFonts w:ascii="Times New Roman" w:cs="Times New Roman" w:eastAsia="Times New Roman" w:hAnsi="Times New Roman"/>
          <w:sz w:val="12"/>
          <w:szCs w:val="12"/>
          <w:b w:val="1"/>
          <w:bCs w:val="1"/>
          <w:i w:val="1"/>
          <w:iCs w:val="1"/>
          <w:color w:val="auto"/>
        </w:rPr>
        <w:t>Factorial RSU Award</w:t>
      </w:r>
      <w:r>
        <w:rPr>
          <w:rFonts w:ascii="Times New Roman" w:cs="Times New Roman" w:eastAsia="Times New Roman" w:hAnsi="Times New Roman"/>
          <w:sz w:val="12"/>
          <w:szCs w:val="12"/>
          <w:color w:val="auto"/>
        </w:rPr>
        <w:t>”), whether vested or unvested, will cease to have any rights in respect of the Factorial Common Shares and will be canceled in exchange for a restricted stock unit award under the New Factorial Equity Incentive Plan that settles in a number of shares of New Factorial Series A Common Stock (rounded down to the nearest whole share) in an amount and subject to such terms and conditions, in each case, as to be set forth on an allocation schedule, that will generally be subject to the same terms and conditions (including applicable vesting, expiration and forfeiture provisions) that applied to the corresponding Factorial RSU Award immediately prior to the Effective Time.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Representations and Warranties; Covenants</w:t>
      </w:r>
    </w:p>
    <w:p>
      <w:pPr>
        <w:spacing w:after="0" w:line="14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The Business Combination Agreement contains representations, warranties and covenants of each of the parties thereto (the “</w:t>
      </w:r>
      <w:r>
        <w:rPr>
          <w:rFonts w:ascii="Times New Roman" w:cs="Times New Roman" w:eastAsia="Times New Roman" w:hAnsi="Times New Roman"/>
          <w:sz w:val="12"/>
          <w:szCs w:val="12"/>
          <w:b w:val="1"/>
          <w:bCs w:val="1"/>
          <w:i w:val="1"/>
          <w:iCs w:val="1"/>
          <w:color w:val="auto"/>
        </w:rPr>
        <w:t>Parties</w:t>
      </w:r>
      <w:r>
        <w:rPr>
          <w:rFonts w:ascii="Times New Roman" w:cs="Times New Roman" w:eastAsia="Times New Roman" w:hAnsi="Times New Roman"/>
          <w:sz w:val="12"/>
          <w:szCs w:val="12"/>
          <w:color w:val="auto"/>
        </w:rPr>
        <w:t>”) that are customary for transactions of this type, including with respect to the operations of CGC and Factorial prior to the Closing and the preparation and filing of a registration statement on Form S-4 relating to the Business Combination containing a prospectus and proxy statement of CGC (the “</w:t>
      </w:r>
      <w:r>
        <w:rPr>
          <w:rFonts w:ascii="Times New Roman" w:cs="Times New Roman" w:eastAsia="Times New Roman" w:hAnsi="Times New Roman"/>
          <w:sz w:val="12"/>
          <w:szCs w:val="12"/>
          <w:b w:val="1"/>
          <w:bCs w:val="1"/>
          <w:i w:val="1"/>
          <w:iCs w:val="1"/>
          <w:color w:val="auto"/>
        </w:rPr>
        <w:t>Registration Statement /</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Proxy Statement</w:t>
      </w:r>
      <w:r>
        <w:rPr>
          <w:rFonts w:ascii="Times New Roman" w:cs="Times New Roman" w:eastAsia="Times New Roman" w:hAnsi="Times New Roman"/>
          <w:sz w:val="12"/>
          <w:szCs w:val="12"/>
          <w:color w:val="auto"/>
        </w:rPr>
        <w:t>”) with the Securities and Exchange Commission (the “</w:t>
      </w:r>
      <w:r>
        <w:rPr>
          <w:rFonts w:ascii="Times New Roman" w:cs="Times New Roman" w:eastAsia="Times New Roman" w:hAnsi="Times New Roman"/>
          <w:sz w:val="12"/>
          <w:szCs w:val="12"/>
          <w:b w:val="1"/>
          <w:bCs w:val="1"/>
          <w:i w:val="1"/>
          <w:iCs w:val="1"/>
          <w:color w:val="auto"/>
        </w:rPr>
        <w:t>SEC</w:t>
      </w:r>
      <w:r>
        <w:rPr>
          <w:rFonts w:ascii="Times New Roman" w:cs="Times New Roman" w:eastAsia="Times New Roman" w:hAnsi="Times New Roman"/>
          <w:sz w:val="12"/>
          <w:szCs w:val="12"/>
          <w:color w:val="auto"/>
        </w:rPr>
        <w:t>”). The Parties have also undertaken to procure clearance under the Hart-Scott-Rodino Antitrust Improvements Act of 1976, as amended (the “</w:t>
      </w:r>
      <w:r>
        <w:rPr>
          <w:rFonts w:ascii="Times New Roman" w:cs="Times New Roman" w:eastAsia="Times New Roman" w:hAnsi="Times New Roman"/>
          <w:sz w:val="12"/>
          <w:szCs w:val="12"/>
          <w:b w:val="1"/>
          <w:bCs w:val="1"/>
          <w:i w:val="1"/>
          <w:iCs w:val="1"/>
          <w:color w:val="auto"/>
        </w:rPr>
        <w:t>HSR Act</w:t>
      </w:r>
      <w:r>
        <w:rPr>
          <w:rFonts w:ascii="Times New Roman" w:cs="Times New Roman" w:eastAsia="Times New Roman" w:hAnsi="Times New Roman"/>
          <w:sz w:val="12"/>
          <w:szCs w:val="12"/>
          <w:color w:val="auto"/>
        </w:rPr>
        <w:t>”). In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addition, the board of directors of CGC has agreed to adopt the New Factorial Equity Incentive Plan and the New Factorial Employee Stock Purchase Plan effective as of one day prior to the Closing Date (as defined and described below) prior to the effectiveness of the Registration Statement / Proxy Statement, as described in the Business Combination Agreement. CGC and Factorial have agreed to apply good faith efforts to seek support and approval of the significant holders of the CGC Public Warrants to amend the warrant agreement to provide for the conversion of each CGC Public Warrant into shares of CGC Class A Share as promptly as possible at a ratio and time to be determined based on negotiations with and approval of such holders. At or prior to the Closing, CGC shall cause the CGC Private Warrant Exchange Agreement to be executed to provide that each CGC Private Warrant will convert into CGC Class A Shares at the same exchange ratio as the CGC Public Warrants are exchanged pursuant to the warrant agreement amendment.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Governance</w:t>
      </w:r>
    </w:p>
    <w:p>
      <w:pPr>
        <w:spacing w:after="0" w:line="15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CGC has agreed to take all action within its power as may be necessary or appropriate such that, effective immediately after the Closing, the New Factorial board of directors will initially consist of seven directors, which will be divided into three classes.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i w:val="1"/>
          <w:iCs w:val="1"/>
          <w:color w:val="auto"/>
        </w:rPr>
        <w:t>Conditions to Closing</w:t>
      </w:r>
    </w:p>
    <w:p>
      <w:pPr>
        <w:spacing w:after="0" w:line="15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obligation of CGC and Factorial to consummate the Business Combination is subject to certain closing conditions, including, but not limited to, (i) the expiration or termination of the applicable waiting period under the HSR Act, (ii) no legal restraint or prohibition issued by any governmental entity enjoining, prohibiting or preventing the consummation of the Business Combination being in effect, (iii) the effectiveness of the Registration Statement / Proxy Statement, (iv) receipt of the requisite approvals and consents of CGC’s shareholders and Factorial’s stockholders, and (v) the approval for listing of the New Factorial Series A Common Stock (including, for the avoidance of doubt, the shares of New Factorial Series A Common Stock to be issued pursuant to the Merger) on Nasdaq.</w:t>
      </w:r>
    </w:p>
    <w:p>
      <w:pPr>
        <w:spacing w:after="0" w:line="12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obligation of CGC to consummate the Business Combination is also subject to the fulfillment of other customary closing conditions, including, but not limited to, there having been no Company Material Adverse Effect since the date of the Business Combination Agreement that is continuing.</w:t>
      </w:r>
    </w:p>
    <w:p>
      <w:pPr>
        <w:spacing w:after="0" w:line="111"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The obligation of Factorial to consummate the Business Combination is also subject to the fulfillment of other customary closing conditions, including, but not limited to, (i) there having been no CGC Material Adverse Effect since the date of the Business Combination Agreement that is continuing, (ii) the consummation of the Domestication, and (iii) each PIPE Investor having funded the Purchase Price for such PIPE Investor’s Purchased Shares pursuant to such PIPE Investor’s Investor Stock Purchase Agreement into an escrow account and such PIPE Investor having otherwise fully performed its obligations thereunder and CGC having issued to the escrow agent such escrow release instructions as are required by the Investor Stock Purchase Agreements and/or such PIPE Investor having purchased any shares subject to any non-redemption agreement (in accordance with the provisions of such Investor Stock Purchase Agreement) to which such PIPE Investor is a party and otherwise fully performed its obligations under such non-redemption agreement.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Termination</w:t>
      </w:r>
    </w:p>
    <w:p>
      <w:pPr>
        <w:spacing w:after="0" w:line="152"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The Business Combination Agreement may be terminated under certain customary and limited circumstances prior to the Closing, including, but not limited to, (i) by mutual written consent of CGC and Factorial, (ii) by CGC if the representations and warranties of Factorial are not true and correct or if Factorial fails to perform any pre-closing covenant or agreement set forth in the Business Combination Agreement such that certain conditions to closing cannot be satisfied and the breach or breaches of such representations or warranties or the failure to perform such covenant or agreement, as applicable, are not cured or cannot be cured within certain specified time periods, (iii) termination by Factorial if the representations and warranties of any CGC Party are not true and correct or if any CGC Party fails to perform any covenant or agreement set forth in the Business Combination Agreement such that certain conditions to closing cannot be satisfied and the breach or breaches of such representations or warranties or the failure to perform such covenant or agreement, as applicable, are not cured or cannot be cured within certain specified time periods, (iv) subject to certain limited exceptions, by either CGC or Factorial if the Business Combination is not consummated by November 12, 2026, (v) by either CGC or Factorial if the requisite CGC shareholder approvals are not obtained after the conclusion of the meeting at which CGC’s shareholders voted on such matters, (vi) by either CGC or Factorial, if any governmental entity has issued a final and non-appealable order prohibiting the Business Combination; and (vii) by CGC if Factorial’s stockholders do not deliver to CGC a written consent approving the Business Combination within two business days following the date on which the Registration Statement / Proxy Statement is declared effective.</w:t>
      </w:r>
    </w:p>
    <w:p>
      <w:pPr>
        <w:spacing w:after="0" w:line="126"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If the Business Combination Agreement is validly terminated, none of the Parties will have any liability or any further obligation under the Business Combination Agreement other than customary confidentiality obligations, except in the case of Willful Breach or Fraud.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New Factorial Equity Incentive Plan and New Factorial Employee Stock Purchase Plan</w:t>
      </w:r>
    </w:p>
    <w:p>
      <w:pPr>
        <w:spacing w:after="0" w:line="15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Prior to the effectiveness of the Registration Statement / Proxy Statement, the board of directors of CGC will approve and adopt, effective as of one day prior to the Closing Date, in each case subject to approval by the CGC shareholders, the New Factorial Equity Incentive Plan and an employee stock purchase plan (the “</w:t>
      </w:r>
      <w:r>
        <w:rPr>
          <w:rFonts w:ascii="Times New Roman" w:cs="Times New Roman" w:eastAsia="Times New Roman" w:hAnsi="Times New Roman"/>
          <w:sz w:val="12"/>
          <w:szCs w:val="12"/>
          <w:b w:val="1"/>
          <w:bCs w:val="1"/>
          <w:i w:val="1"/>
          <w:iCs w:val="1"/>
          <w:color w:val="auto"/>
        </w:rPr>
        <w:t>New Factorial Employee Stock Purchase Plan</w:t>
      </w:r>
      <w:r>
        <w:rPr>
          <w:rFonts w:ascii="Times New Roman" w:cs="Times New Roman" w:eastAsia="Times New Roman" w:hAnsi="Times New Roman"/>
          <w:sz w:val="12"/>
          <w:szCs w:val="12"/>
          <w:color w:val="auto"/>
        </w:rPr>
        <w:t>”) to provide eligible service providers of New Factorial and certain affiliated companies with the opportunity to purchase New Factorial Series A Common Stock and/or acquire a proprietary interest in New Factorial. The New Factorial Equity Incentive Plan will provide for equity incentive compensation grants to employees and consultants (including non-employee directors) in the form of stock options (both non-qualified stock options and incentive stock options), stock appreciation rights, restricted stock, restricted stock units, and other stock-based and cash-based awards. The New Factorial Employee Stock Purchase Plan will permit eligible employees to purchase New Factorial Series A Common Stock at a discount under (i) a component that is intended to be qualified under Section 423 of the Internal Revenue Code of 1986, as amended (the “</w:t>
      </w:r>
      <w:r>
        <w:rPr>
          <w:rFonts w:ascii="Times New Roman" w:cs="Times New Roman" w:eastAsia="Times New Roman" w:hAnsi="Times New Roman"/>
          <w:sz w:val="12"/>
          <w:szCs w:val="12"/>
          <w:b w:val="1"/>
          <w:bCs w:val="1"/>
          <w:i w:val="1"/>
          <w:iCs w:val="1"/>
          <w:color w:val="auto"/>
        </w:rPr>
        <w:t>Code</w:t>
      </w:r>
      <w:r>
        <w:rPr>
          <w:rFonts w:ascii="Times New Roman" w:cs="Times New Roman" w:eastAsia="Times New Roman" w:hAnsi="Times New Roman"/>
          <w:sz w:val="12"/>
          <w:szCs w:val="12"/>
          <w:color w:val="auto"/>
        </w:rPr>
        <w:t>”), and (ii) a component that is not intended to be so qualified under Section 423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4" w:name="page5"/>
    <w:bookmarkEnd w:id="4"/>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The initial number of shares of New Factorial Series A Common Stock reserved and available for issuance under the New Factorial Equity Incentive Plan will equal 15% of New Factorial’s fully-diluted shares as of the effective date of the plan. The initial number of shares of New Factorial Series A Common Stock available for issuance under the New Factorial Equity Incentive Plan shall be reduced by the number of shares of New Factorial Series A Common Stock reserved for issuance upon vesting of unvested Factorial equity awards, but shall be in addition to the number of shares of Series A Common Stock issuable pursuant to vested Factorial equity awards. Additionally, the number of shares of New Factorial Series A Common Stock reserved and available for issuance under the New Factorial Equity Incentive Plan will be automatically cumulatively increased on the first day of each fiscal year beginning with the 2027 fiscal year by (i) 5% of the sum of the number of shares of New Factorial Common Stock issued and outstanding (the “</w:t>
      </w:r>
      <w:r>
        <w:rPr>
          <w:rFonts w:ascii="Times New Roman" w:cs="Times New Roman" w:eastAsia="Times New Roman" w:hAnsi="Times New Roman"/>
          <w:sz w:val="12"/>
          <w:szCs w:val="12"/>
          <w:b w:val="1"/>
          <w:bCs w:val="1"/>
          <w:i w:val="1"/>
          <w:iCs w:val="1"/>
          <w:color w:val="auto"/>
        </w:rPr>
        <w:t>Outstanding Shares</w:t>
      </w:r>
      <w:r>
        <w:rPr>
          <w:rFonts w:ascii="Times New Roman" w:cs="Times New Roman" w:eastAsia="Times New Roman" w:hAnsi="Times New Roman"/>
          <w:sz w:val="12"/>
          <w:szCs w:val="12"/>
          <w:color w:val="auto"/>
        </w:rPr>
        <w:t>”) on the immediately preceding December 31 or (ii) such lesser number of shares as determined by the administrator of the New Factorial Equity Incentive Plan.</w:t>
      </w:r>
    </w:p>
    <w:p>
      <w:pPr>
        <w:spacing w:after="0" w:line="125" w:lineRule="exact"/>
        <w:rPr>
          <w:sz w:val="20"/>
          <w:szCs w:val="20"/>
          <w:color w:val="auto"/>
        </w:rPr>
      </w:pPr>
    </w:p>
    <w:p>
      <w:pPr>
        <w:jc w:val="both"/>
        <w:ind w:right="20" w:firstLine="432"/>
        <w:spacing w:after="0" w:line="260" w:lineRule="auto"/>
        <w:rPr>
          <w:sz w:val="20"/>
          <w:szCs w:val="20"/>
          <w:color w:val="auto"/>
        </w:rPr>
      </w:pPr>
      <w:r>
        <w:rPr>
          <w:rFonts w:ascii="Times New Roman" w:cs="Times New Roman" w:eastAsia="Times New Roman" w:hAnsi="Times New Roman"/>
          <w:sz w:val="12"/>
          <w:szCs w:val="12"/>
          <w:color w:val="auto"/>
        </w:rPr>
        <w:t>The initial number of shares of New Factorial Series A Common Stock reserved and available for issuance under the New Factorial Employee Stock Purchase Plan will equal 2% of New Factorial’s fully-diluted shares as of the effective date of the plan. Additionally, on January 1, 2027, and each January 1 thereafter through January 1, 2036, the number of shares of New Factorial Series A Common Stock reserved and available for issuance under the New Factorial Employee Stock Purchase Plan will be cumulatively increased by the least of (i) 2% of the Outstanding Shares on the immediately preceding December 31, (ii) a fixed number of shares or (iii) such number of shares as determined by the administrator of the New Factorial Employee Stock Purchase Plan.</w:t>
      </w:r>
    </w:p>
    <w:p>
      <w:pPr>
        <w:spacing w:after="0" w:line="122"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The foregoing description of the Business Combination Agreement and the Business Combination does not purport to be complete and is qualified in its entirety by the terms and conditions of the Business Combination Agreement and any related agreements. The Business Combination Agreement contains representations, warranties and covenants that the respective Parties made to each other as of the date of such agreement or other specific dates. The assertions embodied in those representations, warranties and covenants were made for purposes of the contract among the respective Parties and are subject to important qualifications and limitations agreed to by the Parties in connection with negotiating such agreement. It is not intended to provide any other factual information about CGC, Factorial, or any other Party to the Business Combination Agreement or any related agreement. In particular, the representations, warranties, covenants and agreements contained in the Business Combination Agreement, which were made only for purposes of such agreement and as of specific dates, were solely for the benefit of the Parties, are subject to limitations agreed upon by the Parties (including being qualified by confidential disclosures made for the purposes of allocating contractual risk between the Parties instead of establishing these matters as facts) and are subject to standards of materiality applicable to the Parties that may differ from those applicable to investors and security holders. Investors and security holders are not third-party beneficiaries under the Business Combination Agreement and should not rely on the representations, warranties, covenants and agreements, or any descriptions thereof, as characterizations of the actual state of facts or condition of any Party to the Business Combination Agreement. Moreover, information concerning the subject matter of the representations and warranties may change after the date of the Business Combination Agreement, which subsequent information may or may not be fully reflected in CGC’s public disclosures.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foregoing description of the Business Combination Agreement is qualified in its entirety by reference to the Business Combination Agreement filed as Exhibit 2.1 to this Current Report on Form 8-K.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Related Agreements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Business Combination Agreement contemplates the execution of various additional agreements and instruments, on or before the Closing, including, among others,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color w:val="auto"/>
        </w:rPr>
        <w:t>Sponsor Support Agreement</w:t>
      </w:r>
    </w:p>
    <w:p>
      <w:pPr>
        <w:spacing w:after="0" w:line="15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Concurrently with the execution of the Business Combination Agreement, CGC, CGC III Sponsor LLC, a Cayman Islands exempted limited company (the “</w:t>
      </w:r>
      <w:r>
        <w:rPr>
          <w:rFonts w:ascii="Times New Roman" w:cs="Times New Roman" w:eastAsia="Times New Roman" w:hAnsi="Times New Roman"/>
          <w:sz w:val="12"/>
          <w:szCs w:val="12"/>
          <w:b w:val="1"/>
          <w:bCs w:val="1"/>
          <w:i w:val="1"/>
          <w:iCs w:val="1"/>
          <w:color w:val="auto"/>
        </w:rPr>
        <w:t>Sponsor</w:t>
      </w:r>
      <w:r>
        <w:rPr>
          <w:rFonts w:ascii="Times New Roman" w:cs="Times New Roman" w:eastAsia="Times New Roman" w:hAnsi="Times New Roman"/>
          <w:sz w:val="12"/>
          <w:szCs w:val="12"/>
          <w:color w:val="auto"/>
        </w:rPr>
        <w:t>”), and Factorial entered into the Sponsor Support Agreement (the “</w:t>
      </w:r>
      <w:r>
        <w:rPr>
          <w:rFonts w:ascii="Times New Roman" w:cs="Times New Roman" w:eastAsia="Times New Roman" w:hAnsi="Times New Roman"/>
          <w:sz w:val="12"/>
          <w:szCs w:val="12"/>
          <w:b w:val="1"/>
          <w:bCs w:val="1"/>
          <w:i w:val="1"/>
          <w:iCs w:val="1"/>
          <w:color w:val="auto"/>
        </w:rPr>
        <w:t>Sponsor Support Agreement</w:t>
      </w:r>
      <w:r>
        <w:rPr>
          <w:rFonts w:ascii="Times New Roman" w:cs="Times New Roman" w:eastAsia="Times New Roman" w:hAnsi="Times New Roman"/>
          <w:sz w:val="12"/>
          <w:szCs w:val="12"/>
          <w:color w:val="auto"/>
        </w:rPr>
        <w:t>”), pursuant to which the Sponsor, as a holder of CGC’s Class B ordinary shares (the “</w:t>
      </w:r>
      <w:r>
        <w:rPr>
          <w:rFonts w:ascii="Times New Roman" w:cs="Times New Roman" w:eastAsia="Times New Roman" w:hAnsi="Times New Roman"/>
          <w:sz w:val="12"/>
          <w:szCs w:val="12"/>
          <w:b w:val="1"/>
          <w:bCs w:val="1"/>
          <w:i w:val="1"/>
          <w:iCs w:val="1"/>
          <w:color w:val="auto"/>
        </w:rPr>
        <w:t>Sponsor Shares</w:t>
      </w:r>
      <w:r>
        <w:rPr>
          <w:rFonts w:ascii="Times New Roman" w:cs="Times New Roman" w:eastAsia="Times New Roman" w:hAnsi="Times New Roman"/>
          <w:sz w:val="12"/>
          <w:szCs w:val="12"/>
          <w:color w:val="auto"/>
        </w:rPr>
        <w:t>”), has agreed to, among other things, (i) vote in favor of the Business Combination Agreement and the Business Combination, (ii) waive any adjustment to the conversion ratio set forth in the governing documents of CGC or any other anti-dilution or similar protection with respect to the Class B ordinary shares (whether resulting from the transactions contemplated by the Business Combination Agreement or otherwise), (iii) be bound by certain other covenants and agreements related to the Business Combination, (iv) be bound by certain transfer restrictions with respect to its shares in CGC prior to the Closing, (v) be subject to certain transfer restrictions provided in the New Factorial Bylaws, and (vi) waive redemption rights with respect to the Sponsor Shares, in each case, on the terms and subject to the conditions set forth in the Sponsor Support Agreement.</w:t>
      </w:r>
    </w:p>
    <w:p>
      <w:pPr>
        <w:spacing w:after="0" w:line="125"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 copy of the Sponsor Support Agreement is filed with this Current Report on Form 8-K as Exhibit 10.1 and is incorporated herein by reference, and the foregoing description of the Sponsor Support Agreement is qualified in its entirety by reference thereto.</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PIPE Financing (Private Placement)</w:t>
      </w:r>
    </w:p>
    <w:p>
      <w:pPr>
        <w:spacing w:after="0" w:line="15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Concurrently with the execution of the Business Combination Agreement, on December 17, 2025, CGC entered into a Stock Purchase Agreement (the “</w:t>
      </w:r>
      <w:r>
        <w:rPr>
          <w:rFonts w:ascii="Times New Roman" w:cs="Times New Roman" w:eastAsia="Times New Roman" w:hAnsi="Times New Roman"/>
          <w:sz w:val="12"/>
          <w:szCs w:val="12"/>
          <w:b w:val="1"/>
          <w:bCs w:val="1"/>
          <w:i w:val="1"/>
          <w:iCs w:val="1"/>
          <w:color w:val="auto"/>
        </w:rPr>
        <w:t>Sponsor Stock Purchase Agreement</w:t>
      </w:r>
      <w:r>
        <w:rPr>
          <w:rFonts w:ascii="Times New Roman" w:cs="Times New Roman" w:eastAsia="Times New Roman" w:hAnsi="Times New Roman"/>
          <w:sz w:val="12"/>
          <w:szCs w:val="12"/>
          <w:color w:val="auto"/>
        </w:rPr>
        <w:t>”) with an affiliate of the Sponsor (the “</w:t>
      </w:r>
      <w:r>
        <w:rPr>
          <w:rFonts w:ascii="Times New Roman" w:cs="Times New Roman" w:eastAsia="Times New Roman" w:hAnsi="Times New Roman"/>
          <w:sz w:val="12"/>
          <w:szCs w:val="12"/>
          <w:b w:val="1"/>
          <w:bCs w:val="1"/>
          <w:i w:val="1"/>
          <w:iCs w:val="1"/>
          <w:color w:val="auto"/>
        </w:rPr>
        <w:t>Sponsor Investor</w:t>
      </w:r>
      <w:r>
        <w:rPr>
          <w:rFonts w:ascii="Times New Roman" w:cs="Times New Roman" w:eastAsia="Times New Roman" w:hAnsi="Times New Roman"/>
          <w:sz w:val="12"/>
          <w:szCs w:val="12"/>
          <w:color w:val="auto"/>
        </w:rPr>
        <w:t>”) and a Stock Purchase Agreement (the “</w:t>
      </w:r>
      <w:r>
        <w:rPr>
          <w:rFonts w:ascii="Times New Roman" w:cs="Times New Roman" w:eastAsia="Times New Roman" w:hAnsi="Times New Roman"/>
          <w:sz w:val="12"/>
          <w:szCs w:val="12"/>
          <w:b w:val="1"/>
          <w:bCs w:val="1"/>
          <w:i w:val="1"/>
          <w:iCs w:val="1"/>
          <w:color w:val="auto"/>
        </w:rPr>
        <w:t>Institutional Investor Stock Purchase Agreement</w:t>
      </w:r>
      <w:r>
        <w:rPr>
          <w:rFonts w:ascii="Times New Roman" w:cs="Times New Roman" w:eastAsia="Times New Roman" w:hAnsi="Times New Roman"/>
          <w:sz w:val="12"/>
          <w:szCs w:val="12"/>
          <w:color w:val="auto"/>
        </w:rPr>
        <w:t>,” and together with the Sponsor Stock Purchase Agreement, “</w:t>
      </w:r>
      <w:r>
        <w:rPr>
          <w:rFonts w:ascii="Times New Roman" w:cs="Times New Roman" w:eastAsia="Times New Roman" w:hAnsi="Times New Roman"/>
          <w:sz w:val="12"/>
          <w:szCs w:val="12"/>
          <w:b w:val="1"/>
          <w:bCs w:val="1"/>
          <w:i w:val="1"/>
          <w:iCs w:val="1"/>
          <w:color w:val="auto"/>
        </w:rPr>
        <w:t>Investor Stock Purchase Agreements</w:t>
      </w:r>
      <w:r>
        <w:rPr>
          <w:rFonts w:ascii="Times New Roman" w:cs="Times New Roman" w:eastAsia="Times New Roman" w:hAnsi="Times New Roman"/>
          <w:sz w:val="12"/>
          <w:szCs w:val="12"/>
          <w:color w:val="auto"/>
        </w:rPr>
        <w:t>”) with a certain institutional investor (the “</w:t>
      </w:r>
      <w:r>
        <w:rPr>
          <w:rFonts w:ascii="Times New Roman" w:cs="Times New Roman" w:eastAsia="Times New Roman" w:hAnsi="Times New Roman"/>
          <w:sz w:val="12"/>
          <w:szCs w:val="12"/>
          <w:b w:val="1"/>
          <w:bCs w:val="1"/>
          <w:i w:val="1"/>
          <w:iCs w:val="1"/>
          <w:color w:val="auto"/>
        </w:rPr>
        <w:t>Institutional Investor</w:t>
      </w:r>
      <w:r>
        <w:rPr>
          <w:rFonts w:ascii="Times New Roman" w:cs="Times New Roman" w:eastAsia="Times New Roman" w:hAnsi="Times New Roman"/>
          <w:sz w:val="12"/>
          <w:szCs w:val="12"/>
          <w:color w:val="auto"/>
        </w:rPr>
        <w:t>,” and together with the Sponsor Investor, the “</w:t>
      </w:r>
      <w:r>
        <w:rPr>
          <w:rFonts w:ascii="Times New Roman" w:cs="Times New Roman" w:eastAsia="Times New Roman" w:hAnsi="Times New Roman"/>
          <w:sz w:val="12"/>
          <w:szCs w:val="12"/>
          <w:b w:val="1"/>
          <w:bCs w:val="1"/>
          <w:i w:val="1"/>
          <w:iCs w:val="1"/>
          <w:color w:val="auto"/>
        </w:rPr>
        <w:t>PIPE Investors</w:t>
      </w:r>
      <w:r>
        <w:rPr>
          <w:rFonts w:ascii="Times New Roman" w:cs="Times New Roman" w:eastAsia="Times New Roman" w:hAnsi="Times New Roman"/>
          <w:sz w:val="12"/>
          <w:szCs w:val="12"/>
          <w:color w:val="auto"/>
        </w:rPr>
        <w:t>”). Pursuant to (i) the Sponsor Stock Purchase Agreement, the Sponsor Investor agreed to subscribe for and purchase, and CGC agreed to issue and sell to the Sponsor Investor, on the Closing Date, an aggregate number of shares of New Factorial Series A Common Stock equal to $25,000,000 divided by the Redemption Price (as defined in the CGC certificate of incorporation) and (ii) the Institutional Investor Stock Purchase Agreement, the Institutional Investor agreed to subscribe for and purchase, and CGC agreed to issue and sell to the Institutional Investor, on the Closing Date, an aggregate number of shares of New Factorial Series A Common Stock equal to $75,000,000 divided by $10.00, for aggregate gross proceeds of $100,000,000 (the “</w:t>
      </w:r>
      <w:r>
        <w:rPr>
          <w:rFonts w:ascii="Times New Roman" w:cs="Times New Roman" w:eastAsia="Times New Roman" w:hAnsi="Times New Roman"/>
          <w:sz w:val="12"/>
          <w:szCs w:val="12"/>
          <w:b w:val="1"/>
          <w:bCs w:val="1"/>
          <w:i w:val="1"/>
          <w:iCs w:val="1"/>
          <w:color w:val="auto"/>
        </w:rPr>
        <w:t>PIPE Financing</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obligations of each party to consummate the PIPE Financing are conditioned upon, among other things, (i) the New Factorial Series A Common Stock (including the New Factorial Series A Common Stock issuable to the PIPE Investors pursuant to the Investor Stock Purchase Agreements) having been approved for listing on Nasdaq or the New York Stock Exchange; (ii) all conditions precedent to the Closing shall have been satisfied or waived and the closing of the Business Combination shall be scheduled to occur substantially concurrently with the closing of the PIPE Financing; and (iii) the absence of specified adverse judgements, orders, laws, rules or regulations enjoining or otherwise prohibiting the consummation of the transactions contemplated by the Investor Stock Purchase Agreements.</w:t>
      </w:r>
    </w:p>
    <w:p>
      <w:pPr>
        <w:spacing w:after="0" w:line="122"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The obligations of CGC to consummate the PIPE Financing are further subject to additional conditions, including, among other things: (i) material truth and accuracy of the representations and warranties of the PIPE Investors, subject to customary bringdown standards; and (ii) material compliance by the PIPE Investors with their covenants, agreements and conditions under the Investor Stock Purchase Agreements.</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obligations of the PIPE Investors to consummate the PIPE Financing are further subject to additional conditions, including, among other things: (i) the material truth and accuracy of the representations and warranties of CGC in the Investor Stock Purchase Agreements, subject to customary bringdown standards; and (ii) material compliance by CGC with its covenants, agreements and conditions under the Investor Stock Purchase Agreements.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Investor Stock Purchase Agreements provide that CGC will grant the PIPE Investors certain customary registration rights.</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foregoing description of the Investor Stock Purchase Agreements and the PIPE Financing is subject to and qualified in its entirety by reference to the full text of the form of Investor Stock Purchase Agreement, a copy of which is attached as Exhibit 10.2 hereto, and the terms of which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color w:val="auto"/>
        </w:rPr>
        <w:t>Registration Rights Agreement</w:t>
      </w:r>
    </w:p>
    <w:p>
      <w:pPr>
        <w:spacing w:after="0" w:line="150"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color w:val="auto"/>
        </w:rPr>
        <w:t>In connection with the Closing, New Factorial, Sponsor, Cantor Fitzgerald &amp; Co. (“</w:t>
      </w:r>
      <w:r>
        <w:rPr>
          <w:rFonts w:ascii="Times New Roman" w:cs="Times New Roman" w:eastAsia="Times New Roman" w:hAnsi="Times New Roman"/>
          <w:sz w:val="12"/>
          <w:szCs w:val="12"/>
          <w:b w:val="1"/>
          <w:bCs w:val="1"/>
          <w:i w:val="1"/>
          <w:iCs w:val="1"/>
          <w:color w:val="auto"/>
        </w:rPr>
        <w:t>Cantor</w:t>
      </w:r>
      <w:r>
        <w:rPr>
          <w:rFonts w:ascii="Times New Roman" w:cs="Times New Roman" w:eastAsia="Times New Roman" w:hAnsi="Times New Roman"/>
          <w:sz w:val="12"/>
          <w:szCs w:val="12"/>
          <w:color w:val="auto"/>
        </w:rPr>
        <w:t>”) and certain stockholders of Factorial will enter into an amended and restated registration rights agreement (the “</w:t>
      </w:r>
      <w:r>
        <w:rPr>
          <w:rFonts w:ascii="Times New Roman" w:cs="Times New Roman" w:eastAsia="Times New Roman" w:hAnsi="Times New Roman"/>
          <w:sz w:val="12"/>
          <w:szCs w:val="12"/>
          <w:b w:val="1"/>
          <w:bCs w:val="1"/>
          <w:i w:val="1"/>
          <w:iCs w:val="1"/>
          <w:color w:val="auto"/>
        </w:rPr>
        <w:t>Registration Rights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Agreement</w:t>
      </w:r>
      <w:r>
        <w:rPr>
          <w:rFonts w:ascii="Times New Roman" w:cs="Times New Roman" w:eastAsia="Times New Roman" w:hAnsi="Times New Roman"/>
          <w:sz w:val="12"/>
          <w:szCs w:val="12"/>
          <w:color w:val="auto"/>
        </w:rPr>
        <w:t>”). Pursuant to the Registration Rights Agreement, among other things, New Factorial will agree that, within 30 calendar days following the Closing Date, New Factorial will file with the SEC (at New Factorial’s sole cost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and expense) a registration statement registering the resale of certain shares of New Factorial Series A Common Stock held by or issuable to the parties thereto (the “</w:t>
      </w:r>
      <w:r>
        <w:rPr>
          <w:rFonts w:ascii="Times New Roman" w:cs="Times New Roman" w:eastAsia="Times New Roman" w:hAnsi="Times New Roman"/>
          <w:sz w:val="12"/>
          <w:szCs w:val="12"/>
          <w:b w:val="1"/>
          <w:bCs w:val="1"/>
          <w:i w:val="1"/>
          <w:iCs w:val="1"/>
          <w:color w:val="auto"/>
        </w:rPr>
        <w:t>Resale Registration Statemen</w:t>
      </w:r>
      <w:r>
        <w:rPr>
          <w:rFonts w:ascii="Times New Roman" w:cs="Times New Roman" w:eastAsia="Times New Roman" w:hAnsi="Times New Roman"/>
          <w:sz w:val="12"/>
          <w:szCs w:val="12"/>
          <w:color w:val="auto"/>
        </w:rPr>
        <w:t>t”), and New Factorial will use its commercially reasonable efforts to have the Resale Registration Statement declared effective as soon as reasonably practicable after the filing thereof. Such holders will be entitled to customary piggyback registration rights and demand registration rights, including underwritten demands.</w:t>
      </w:r>
    </w:p>
    <w:p>
      <w:pPr>
        <w:spacing w:after="0" w:line="123"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Registration Rights Agreement amends and restates the registration rights agreement that was entered into by CGC, Cantor, the Sponsor and CGC III Sponsor DirectorCo LLC in connection with CGC’s initial public offering. The Registration Rights Agreement will terminate on the earlier of (a) the seven year anniversary of the date of the Registration Rights Agreement or (b) with respect to any holder party thereto, on the date that such holder no longer holds any Registrable Securities (as defined therein).</w:t>
      </w:r>
    </w:p>
    <w:p>
      <w:pPr>
        <w:spacing w:after="0" w:line="11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The foregoing description of the Registration Rights Agreement is subject to and qualified in its entirety by reference to the full text of the form of Registration Rights Agreement, a copy of which is attached as Exhibit 10.3 hereto, and the terms of which are incorporated herein by reference.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New Factorial Certificate of Incorporation and New Factorial Bylaws</w:t>
      </w:r>
    </w:p>
    <w:p>
      <w:pPr>
        <w:spacing w:after="0" w:line="150"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color w:val="auto"/>
        </w:rPr>
        <w:t>Concurrently with the Domestication, and prior to the Effective Time, CGC will file a certificate of incorporation with the Secretary of State of the State of Delaware (“</w:t>
      </w:r>
      <w:r>
        <w:rPr>
          <w:rFonts w:ascii="Times New Roman" w:cs="Times New Roman" w:eastAsia="Times New Roman" w:hAnsi="Times New Roman"/>
          <w:sz w:val="12"/>
          <w:szCs w:val="12"/>
          <w:b w:val="1"/>
          <w:bCs w:val="1"/>
          <w:i w:val="1"/>
          <w:iCs w:val="1"/>
          <w:color w:val="auto"/>
        </w:rPr>
        <w:t>New Factorial COI</w:t>
      </w:r>
      <w:r>
        <w:rPr>
          <w:rFonts w:ascii="Times New Roman" w:cs="Times New Roman" w:eastAsia="Times New Roman" w:hAnsi="Times New Roman"/>
          <w:sz w:val="12"/>
          <w:szCs w:val="12"/>
          <w:color w:val="auto"/>
        </w:rPr>
        <w:t>”) and will adopt bylaws (“</w:t>
      </w:r>
      <w:r>
        <w:rPr>
          <w:rFonts w:ascii="Times New Roman" w:cs="Times New Roman" w:eastAsia="Times New Roman" w:hAnsi="Times New Roman"/>
          <w:sz w:val="12"/>
          <w:szCs w:val="12"/>
          <w:b w:val="1"/>
          <w:bCs w:val="1"/>
          <w:i w:val="1"/>
          <w:iCs w:val="1"/>
          <w:color w:val="auto"/>
        </w:rPr>
        <w:t>New</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Factorial Bylaws</w:t>
      </w:r>
      <w:r>
        <w:rPr>
          <w:rFonts w:ascii="Times New Roman" w:cs="Times New Roman" w:eastAsia="Times New Roman" w:hAnsi="Times New Roman"/>
          <w:sz w:val="12"/>
          <w:szCs w:val="12"/>
          <w:color w:val="auto"/>
        </w:rPr>
        <w:t>”), which together will govern the rights, privileges, and preferences of the holders of New Factorial securities after the Closing.</w:t>
      </w:r>
    </w:p>
    <w:p>
      <w:pPr>
        <w:spacing w:after="0" w:line="10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Pursuant to the New Bylaws, the Sponsor and certain Factorial stockholders will be prohibited from transferring (except for certain permitted transfers) any shares of New Factorial Common Stock held by such holder (the “</w:t>
      </w:r>
      <w:r>
        <w:rPr>
          <w:rFonts w:ascii="Times New Roman" w:cs="Times New Roman" w:eastAsia="Times New Roman" w:hAnsi="Times New Roman"/>
          <w:sz w:val="12"/>
          <w:szCs w:val="12"/>
          <w:b w:val="1"/>
          <w:bCs w:val="1"/>
          <w:i w:val="1"/>
          <w:iCs w:val="1"/>
          <w:color w:val="auto"/>
        </w:rPr>
        <w:t>Lock-up Shares</w:t>
      </w:r>
      <w:r>
        <w:rPr>
          <w:rFonts w:ascii="Times New Roman" w:cs="Times New Roman" w:eastAsia="Times New Roman" w:hAnsi="Times New Roman"/>
          <w:sz w:val="12"/>
          <w:szCs w:val="12"/>
          <w:color w:val="auto"/>
        </w:rPr>
        <w:t>”) beginning on the Closing Date and ending (i) with respect to 25% of the Lock-Up Shares, on the date 180 days after the Closing Date (the “</w:t>
      </w:r>
      <w:r>
        <w:rPr>
          <w:rFonts w:ascii="Times New Roman" w:cs="Times New Roman" w:eastAsia="Times New Roman" w:hAnsi="Times New Roman"/>
          <w:sz w:val="12"/>
          <w:szCs w:val="12"/>
          <w:b w:val="1"/>
          <w:bCs w:val="1"/>
          <w:i w:val="1"/>
          <w:iCs w:val="1"/>
          <w:color w:val="auto"/>
        </w:rPr>
        <w:t>Six-Month Lock-Up Date</w:t>
      </w:r>
      <w:r>
        <w:rPr>
          <w:rFonts w:ascii="Times New Roman" w:cs="Times New Roman" w:eastAsia="Times New Roman" w:hAnsi="Times New Roman"/>
          <w:sz w:val="12"/>
          <w:szCs w:val="12"/>
          <w:color w:val="auto"/>
        </w:rPr>
        <w:t>”), (ii) with respect to 25% of the Lock-Up Shares, on the date 270 days after the Closing Date (the “</w:t>
      </w:r>
      <w:r>
        <w:rPr>
          <w:rFonts w:ascii="Times New Roman" w:cs="Times New Roman" w:eastAsia="Times New Roman" w:hAnsi="Times New Roman"/>
          <w:sz w:val="12"/>
          <w:szCs w:val="12"/>
          <w:b w:val="1"/>
          <w:bCs w:val="1"/>
          <w:i w:val="1"/>
          <w:iCs w:val="1"/>
          <w:color w:val="auto"/>
        </w:rPr>
        <w:t>Nine-Month Lock-Up Date</w:t>
      </w:r>
      <w:r>
        <w:rPr>
          <w:rFonts w:ascii="Times New Roman" w:cs="Times New Roman" w:eastAsia="Times New Roman" w:hAnsi="Times New Roman"/>
          <w:sz w:val="12"/>
          <w:szCs w:val="12"/>
          <w:color w:val="auto"/>
        </w:rPr>
        <w:t>”) and (iii) with respect to 50% of the Lock-Up Shares, on the first anniversary of the Closing Date (the “</w:t>
      </w:r>
      <w:r>
        <w:rPr>
          <w:rFonts w:ascii="Times New Roman" w:cs="Times New Roman" w:eastAsia="Times New Roman" w:hAnsi="Times New Roman"/>
          <w:sz w:val="12"/>
          <w:szCs w:val="12"/>
          <w:b w:val="1"/>
          <w:bCs w:val="1"/>
          <w:i w:val="1"/>
          <w:iCs w:val="1"/>
          <w:color w:val="auto"/>
        </w:rPr>
        <w:t>One Year Lock-Up Date</w:t>
      </w:r>
      <w:r>
        <w:rPr>
          <w:rFonts w:ascii="Times New Roman" w:cs="Times New Roman" w:eastAsia="Times New Roman" w:hAnsi="Times New Roman"/>
          <w:sz w:val="12"/>
          <w:szCs w:val="12"/>
          <w:color w:val="auto"/>
        </w:rPr>
        <w:t>” and each of the Six-Month Lock-Up Date, the Nine-Month Lock-Up Date and the One Year Lock-Up Date, a “</w:t>
      </w:r>
      <w:r>
        <w:rPr>
          <w:rFonts w:ascii="Times New Roman" w:cs="Times New Roman" w:eastAsia="Times New Roman" w:hAnsi="Times New Roman"/>
          <w:sz w:val="12"/>
          <w:szCs w:val="12"/>
          <w:b w:val="1"/>
          <w:bCs w:val="1"/>
          <w:i w:val="1"/>
          <w:iCs w:val="1"/>
          <w:color w:val="auto"/>
        </w:rPr>
        <w:t>Lock-Up Termination Date</w:t>
      </w:r>
      <w:r>
        <w:rPr>
          <w:rFonts w:ascii="Times New Roman" w:cs="Times New Roman" w:eastAsia="Times New Roman" w:hAnsi="Times New Roman"/>
          <w:sz w:val="12"/>
          <w:szCs w:val="12"/>
          <w:color w:val="auto"/>
        </w:rPr>
        <w:t>”)); provided, however, that, on the dates on which certain trading price conditions are satisfied, such transfer restrictions will terminate with respect to one-third of the Lock-Up Shares (“</w:t>
      </w:r>
      <w:r>
        <w:rPr>
          <w:rFonts w:ascii="Times New Roman" w:cs="Times New Roman" w:eastAsia="Times New Roman" w:hAnsi="Times New Roman"/>
          <w:sz w:val="12"/>
          <w:szCs w:val="12"/>
          <w:b w:val="1"/>
          <w:bCs w:val="1"/>
          <w:i w:val="1"/>
          <w:iCs w:val="1"/>
          <w:color w:val="auto"/>
        </w:rPr>
        <w:t>Early Release Lock-Up Shares</w:t>
      </w:r>
      <w:r>
        <w:rPr>
          <w:rFonts w:ascii="Times New Roman" w:cs="Times New Roman" w:eastAsia="Times New Roman" w:hAnsi="Times New Roman"/>
          <w:sz w:val="12"/>
          <w:szCs w:val="12"/>
          <w:color w:val="auto"/>
        </w:rPr>
        <w:t>”), with such Early Release Lock-Up Shares allocated first among the Lock-Up Shares with the earliest Lock-Up Termination Date that has not yet occurred and successively to each remaining tranche of Lock-Up Shares in chronological order. The foregoing transfer restrictions will not apply to a specified number of shares (such number to be agreed upon prior to Closing) held by each such holder.</w:t>
      </w:r>
    </w:p>
    <w:p>
      <w:pPr>
        <w:spacing w:after="0" w:line="126"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foregoing descriptions of the New Factorial COI and New Factorial Bylaws do not purport to be complete and are qualified in their entirety by the terms and conditions of the forms of the New Factorial COI and New Factorial Bylaws, copies of which are included as Exhibit E and Exhibit F, respectively, to the Business Combination Agreement (attached as Exhibit 2.1 hereto), and the terms of which are incorporated herein by reference.</w:t>
      </w:r>
    </w:p>
    <w:p>
      <w:pPr>
        <w:spacing w:after="0" w:line="107"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Item 3.02</w:t>
      </w:r>
      <w:r>
        <w:rPr>
          <w:sz w:val="20"/>
          <w:szCs w:val="20"/>
          <w:color w:val="auto"/>
        </w:rPr>
        <w:tab/>
      </w:r>
      <w:r>
        <w:rPr>
          <w:rFonts w:ascii="Times New Roman" w:cs="Times New Roman" w:eastAsia="Times New Roman" w:hAnsi="Times New Roman"/>
          <w:sz w:val="11"/>
          <w:szCs w:val="11"/>
          <w:b w:val="1"/>
          <w:bCs w:val="1"/>
          <w:color w:val="auto"/>
        </w:rPr>
        <w:t>Unregistered Sales of Equity Securities.</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disclosure set forth above in Item 1.01 of this Current Report on Form 8-K with respect to the issuance of New Factorial Series A Common Stock in connection with the transactions contemplated by the Investor Stock Purchase Agreements is incorporated by reference herein. The shares of New Factorial Series A Common Stock issuable to the PIPE Investors pursuant to the Investor Stock Purchase Agreements will not be registered under the Securities Act of 1933, as amended (the “</w:t>
      </w:r>
      <w:r>
        <w:rPr>
          <w:rFonts w:ascii="Times New Roman" w:cs="Times New Roman" w:eastAsia="Times New Roman" w:hAnsi="Times New Roman"/>
          <w:sz w:val="12"/>
          <w:szCs w:val="12"/>
          <w:b w:val="1"/>
          <w:bCs w:val="1"/>
          <w:i w:val="1"/>
          <w:iCs w:val="1"/>
          <w:color w:val="auto"/>
        </w:rPr>
        <w:t>Securities Act</w:t>
      </w:r>
      <w:r>
        <w:rPr>
          <w:rFonts w:ascii="Times New Roman" w:cs="Times New Roman" w:eastAsia="Times New Roman" w:hAnsi="Times New Roman"/>
          <w:sz w:val="12"/>
          <w:szCs w:val="12"/>
          <w:color w:val="auto"/>
        </w:rPr>
        <w:t>”), in reliance on the exemption from registration provided in Section 4(a)(2)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7" w:name="page8"/>
    <w:bookmarkEnd w:id="7"/>
    <w:p>
      <w:pPr>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On December 18, 2025, CGC and Factorial issued a press release announcing the Business Combination. The press release is attached hereto as Exhibit 99.1 and incorporated by reference herein.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Attached as Exhibit 99.2 and incorporated by reference herein is an investor presentation, dated November 2025.</w:t>
      </w:r>
    </w:p>
    <w:p>
      <w:pPr>
        <w:spacing w:after="0" w:line="146"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The information in this Item 7.01, including Exhibit 99.1 and Exhibit 99.2, is furnished and shall not be deemed “filed” for purposes of Section 18 of the Securities Exchange Act of 1934, as amended (the “</w:t>
      </w:r>
      <w:r>
        <w:rPr>
          <w:rFonts w:ascii="Times New Roman" w:cs="Times New Roman" w:eastAsia="Times New Roman" w:hAnsi="Times New Roman"/>
          <w:sz w:val="12"/>
          <w:szCs w:val="12"/>
          <w:b w:val="1"/>
          <w:bCs w:val="1"/>
          <w:i w:val="1"/>
          <w:iCs w:val="1"/>
          <w:color w:val="auto"/>
        </w:rPr>
        <w:t>Exchange Act</w:t>
      </w:r>
      <w:r>
        <w:rPr>
          <w:rFonts w:ascii="Times New Roman" w:cs="Times New Roman" w:eastAsia="Times New Roman" w:hAnsi="Times New Roman"/>
          <w:sz w:val="12"/>
          <w:szCs w:val="12"/>
          <w:color w:val="auto"/>
        </w:rPr>
        <w:t>”), or otherwise subject to liabilities under that section, and shall not be deemed to be incorporated by reference into the filings of CGC under the Securities Act or the Exchange Act, regardless of any general incorporation language in such filings. This Current Report on Form 8-K will not be deemed an admission as to the materiality of any information in this Item 7.01, including Exhibit 99.1 and Exhibit 99.2.</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Additional Information about the Proposed Business Combination and Where to Find It</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The proposed Business Combination will be submitted to shareholders of CGC for their consideration. CGC intends to file a registration statement on Form S-4 with the SEC, which will include preliminary and definitive proxy statements to be distributed to CGC’s shareholders in connection with CGC’s solicitations of proxies from CGC’s shareholders with respect to the proposed business combination and other matters to be described in the registration statement, as well as the prospectus relating to the offer of the securities to be issued to the stockholders of Factorial in connection with the completion of the proposed Business Combination. After the registration statement has been filed and declared effective, CGC will mail a definitive proxy statement/prospectus and other relevant documents relating to the proposed Business Combination and other matters to be described in the registration statement to Factorial stockholders and CGC shareholders as of a record date to be established for voting on the proposed Business Combination. Before making any voting or investment decision, CGC shareholders, Factorial stockholders, and other interested persons are urged to read these documents and any amendments thereto, as well as any other relevant documents filed with the SEC by CGC in connection with the proposed Business Combination and other matters to be described in the registration statement, when they become available because they will contain important information about CGC, Factorial and the proposed Business Combination. Shareholders will also be able to obtain free copies of the preliminary proxy statement/prospectus, the definitive proxy statement/prospectus and other documents filed by CGC with the SEC, once available, without charge, at the SEC’s website located at www.sec.gov, or by directing a written request to Cartesian Growth Corporation III, 505 Fifth Avenue, 15th Floor, New York, New York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281305</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2"/>
          <w:szCs w:val="12"/>
          <w:color w:val="auto"/>
        </w:rPr>
        <w:t>This Current Report on Form 8-K includes forward-looking statements.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These forward-looking statements include, but are not limited to, statements regarding estimates and forecasts of other financial and performance metrics and projections of market opportunity; financing and other business milestones; potential benefits of the proposed Business Combination and other related transactions; and expectations relating to the proposed Business Combination and other related transactions. These statements are based on various assumptions, whether or not identified in this Current Report on Form 8-K, and on the current expectations of Factorial’s and CGC’s management and are not predictions of actual performance. These forward-looking statements are provided for illustrative purposes only and are not intended to serve as and must not be relied on by an investor as a guarantee, an assurance, a prediction, or a definitive statement of fact or probability. Actual events and circumstances are difficult or impossible to predict and may differ from assumptions. Many actual events and circumstances are beyond the control of Factorial and CGC. These forward-looking statements are subject to a number of risks and uncertainties, including but not limited to changes in domestic and foreign business, market, financial, political, and legal conditions; the inability of the Parties to successfully or timely consummate the proposed Business Combination and other related transactions, including the risk that any regulatory approvals are not obtained, are delayed or are subject to unanticipated conditions (such as any SEC statements or enforcements or other actions relating to SPACs) that could adversely affect the combined company or the expected benefits of the proposed Business Combination and other related transactions; failure to realize the anticipated benefits of the proposed Business Combination and other related transactions; ability to successfully consummate the PIPE Financing, or obtain additional financing; ability to attract and retain qualified personnel; global economic and political conditions; the occurrence of any event, change or other circumstance that could give rise to the termination of the Business Combination Agreement; legal and regulatory changes; the outcome of any legal proceedings that may be instituted against CGC or Factorial related to the proposed Business Combination; the effects of competition on Factorial’s future business; the approval by CGC’s public shareholders of the Business Combination and related transactions, the amount of redemption requests made by CGC’s public shareholders. Additional risks related to Factorial’s business include, but are not limited to: The development of batteries is complex and the timing of development cannot be assured. Delays in the development of its batteries could adversely affect Factorial’s business and prospects; Factorial may be unable to adequately control the costs associated with its operations and the components necessary to develop and commercialize its solid-state battery technology; Factorial may not be able to accurately estimate the future supply and demand for its batteries, which could result in a variety of inefficiencies in its business and hinder its ability to generate revenue and profits; Factorial’s expectations and targets regarding when it will achieve various technical, pre-production and production objectives depend in large part upon assumptions and analyses developed by Factorial. If these assumptions or analyses prove to be incorrect, Factorial may not achieve these milestones when expected or at all; if Factorial’s existing customers with whom it has collaboration agreements do not make subsequent purchases from it, Factorial will not receive revenue from such customers, and its results of operations would be adversely impacted; Factorial is an early-stage company with a history of financial losses and expect to incur significant expenses and continuing losses from operations; Factorial’s business plan has yet to be tested, and it may not succeed in executing on its strategic plans, including commercialization; Factorial relies heavily on its intellectual property portfolio. If it is unable to protect its intellectual property rights, Factorial’s business and competitive position would be harmed; Factorial’s patent applications may not result in issued patents or its patent rights may be contested, circumvented, invalidated or limited in scope, any of which could have a material adverse effect on its ability to prevent others from interfering with its commercialization of it products; governmental trade controls, including export and import controls, sanctions, customs requirements and related regimes, could subject Factorial to liability or loss of contracting privileges, limit its ability to transfer technology or compete in certain markets and affect its ability to hire qualified personnel; and changes in U.S. and foreign government policy, including the imposition of or increases in tariffs and changes to existing trade agreements, could have a material adverse effect on global economic conditions and Factorial’s business, financial condition, results of operations and prospects. Additional risks related to CGC include those factors set forth in the section entitled “Risk Factors” and “Cautionary Note Regarding Forward-Looking Statements” in CGC’s final prospectus for its initial public offering filed with the SEC on May 5, 2025 (“</w:t>
      </w:r>
      <w:r>
        <w:rPr>
          <w:rFonts w:ascii="Times New Roman" w:cs="Times New Roman" w:eastAsia="Times New Roman" w:hAnsi="Times New Roman"/>
          <w:sz w:val="12"/>
          <w:szCs w:val="12"/>
          <w:b w:val="1"/>
          <w:bCs w:val="1"/>
          <w:i w:val="1"/>
          <w:iCs w:val="1"/>
          <w:color w:val="auto"/>
        </w:rPr>
        <w:t>CGC IPO Final Prospectus</w:t>
      </w:r>
      <w:r>
        <w:rPr>
          <w:rFonts w:ascii="Times New Roman" w:cs="Times New Roman" w:eastAsia="Times New Roman" w:hAnsi="Times New Roman"/>
          <w:sz w:val="12"/>
          <w:szCs w:val="12"/>
          <w:color w:val="auto"/>
        </w:rPr>
        <w:t>”), and in those documents that CGC has filed, or will file, with the SEC.</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If any of these risks materialize or CGC’s or Factorial’s assumptions prove incorrect, actual results could differ materially from the results implied by these forward-looking statements. There may be additional risks that neither CGC nor Factorial presently know or that CGC and Factorial currently believe are immaterial that could also cause actual results to differ from those contained in the forward-looking statements. In addition, forward-looking statements reflect CGC’s and Factorial’s expectations, plans, or forecasts of future events and views as of the date of this Current Report on Form 8-K and are qualified in their entirety by reference to the cautionary statements herein. CGC and Factorial anticipate that subsequent events and developments will cause CGC’s and Factorial’s assessments to change. These forward-looking statements should not be relied upon as representing CGC’s and Factorial’s assessments as of any date subsequent to the date of this Current Report on Form 8-K. Accordingly, undue reliance should not be placed upon the forward-looking statements. Neither CGC, Factorial nor any of their respective affiliates undertake any obligation to update these forward-looking statements,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b w:val="1"/>
          <w:bCs w:val="1"/>
          <w:color w:val="auto"/>
        </w:rPr>
        <w:t>Participants in the Solicitation</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CGC, Factorial, and their respective directors and executive officers may be deemed to be participants in the solicitations of proxies from CGC’s shareholders with respect to the proposed Business Combination and the other matters set forth in the registration statement. Information regarding CGC’s directors and executive officers, and a description of their interests in CGC is contained in the CGC IPO Final Prospectus, which was filed with the SEC and is available free of charge at the SEC’s website located at www.sec.gov, or by directing a request to Cartesian Growth Corporation III, 505 Fifth Avenue, 15th Floor, New York, New York 10017. Additional information regarding the interests of such participants in the proxy solicitation and a description of their direct and indirect interests, will be contained in the proxy statement/prospectus relating to the proposed Business Combination when it becomes available. Shareholders, potential investors and other interested persons should read the proxy statement/prospectus carefully when it becomes available before making any voting or investment decisions. You may obtain free copies of these documents from the sources described above.</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This Current Report on Form 8-K is not a substitute for the registration statement or for any other document that CGC and Factorial may file with the SEC in connection with the proposed Business Combination. INVESTORS AND SECURITY HOLDERS ARE URGED TO READ THE DOCUMENTS FILED WITH THE SEC CAREFULLY AND IN THEIR ENTIRETY WHEN THEY BECOME AVAILABLE BECAUSE THEY WILL CONTAIN IMPORTANT INFORMATION. Investors and security holders may obtain free copies of other documents filed with the SEC by CGC, without charge, at the SEC’s website located at www.sec.gov.</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 Offer or Solicitation</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This Current Report on Form 8-K shall not constitute an offer to sell, or the solicitation of an offer to buy, or a recommendation to purchase, any securities, in any jurisdiction, or the solicitation of any vote, consent or approval in any jurisdiction in connection with the proposed Business Combination or any related transactions, nor shall there be any sale of securities in any states or jurisdictions in which such offer, solicitation or sale would be unlawful. This Current Report on Form 8-K is not, and under no circumstances is to be construed as, a prospectus, an advertisement or a public offering of the securities described herein in the United States or any other jurisdiction. No offer of securities shall be made except by means of a prospectus meeting the requirements of Section 10 of the Securities Act, or exemptions therefrom. INVESTMENT IN ANY SECURITIES DESCRIBED HEREIN HAS NOT BEEN 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7360" w:type="dxa"/>
            <w:vAlign w:val="bottom"/>
            <w:gridSpan w:val="6"/>
          </w:tcPr>
          <w:p>
            <w:pPr>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88"/>
        </w:trPr>
        <w:tc>
          <w:tcPr>
            <w:tcW w:w="1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 Exhibits</w:t>
            </w:r>
          </w:p>
        </w:tc>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3"/>
        </w:trPr>
        <w:tc>
          <w:tcPr>
            <w:tcW w:w="1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1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148"/>
        </w:trPr>
        <w:tc>
          <w:tcPr>
            <w:tcW w:w="1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1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80" w:type="dxa"/>
            <w:vAlign w:val="bottom"/>
            <w:gridSpan w:val="2"/>
          </w:tcPr>
          <w:p>
            <w:pPr>
              <w:ind w:left="172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28"/>
        </w:trPr>
        <w:tc>
          <w:tcPr>
            <w:tcW w:w="112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0000EE"/>
              </w:rPr>
              <w:t>2.</w:t>
            </w:r>
            <w:r>
              <w:rPr>
                <w:rFonts w:ascii="Times New Roman" w:cs="Times New Roman" w:eastAsia="Times New Roman" w:hAnsi="Times New Roman"/>
                <w:sz w:val="12"/>
                <w:szCs w:val="12"/>
                <w:u w:val="single" w:color="auto"/>
                <w:color w:val="0000EE"/>
              </w:rPr>
              <w:t>1†</w:t>
            </w:r>
          </w:p>
        </w:tc>
        <w:tc>
          <w:tcPr>
            <w:tcW w:w="7360" w:type="dxa"/>
            <w:vAlign w:val="bottom"/>
            <w:gridSpan w:val="6"/>
          </w:tcPr>
          <w:p>
            <w:pPr>
              <w:spacing w:after="0" w:line="128" w:lineRule="exact"/>
              <w:rPr>
                <w:sz w:val="20"/>
                <w:szCs w:val="20"/>
                <w:color w:val="auto"/>
              </w:rPr>
            </w:pPr>
            <w:r>
              <w:rPr>
                <w:rFonts w:ascii="Times New Roman" w:cs="Times New Roman" w:eastAsia="Times New Roman" w:hAnsi="Times New Roman"/>
                <w:sz w:val="12"/>
                <w:szCs w:val="12"/>
                <w:color w:val="0000EE"/>
                <w:w w:val="99"/>
              </w:rPr>
              <w:t>Business Combination Agreement, dated as of December 17, 2025, by and among Cartesian Growth Corporation III, Fenway MS, Inc., and Factorial Inc.</w:t>
            </w:r>
          </w:p>
        </w:tc>
      </w:tr>
      <w:tr>
        <w:trPr>
          <w:trHeight w:val="124"/>
        </w:trPr>
        <w:tc>
          <w:tcPr>
            <w:tcW w:w="200" w:type="dxa"/>
            <w:vAlign w:val="bottom"/>
            <w:tcBorders>
              <w:top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85"/>
              </w:rPr>
              <w:t>10.</w:t>
            </w:r>
            <w:r>
              <w:rPr>
                <w:rFonts w:ascii="Times New Roman" w:cs="Times New Roman" w:eastAsia="Times New Roman" w:hAnsi="Times New Roman"/>
                <w:sz w:val="12"/>
                <w:szCs w:val="12"/>
                <w:u w:val="single" w:color="auto"/>
                <w:color w:val="0000EE"/>
                <w:w w:val="85"/>
              </w:rPr>
              <w:t>1</w:t>
            </w:r>
          </w:p>
        </w:tc>
        <w:tc>
          <w:tcPr>
            <w:tcW w:w="920" w:type="dxa"/>
            <w:vAlign w:val="bottom"/>
          </w:tcPr>
          <w:p>
            <w:pPr>
              <w:spacing w:after="0"/>
              <w:rPr>
                <w:sz w:val="10"/>
                <w:szCs w:val="10"/>
                <w:color w:val="auto"/>
              </w:rPr>
            </w:pPr>
          </w:p>
        </w:tc>
        <w:tc>
          <w:tcPr>
            <w:tcW w:w="7360" w:type="dxa"/>
            <w:vAlign w:val="bottom"/>
            <w:tcBorders>
              <w:top w:val="single" w:sz="8" w:color="0000EE"/>
            </w:tcBorders>
            <w:gridSpan w:val="6"/>
          </w:tcPr>
          <w:p>
            <w:pPr>
              <w:spacing w:after="0" w:line="124" w:lineRule="exact"/>
              <w:rPr>
                <w:sz w:val="20"/>
                <w:szCs w:val="20"/>
                <w:color w:val="auto"/>
              </w:rPr>
            </w:pPr>
            <w:r>
              <w:rPr>
                <w:rFonts w:ascii="Times New Roman" w:cs="Times New Roman" w:eastAsia="Times New Roman" w:hAnsi="Times New Roman"/>
                <w:sz w:val="12"/>
                <w:szCs w:val="12"/>
                <w:color w:val="0000EE"/>
              </w:rPr>
              <w:t>Sponsor Support Agreement, dated as of December 17, 2025, by and among Cartesian Growth Corporation III, CGC III Sponsor LLC and Factorial Inc.</w:t>
            </w:r>
          </w:p>
        </w:tc>
      </w:tr>
      <w:tr>
        <w:trPr>
          <w:trHeight w:val="124"/>
        </w:trPr>
        <w:tc>
          <w:tcPr>
            <w:tcW w:w="200" w:type="dxa"/>
            <w:vAlign w:val="bottom"/>
            <w:tcBorders>
              <w:top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85"/>
              </w:rPr>
              <w:t>10.</w:t>
            </w:r>
            <w:r>
              <w:rPr>
                <w:rFonts w:ascii="Times New Roman" w:cs="Times New Roman" w:eastAsia="Times New Roman" w:hAnsi="Times New Roman"/>
                <w:sz w:val="12"/>
                <w:szCs w:val="12"/>
                <w:u w:val="single" w:color="auto"/>
                <w:color w:val="0000EE"/>
                <w:w w:val="85"/>
              </w:rPr>
              <w:t>2</w:t>
            </w:r>
          </w:p>
        </w:tc>
        <w:tc>
          <w:tcPr>
            <w:tcW w:w="920" w:type="dxa"/>
            <w:vAlign w:val="bottom"/>
          </w:tcPr>
          <w:p>
            <w:pPr>
              <w:spacing w:after="0"/>
              <w:rPr>
                <w:sz w:val="10"/>
                <w:szCs w:val="10"/>
                <w:color w:val="auto"/>
              </w:rPr>
            </w:pPr>
          </w:p>
        </w:tc>
        <w:tc>
          <w:tcPr>
            <w:tcW w:w="7300" w:type="dxa"/>
            <w:vAlign w:val="bottom"/>
            <w:tcBorders>
              <w:top w:val="single" w:sz="8" w:color="0000EE"/>
            </w:tcBorders>
            <w:gridSpan w:val="5"/>
          </w:tcPr>
          <w:p>
            <w:pPr>
              <w:spacing w:after="0" w:line="124" w:lineRule="exact"/>
              <w:rPr>
                <w:sz w:val="20"/>
                <w:szCs w:val="20"/>
                <w:color w:val="auto"/>
              </w:rPr>
            </w:pPr>
            <w:r>
              <w:rPr>
                <w:rFonts w:ascii="Times New Roman" w:cs="Times New Roman" w:eastAsia="Times New Roman" w:hAnsi="Times New Roman"/>
                <w:sz w:val="12"/>
                <w:szCs w:val="12"/>
                <w:color w:val="0000EE"/>
              </w:rPr>
              <w:t>Form of Stock Purchase Agreement.</w:t>
            </w:r>
          </w:p>
        </w:tc>
        <w:tc>
          <w:tcPr>
            <w:tcW w:w="60" w:type="dxa"/>
            <w:vAlign w:val="bottom"/>
          </w:tcPr>
          <w:p>
            <w:pPr>
              <w:spacing w:after="0"/>
              <w:rPr>
                <w:sz w:val="10"/>
                <w:szCs w:val="10"/>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r>
      <w:tr>
        <w:trPr>
          <w:trHeight w:val="124"/>
        </w:trPr>
        <w:tc>
          <w:tcPr>
            <w:tcW w:w="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0000EE"/>
                <w:w w:val="85"/>
              </w:rPr>
              <w:t>10.</w:t>
            </w:r>
            <w:r>
              <w:rPr>
                <w:rFonts w:ascii="Times New Roman" w:cs="Times New Roman" w:eastAsia="Times New Roman" w:hAnsi="Times New Roman"/>
                <w:sz w:val="12"/>
                <w:szCs w:val="12"/>
                <w:u w:val="single" w:color="auto"/>
                <w:color w:val="0000EE"/>
                <w:w w:val="85"/>
              </w:rPr>
              <w:t>3</w:t>
            </w:r>
          </w:p>
        </w:tc>
        <w:tc>
          <w:tcPr>
            <w:tcW w:w="920" w:type="dxa"/>
            <w:vAlign w:val="bottom"/>
          </w:tcPr>
          <w:p>
            <w:pPr>
              <w:spacing w:after="0"/>
              <w:rPr>
                <w:sz w:val="10"/>
                <w:szCs w:val="10"/>
                <w:color w:val="auto"/>
              </w:rPr>
            </w:pPr>
          </w:p>
        </w:tc>
        <w:tc>
          <w:tcPr>
            <w:tcW w:w="7360" w:type="dxa"/>
            <w:vAlign w:val="bottom"/>
            <w:gridSpan w:val="6"/>
          </w:tcPr>
          <w:p>
            <w:pPr>
              <w:spacing w:after="0" w:line="124" w:lineRule="exact"/>
              <w:rPr>
                <w:sz w:val="20"/>
                <w:szCs w:val="20"/>
                <w:color w:val="auto"/>
              </w:rPr>
            </w:pPr>
            <w:r>
              <w:rPr>
                <w:rFonts w:ascii="Times New Roman" w:cs="Times New Roman" w:eastAsia="Times New Roman" w:hAnsi="Times New Roman"/>
                <w:sz w:val="12"/>
                <w:szCs w:val="12"/>
                <w:color w:val="0000EE"/>
              </w:rPr>
              <w:t>Form of Amended and Restated Registration Rights Agreement.</w:t>
            </w:r>
          </w:p>
        </w:tc>
      </w:tr>
      <w:tr>
        <w:trPr>
          <w:trHeight w:val="124"/>
        </w:trPr>
        <w:tc>
          <w:tcPr>
            <w:tcW w:w="200" w:type="dxa"/>
            <w:vAlign w:val="bottom"/>
            <w:tcBorders>
              <w:top w:val="single" w:sz="8" w:color="0000EE"/>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p>
        </w:tc>
        <w:tc>
          <w:tcPr>
            <w:tcW w:w="920" w:type="dxa"/>
            <w:vAlign w:val="bottom"/>
          </w:tcPr>
          <w:p>
            <w:pPr>
              <w:spacing w:after="0"/>
              <w:rPr>
                <w:sz w:val="10"/>
                <w:szCs w:val="10"/>
                <w:color w:val="auto"/>
              </w:rPr>
            </w:pPr>
          </w:p>
        </w:tc>
        <w:tc>
          <w:tcPr>
            <w:tcW w:w="1980" w:type="dxa"/>
            <w:vAlign w:val="bottom"/>
            <w:tcBorders>
              <w:top w:val="single" w:sz="8" w:color="0000EE"/>
              <w:bottom w:val="single" w:sz="8" w:color="0000EE"/>
            </w:tcBorders>
            <w:gridSpan w:val="2"/>
          </w:tcPr>
          <w:p>
            <w:pPr>
              <w:spacing w:after="0" w:line="124" w:lineRule="exact"/>
              <w:rPr>
                <w:sz w:val="20"/>
                <w:szCs w:val="20"/>
                <w:color w:val="auto"/>
              </w:rPr>
            </w:pPr>
            <w:r>
              <w:rPr>
                <w:rFonts w:ascii="Times New Roman" w:cs="Times New Roman" w:eastAsia="Times New Roman" w:hAnsi="Times New Roman"/>
                <w:sz w:val="12"/>
                <w:szCs w:val="12"/>
                <w:color w:val="0000EE"/>
                <w:w w:val="98"/>
              </w:rPr>
              <w:t>Press Release, dated December 18, 2025.</w:t>
            </w:r>
          </w:p>
        </w:tc>
        <w:tc>
          <w:tcPr>
            <w:tcW w:w="1100" w:type="dxa"/>
            <w:vAlign w:val="bottom"/>
            <w:tcBorders>
              <w:top w:val="single" w:sz="8" w:color="0000EE"/>
            </w:tcBorders>
            <w:gridSpan w:val="2"/>
          </w:tcPr>
          <w:p>
            <w:pPr>
              <w:spacing w:after="0"/>
              <w:rPr>
                <w:sz w:val="10"/>
                <w:szCs w:val="10"/>
                <w:color w:val="auto"/>
              </w:rPr>
            </w:pPr>
          </w:p>
        </w:tc>
        <w:tc>
          <w:tcPr>
            <w:tcW w:w="4280" w:type="dxa"/>
            <w:vAlign w:val="bottom"/>
            <w:gridSpan w:val="2"/>
          </w:tcPr>
          <w:p>
            <w:pPr>
              <w:spacing w:after="0"/>
              <w:rPr>
                <w:sz w:val="10"/>
                <w:szCs w:val="10"/>
                <w:color w:val="auto"/>
              </w:rPr>
            </w:pPr>
          </w:p>
        </w:tc>
      </w:tr>
      <w:tr>
        <w:trPr>
          <w:trHeight w:val="124"/>
        </w:trPr>
        <w:tc>
          <w:tcPr>
            <w:tcW w:w="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2</w:t>
            </w:r>
          </w:p>
        </w:tc>
        <w:tc>
          <w:tcPr>
            <w:tcW w:w="920" w:type="dxa"/>
            <w:vAlign w:val="bottom"/>
          </w:tcPr>
          <w:p>
            <w:pPr>
              <w:spacing w:after="0"/>
              <w:rPr>
                <w:sz w:val="10"/>
                <w:szCs w:val="10"/>
                <w:color w:val="auto"/>
              </w:rPr>
            </w:pPr>
          </w:p>
        </w:tc>
        <w:tc>
          <w:tcPr>
            <w:tcW w:w="7360" w:type="dxa"/>
            <w:vAlign w:val="bottom"/>
            <w:gridSpan w:val="6"/>
          </w:tcPr>
          <w:p>
            <w:pPr>
              <w:spacing w:after="0" w:line="124" w:lineRule="exact"/>
              <w:rPr>
                <w:sz w:val="20"/>
                <w:szCs w:val="20"/>
                <w:color w:val="auto"/>
              </w:rPr>
            </w:pPr>
            <w:r>
              <w:rPr>
                <w:rFonts w:ascii="Times New Roman" w:cs="Times New Roman" w:eastAsia="Times New Roman" w:hAnsi="Times New Roman"/>
                <w:sz w:val="12"/>
                <w:szCs w:val="12"/>
                <w:color w:val="0000EE"/>
              </w:rPr>
              <w:t>Investor Presentation, dated November 2025.</w:t>
            </w:r>
          </w:p>
        </w:tc>
      </w:tr>
      <w:tr>
        <w:trPr>
          <w:trHeight w:val="20"/>
        </w:trPr>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r>
      <w:tr>
        <w:trPr>
          <w:trHeight w:val="151"/>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920" w:type="dxa"/>
            <w:vAlign w:val="bottom"/>
          </w:tcPr>
          <w:p>
            <w:pPr>
              <w:spacing w:after="0"/>
              <w:rPr>
                <w:sz w:val="13"/>
                <w:szCs w:val="13"/>
                <w:color w:val="auto"/>
              </w:rPr>
            </w:pPr>
          </w:p>
        </w:tc>
        <w:tc>
          <w:tcPr>
            <w:tcW w:w="736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Cover Page Interactive Data File, formatted in Inline XBRL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179451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302260</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CARTESIAN GROWTH CORPORATION III</w:t>
      </w:r>
    </w:p>
    <w:p>
      <w:pPr>
        <w:spacing w:after="0" w:line="154" w:lineRule="exact"/>
        <w:rPr>
          <w:sz w:val="20"/>
          <w:szCs w:val="20"/>
          <w:color w:val="auto"/>
        </w:rPr>
      </w:pPr>
    </w:p>
    <w:tbl>
      <w:tblPr>
        <w:tblLayout w:type="fixed"/>
        <w:tblInd w:w="5660" w:type="dxa"/>
        <w:tblCellMar>
          <w:top w:w="0" w:type="dxa"/>
          <w:left w:w="0" w:type="dxa"/>
          <w:bottom w:w="0" w:type="dxa"/>
          <w:right w:w="0" w:type="dxa"/>
        </w:tblCellMar>
      </w:tblPr>
      <w:tr>
        <w:trPr>
          <w:trHeight w:val="155"/>
        </w:trPr>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Peter Yu</w:t>
            </w:r>
          </w:p>
        </w:tc>
      </w:tr>
      <w:tr>
        <w:trPr>
          <w:trHeight w:val="122"/>
        </w:trPr>
        <w:tc>
          <w:tcPr>
            <w:tcW w:w="440" w:type="dxa"/>
            <w:vAlign w:val="bottom"/>
          </w:tcPr>
          <w:p>
            <w:pPr>
              <w:spacing w:after="0"/>
              <w:rPr>
                <w:sz w:val="10"/>
                <w:szCs w:val="10"/>
                <w:color w:val="auto"/>
              </w:rPr>
            </w:pPr>
          </w:p>
        </w:tc>
        <w:tc>
          <w:tcPr>
            <w:tcW w:w="520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 Peter Yu</w:t>
            </w:r>
          </w:p>
        </w:tc>
      </w:tr>
      <w:tr>
        <w:trPr>
          <w:trHeight w:val="155"/>
        </w:trPr>
        <w:tc>
          <w:tcPr>
            <w:tcW w:w="440" w:type="dxa"/>
            <w:vAlign w:val="bottom"/>
          </w:tcPr>
          <w:p>
            <w:pPr>
              <w:spacing w:after="0"/>
              <w:rPr>
                <w:sz w:val="13"/>
                <w:szCs w:val="13"/>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2"/>
                <w:szCs w:val="12"/>
                <w:color w:val="auto"/>
              </w:rPr>
              <w:t>Title: Chief Executive Officer</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December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193675</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1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109220</wp:posOffset>
            </wp:positionV>
            <wp:extent cx="717804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99"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BUSINESS COMBINATION AGREEMENT</w:t>
      </w:r>
    </w:p>
    <w:p>
      <w:pPr>
        <w:spacing w:after="0" w:line="15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BY AND AMONG</w:t>
      </w:r>
    </w:p>
    <w:p>
      <w:pPr>
        <w:spacing w:after="0" w:line="15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1"/>
          <w:szCs w:val="11"/>
          <w:b w:val="1"/>
          <w:bCs w:val="1"/>
          <w:color w:val="auto"/>
        </w:rPr>
        <w:t>CARTESIAN GROWTH CORPORATION III,</w:t>
      </w:r>
    </w:p>
    <w:p>
      <w:pPr>
        <w:spacing w:after="0" w:line="162"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FENWAY MS, INC.,</w:t>
      </w:r>
    </w:p>
    <w:p>
      <w:pPr>
        <w:spacing w:after="0" w:line="15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AND</w:t>
      </w:r>
    </w:p>
    <w:p>
      <w:pPr>
        <w:spacing w:after="0" w:line="15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FACTORIAL INC.</w:t>
      </w:r>
    </w:p>
    <w:p>
      <w:pPr>
        <w:spacing w:after="0" w:line="15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2"/>
          <w:szCs w:val="12"/>
          <w:b w:val="1"/>
          <w:bCs w:val="1"/>
          <w:color w:val="auto"/>
        </w:rPr>
        <w:t>DATED AS OF December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104775</wp:posOffset>
            </wp:positionV>
            <wp:extent cx="717804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407670</wp:posOffset>
            </wp:positionV>
            <wp:extent cx="71780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0"/>
          </w:cols>
          <w:pgMar w:left="1440" w:top="281" w:right="2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59"/>
        </w:trPr>
        <w:tc>
          <w:tcPr>
            <w:tcW w:w="1400" w:type="dxa"/>
            <w:vAlign w:val="bottom"/>
          </w:tcPr>
          <w:p>
            <w:pPr>
              <w:spacing w:after="0"/>
              <w:rPr>
                <w:sz w:val="13"/>
                <w:szCs w:val="13"/>
                <w:color w:val="auto"/>
              </w:rPr>
            </w:pPr>
          </w:p>
        </w:tc>
        <w:tc>
          <w:tcPr>
            <w:tcW w:w="8080" w:type="dxa"/>
            <w:vAlign w:val="bottom"/>
          </w:tcPr>
          <w:p>
            <w:pPr>
              <w:ind w:left="3600"/>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1820" w:type="dxa"/>
            <w:vAlign w:val="bottom"/>
          </w:tcPr>
          <w:p>
            <w:pPr>
              <w:spacing w:after="0"/>
              <w:rPr>
                <w:sz w:val="13"/>
                <w:szCs w:val="13"/>
                <w:color w:val="auto"/>
              </w:rPr>
            </w:pPr>
          </w:p>
        </w:tc>
      </w:tr>
      <w:tr>
        <w:trPr>
          <w:trHeight w:val="288"/>
        </w:trPr>
        <w:tc>
          <w:tcPr>
            <w:tcW w:w="140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Page</w:t>
            </w:r>
          </w:p>
        </w:tc>
      </w:tr>
      <w:tr>
        <w:trPr>
          <w:trHeight w:val="288"/>
        </w:trPr>
        <w:tc>
          <w:tcPr>
            <w:tcW w:w="9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1 CERTAIN DEFINITIONS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r>
      <w:tr>
        <w:trPr>
          <w:trHeight w:val="288"/>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1.1</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Definitions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r>
      <w:tr>
        <w:trPr>
          <w:trHeight w:val="288"/>
        </w:trPr>
        <w:tc>
          <w:tcPr>
            <w:tcW w:w="1400" w:type="dxa"/>
            <w:vAlign w:val="bottom"/>
          </w:tcPr>
          <w:p>
            <w:pPr>
              <w:spacing w:after="0"/>
              <w:rPr>
                <w:sz w:val="20"/>
                <w:szCs w:val="20"/>
                <w:color w:val="auto"/>
              </w:rPr>
            </w:pPr>
            <w:r>
              <w:rPr>
                <w:rFonts w:ascii="Times New Roman" w:cs="Times New Roman" w:eastAsia="Times New Roman" w:hAnsi="Times New Roman"/>
                <w:sz w:val="12"/>
                <w:szCs w:val="12"/>
                <w:color w:val="auto"/>
              </w:rPr>
              <w:t>ARTICLE 2 MERGER</w:t>
            </w:r>
          </w:p>
        </w:tc>
        <w:tc>
          <w:tcPr>
            <w:tcW w:w="808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r>
      <w:tr>
        <w:trPr>
          <w:trHeight w:val="273"/>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2.1</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Closing Transactions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r>
      <w:tr>
        <w:trPr>
          <w:trHeight w:val="144"/>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2.2</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Closing of the Transactions Contemplated by this Agreement</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r>
      <w:tr>
        <w:trPr>
          <w:trHeight w:val="144"/>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2.3</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Allocation Schedule</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r>
      <w:tr>
        <w:trPr>
          <w:trHeight w:val="144"/>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2.4</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Treatment of Company Equity Awards, Company Warrants, Company Convertible Notes and Company Preferred Shares</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r>
      <w:tr>
        <w:trPr>
          <w:trHeight w:val="144"/>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2.5</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Treatment of CGC Securities</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r>
      <w:tr>
        <w:trPr>
          <w:trHeight w:val="144"/>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2.6</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Deliverables</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r>
      <w:tr>
        <w:trPr>
          <w:trHeight w:val="144"/>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2.7</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Company Dissenting Shares</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r>
      <w:tr>
        <w:trPr>
          <w:trHeight w:val="159"/>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2.8</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Withholding</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r>
      <w:tr>
        <w:trPr>
          <w:trHeight w:val="288"/>
        </w:trPr>
        <w:tc>
          <w:tcPr>
            <w:tcW w:w="9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3 REPRESENTATIONS AND WARRANTIES RELATING TO THE GROUP COMPANIES</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r>
      <w:tr>
        <w:trPr>
          <w:trHeight w:val="273"/>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3.1</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Organization and Qualification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r>
      <w:tr>
        <w:trPr>
          <w:trHeight w:val="144"/>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3.2</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Capitalization of the Group Companies</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r>
      <w:tr>
        <w:trPr>
          <w:trHeight w:val="144"/>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3.3</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Authority</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r>
      <w:tr>
        <w:trPr>
          <w:trHeight w:val="144"/>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3.4</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Financial Statements; Undisclosed Liabilities</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r>
      <w:tr>
        <w:trPr>
          <w:trHeight w:val="144"/>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3.5</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Consents and Requisite Governmental Approvals; No Violations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r>
      <w:tr>
        <w:trPr>
          <w:trHeight w:val="144"/>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3.6</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Permits</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r>
      <w:tr>
        <w:trPr>
          <w:trHeight w:val="144"/>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3.7</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Material Contracts</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r>
      <w:tr>
        <w:trPr>
          <w:trHeight w:val="144"/>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3.8</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Absence of Changes</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r>
      <w:tr>
        <w:trPr>
          <w:trHeight w:val="144"/>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3.9</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Litigation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r>
      <w:tr>
        <w:trPr>
          <w:trHeight w:val="144"/>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3.10</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Compliance with Applicable Law</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r>
      <w:tr>
        <w:trPr>
          <w:trHeight w:val="144"/>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3.11</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Employee Plans</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r>
      <w:tr>
        <w:trPr>
          <w:trHeight w:val="144"/>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3.12</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Environmental Matters</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144"/>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3.13</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Intellectual Property</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144"/>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3.14</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Employee Matters</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r>
      <w:tr>
        <w:trPr>
          <w:trHeight w:val="144"/>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3.15</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Insurance</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r>
      <w:tr>
        <w:trPr>
          <w:trHeight w:val="144"/>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3.16</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Tax Matters</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r>
      <w:tr>
        <w:trPr>
          <w:trHeight w:val="144"/>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3.17</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Brokers</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r>
      <w:tr>
        <w:trPr>
          <w:trHeight w:val="144"/>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3.18</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Real and Personal Property</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r>
      <w:tr>
        <w:trPr>
          <w:trHeight w:val="144"/>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3.19</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Transactions with Affiliates</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r>
      <w:tr>
        <w:trPr>
          <w:trHeight w:val="144"/>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3.20</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Data Privacy and Security</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r>
      <w:tr>
        <w:trPr>
          <w:trHeight w:val="144"/>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3.21</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Compliance with International Trade &amp; Anti-Corruption Laws</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r>
      <w:tr>
        <w:trPr>
          <w:trHeight w:val="144"/>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3.22</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Information Supplied</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r>
      <w:tr>
        <w:trPr>
          <w:trHeight w:val="144"/>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3.23</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Investigation; No Other Representations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r>
      <w:tr>
        <w:trPr>
          <w:trHeight w:val="159"/>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3.24</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EXCLUSIVITY OF REPRESENTATIONS AND WARRANTIES</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r>
      <w:tr>
        <w:trPr>
          <w:trHeight w:val="288"/>
        </w:trPr>
        <w:tc>
          <w:tcPr>
            <w:tcW w:w="9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4 REPRESENTATIONS AND WARRANTIES RELATING TO THE CGC PARTIES</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r>
      <w:tr>
        <w:trPr>
          <w:trHeight w:val="273"/>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4.1</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Organization and Qualification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r>
      <w:tr>
        <w:trPr>
          <w:trHeight w:val="144"/>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4.2</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Authority</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r>
      <w:tr>
        <w:trPr>
          <w:trHeight w:val="144"/>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4.3</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Consents and Requisite Governmental Approvals; No Violations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r>
      <w:tr>
        <w:trPr>
          <w:trHeight w:val="144"/>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4.4</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Brokers</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r>
      <w:tr>
        <w:trPr>
          <w:trHeight w:val="144"/>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4.5</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Information Supplied</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r>
      <w:tr>
        <w:trPr>
          <w:trHeight w:val="144"/>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4.6</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Capitalization of the CGC Parties</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r>
      <w:tr>
        <w:trPr>
          <w:trHeight w:val="144"/>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4.7</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SEC Filings</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r>
      <w:tr>
        <w:trPr>
          <w:trHeight w:val="144"/>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4.8</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Trust Account</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r>
      <w:tr>
        <w:trPr>
          <w:trHeight w:val="144"/>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4.9</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Transactions with Affiliates</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r>
      <w:tr>
        <w:trPr>
          <w:trHeight w:val="159"/>
        </w:trPr>
        <w:tc>
          <w:tcPr>
            <w:tcW w:w="140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4.10</w:t>
            </w:r>
          </w:p>
        </w:tc>
        <w:tc>
          <w:tcPr>
            <w:tcW w:w="80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Litigation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r>
    </w:tbl>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48"/>
        </w:trPr>
        <w:tc>
          <w:tcPr>
            <w:tcW w:w="1560" w:type="dxa"/>
            <w:vAlign w:val="bottom"/>
          </w:tcPr>
          <w:p>
            <w:pPr>
              <w:spacing w:after="0"/>
              <w:rPr>
                <w:sz w:val="12"/>
                <w:szCs w:val="12"/>
                <w:color w:val="auto"/>
              </w:rPr>
            </w:pPr>
          </w:p>
        </w:tc>
        <w:tc>
          <w:tcPr>
            <w:tcW w:w="7080" w:type="dxa"/>
            <w:vAlign w:val="bottom"/>
          </w:tcPr>
          <w:p>
            <w:pPr>
              <w:ind w:left="3440"/>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2660" w:type="dxa"/>
            <w:vAlign w:val="bottom"/>
          </w:tcPr>
          <w:p>
            <w:pPr>
              <w:spacing w:after="0"/>
              <w:rPr>
                <w:sz w:val="12"/>
                <w:szCs w:val="12"/>
                <w:color w:val="auto"/>
              </w:rPr>
            </w:pPr>
          </w:p>
        </w:tc>
      </w:tr>
      <w:tr>
        <w:trPr>
          <w:trHeight w:val="155"/>
        </w:trPr>
        <w:tc>
          <w:tcPr>
            <w:tcW w:w="1560" w:type="dxa"/>
            <w:vAlign w:val="bottom"/>
          </w:tcPr>
          <w:p>
            <w:pPr>
              <w:spacing w:after="0"/>
              <w:rPr>
                <w:sz w:val="13"/>
                <w:szCs w:val="13"/>
                <w:color w:val="auto"/>
              </w:rPr>
            </w:pPr>
          </w:p>
        </w:tc>
        <w:tc>
          <w:tcPr>
            <w:tcW w:w="7080" w:type="dxa"/>
            <w:vAlign w:val="bottom"/>
          </w:tcPr>
          <w:p>
            <w:pPr>
              <w:ind w:left="3800"/>
              <w:spacing w:after="0"/>
              <w:rPr>
                <w:sz w:val="20"/>
                <w:szCs w:val="20"/>
                <w:color w:val="auto"/>
              </w:rPr>
            </w:pPr>
            <w:r>
              <w:rPr>
                <w:rFonts w:ascii="Times New Roman" w:cs="Times New Roman" w:eastAsia="Times New Roman" w:hAnsi="Times New Roman"/>
                <w:sz w:val="12"/>
                <w:szCs w:val="12"/>
                <w:color w:val="auto"/>
              </w:rPr>
              <w:t>(continued)</w:t>
            </w:r>
          </w:p>
        </w:tc>
        <w:tc>
          <w:tcPr>
            <w:tcW w:w="2660" w:type="dxa"/>
            <w:vAlign w:val="bottom"/>
          </w:tcPr>
          <w:p>
            <w:pPr>
              <w:spacing w:after="0"/>
              <w:rPr>
                <w:sz w:val="13"/>
                <w:szCs w:val="13"/>
                <w:color w:val="auto"/>
              </w:rPr>
            </w:pPr>
          </w:p>
        </w:tc>
      </w:tr>
      <w:tr>
        <w:trPr>
          <w:trHeight w:val="332"/>
        </w:trPr>
        <w:tc>
          <w:tcPr>
            <w:tcW w:w="15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83"/>
        </w:trPr>
        <w:tc>
          <w:tcPr>
            <w:tcW w:w="15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4.11</w:t>
            </w:r>
          </w:p>
        </w:tc>
        <w:tc>
          <w:tcPr>
            <w:tcW w:w="70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Compliance with Applicable Law</w:t>
            </w: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r>
      <w:tr>
        <w:trPr>
          <w:trHeight w:val="144"/>
        </w:trPr>
        <w:tc>
          <w:tcPr>
            <w:tcW w:w="15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4.12</w:t>
            </w:r>
          </w:p>
        </w:tc>
        <w:tc>
          <w:tcPr>
            <w:tcW w:w="70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Business Activities</w:t>
            </w: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r>
      <w:tr>
        <w:trPr>
          <w:trHeight w:val="144"/>
        </w:trPr>
        <w:tc>
          <w:tcPr>
            <w:tcW w:w="15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4.13</w:t>
            </w:r>
          </w:p>
        </w:tc>
        <w:tc>
          <w:tcPr>
            <w:tcW w:w="70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Internal Controls; Listing; Financial Statements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r>
      <w:tr>
        <w:trPr>
          <w:trHeight w:val="144"/>
        </w:trPr>
        <w:tc>
          <w:tcPr>
            <w:tcW w:w="15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4.14</w:t>
            </w:r>
          </w:p>
        </w:tc>
        <w:tc>
          <w:tcPr>
            <w:tcW w:w="70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No Undisclosed Liabilities</w:t>
            </w: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144"/>
        </w:trPr>
        <w:tc>
          <w:tcPr>
            <w:tcW w:w="15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4.15</w:t>
            </w:r>
          </w:p>
        </w:tc>
        <w:tc>
          <w:tcPr>
            <w:tcW w:w="70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Tax Matters</w:t>
            </w: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144"/>
        </w:trPr>
        <w:tc>
          <w:tcPr>
            <w:tcW w:w="15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4.16</w:t>
            </w:r>
          </w:p>
        </w:tc>
        <w:tc>
          <w:tcPr>
            <w:tcW w:w="70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Investigation; No Other Representations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r>
      <w:tr>
        <w:trPr>
          <w:trHeight w:val="144"/>
        </w:trPr>
        <w:tc>
          <w:tcPr>
            <w:tcW w:w="15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4.17</w:t>
            </w:r>
          </w:p>
        </w:tc>
        <w:tc>
          <w:tcPr>
            <w:tcW w:w="70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Compliance with International Trade &amp; Anti-Corruption Laws</w:t>
            </w: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r>
      <w:tr>
        <w:trPr>
          <w:trHeight w:val="159"/>
        </w:trPr>
        <w:tc>
          <w:tcPr>
            <w:tcW w:w="15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4.18</w:t>
            </w:r>
          </w:p>
        </w:tc>
        <w:tc>
          <w:tcPr>
            <w:tcW w:w="70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EXCLUSIVITY OF REPRESENTATIONS AND WARRANTIES</w:t>
            </w: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r>
      <w:tr>
        <w:trPr>
          <w:trHeight w:val="288"/>
        </w:trPr>
        <w:tc>
          <w:tcPr>
            <w:tcW w:w="1560" w:type="dxa"/>
            <w:vAlign w:val="bottom"/>
          </w:tcPr>
          <w:p>
            <w:pPr>
              <w:spacing w:after="0"/>
              <w:rPr>
                <w:sz w:val="20"/>
                <w:szCs w:val="20"/>
                <w:color w:val="auto"/>
              </w:rPr>
            </w:pPr>
            <w:r>
              <w:rPr>
                <w:rFonts w:ascii="Times New Roman" w:cs="Times New Roman" w:eastAsia="Times New Roman" w:hAnsi="Times New Roman"/>
                <w:sz w:val="12"/>
                <w:szCs w:val="12"/>
                <w:color w:val="auto"/>
              </w:rPr>
              <w:t>ARTICLE 5 COVENANTS</w:t>
            </w:r>
          </w:p>
        </w:tc>
        <w:tc>
          <w:tcPr>
            <w:tcW w:w="708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r>
      <w:tr>
        <w:trPr>
          <w:trHeight w:val="273"/>
        </w:trPr>
        <w:tc>
          <w:tcPr>
            <w:tcW w:w="15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5.1</w:t>
            </w:r>
          </w:p>
        </w:tc>
        <w:tc>
          <w:tcPr>
            <w:tcW w:w="70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Conduct of Business of the Company</w:t>
            </w: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r>
      <w:tr>
        <w:trPr>
          <w:trHeight w:val="144"/>
        </w:trPr>
        <w:tc>
          <w:tcPr>
            <w:tcW w:w="15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5.2</w:t>
            </w:r>
          </w:p>
        </w:tc>
        <w:tc>
          <w:tcPr>
            <w:tcW w:w="70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Efforts to Consummate; Litigation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r>
      <w:tr>
        <w:trPr>
          <w:trHeight w:val="144"/>
        </w:trPr>
        <w:tc>
          <w:tcPr>
            <w:tcW w:w="15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5.3</w:t>
            </w:r>
          </w:p>
        </w:tc>
        <w:tc>
          <w:tcPr>
            <w:tcW w:w="70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Confidentiality and Access to Information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r>
      <w:tr>
        <w:trPr>
          <w:trHeight w:val="144"/>
        </w:trPr>
        <w:tc>
          <w:tcPr>
            <w:tcW w:w="15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5.4</w:t>
            </w:r>
          </w:p>
        </w:tc>
        <w:tc>
          <w:tcPr>
            <w:tcW w:w="70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Public Announcements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r>
      <w:tr>
        <w:trPr>
          <w:trHeight w:val="144"/>
        </w:trPr>
        <w:tc>
          <w:tcPr>
            <w:tcW w:w="15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5.5</w:t>
            </w:r>
          </w:p>
        </w:tc>
        <w:tc>
          <w:tcPr>
            <w:tcW w:w="70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Tax Matters</w:t>
            </w: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r>
      <w:tr>
        <w:trPr>
          <w:trHeight w:val="144"/>
        </w:trPr>
        <w:tc>
          <w:tcPr>
            <w:tcW w:w="15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5.6</w:t>
            </w:r>
          </w:p>
        </w:tc>
        <w:tc>
          <w:tcPr>
            <w:tcW w:w="70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Exclusive Dealing</w:t>
            </w: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r>
      <w:tr>
        <w:trPr>
          <w:trHeight w:val="144"/>
        </w:trPr>
        <w:tc>
          <w:tcPr>
            <w:tcW w:w="15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5.7</w:t>
            </w:r>
          </w:p>
        </w:tc>
        <w:tc>
          <w:tcPr>
            <w:tcW w:w="70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Preparation of Registration Statement / Proxy Statement</w:t>
            </w: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r>
      <w:tr>
        <w:trPr>
          <w:trHeight w:val="144"/>
        </w:trPr>
        <w:tc>
          <w:tcPr>
            <w:tcW w:w="15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5.8</w:t>
            </w:r>
          </w:p>
        </w:tc>
        <w:tc>
          <w:tcPr>
            <w:tcW w:w="70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CGC Shareholder Approval</w:t>
            </w: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w:t>
            </w:r>
          </w:p>
        </w:tc>
      </w:tr>
      <w:tr>
        <w:trPr>
          <w:trHeight w:val="144"/>
        </w:trPr>
        <w:tc>
          <w:tcPr>
            <w:tcW w:w="15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5.9</w:t>
            </w:r>
          </w:p>
        </w:tc>
        <w:tc>
          <w:tcPr>
            <w:tcW w:w="70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Merger Sub Shareholder Approval</w:t>
            </w: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w:t>
            </w:r>
          </w:p>
        </w:tc>
      </w:tr>
      <w:tr>
        <w:trPr>
          <w:trHeight w:val="144"/>
        </w:trPr>
        <w:tc>
          <w:tcPr>
            <w:tcW w:w="15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5.10</w:t>
            </w:r>
          </w:p>
        </w:tc>
        <w:tc>
          <w:tcPr>
            <w:tcW w:w="70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Conduct of Business of CGC</w:t>
            </w: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w:t>
            </w:r>
          </w:p>
        </w:tc>
      </w:tr>
      <w:tr>
        <w:trPr>
          <w:trHeight w:val="144"/>
        </w:trPr>
        <w:tc>
          <w:tcPr>
            <w:tcW w:w="15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5.11</w:t>
            </w:r>
          </w:p>
        </w:tc>
        <w:tc>
          <w:tcPr>
            <w:tcW w:w="70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Nasdaq Listing</w:t>
            </w: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r>
      <w:tr>
        <w:trPr>
          <w:trHeight w:val="144"/>
        </w:trPr>
        <w:tc>
          <w:tcPr>
            <w:tcW w:w="15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5.12</w:t>
            </w:r>
          </w:p>
        </w:tc>
        <w:tc>
          <w:tcPr>
            <w:tcW w:w="70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Trust Account</w:t>
            </w: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r>
      <w:tr>
        <w:trPr>
          <w:trHeight w:val="144"/>
        </w:trPr>
        <w:tc>
          <w:tcPr>
            <w:tcW w:w="15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5.13</w:t>
            </w:r>
          </w:p>
        </w:tc>
        <w:tc>
          <w:tcPr>
            <w:tcW w:w="70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Additional Stockholder Support Agreements; Company Stockholder Approval</w:t>
            </w: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r>
      <w:tr>
        <w:trPr>
          <w:trHeight w:val="144"/>
        </w:trPr>
        <w:tc>
          <w:tcPr>
            <w:tcW w:w="15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5.14</w:t>
            </w:r>
          </w:p>
        </w:tc>
        <w:tc>
          <w:tcPr>
            <w:tcW w:w="70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CGC Indemnification; Directors’ and Officers’ Insurance</w:t>
            </w: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r>
      <w:tr>
        <w:trPr>
          <w:trHeight w:val="144"/>
        </w:trPr>
        <w:tc>
          <w:tcPr>
            <w:tcW w:w="15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5.15</w:t>
            </w:r>
          </w:p>
        </w:tc>
        <w:tc>
          <w:tcPr>
            <w:tcW w:w="70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Company Indemnification; Directors’ and Officers’ Insurance</w:t>
            </w: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r>
      <w:tr>
        <w:trPr>
          <w:trHeight w:val="144"/>
        </w:trPr>
        <w:tc>
          <w:tcPr>
            <w:tcW w:w="15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5.16</w:t>
            </w:r>
          </w:p>
        </w:tc>
        <w:tc>
          <w:tcPr>
            <w:tcW w:w="70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Post-Closing Directors and Officers</w:t>
            </w: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r>
      <w:tr>
        <w:trPr>
          <w:trHeight w:val="144"/>
        </w:trPr>
        <w:tc>
          <w:tcPr>
            <w:tcW w:w="15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5.17</w:t>
            </w:r>
          </w:p>
        </w:tc>
        <w:tc>
          <w:tcPr>
            <w:tcW w:w="70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PCAOB Financials</w:t>
            </w: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r>
      <w:tr>
        <w:trPr>
          <w:trHeight w:val="144"/>
        </w:trPr>
        <w:tc>
          <w:tcPr>
            <w:tcW w:w="15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5.18</w:t>
            </w:r>
          </w:p>
        </w:tc>
        <w:tc>
          <w:tcPr>
            <w:tcW w:w="70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CGC Equity Incentive Plan; CGC Employee Stock Purchase Plan</w:t>
            </w: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r>
      <w:tr>
        <w:trPr>
          <w:trHeight w:val="144"/>
        </w:trPr>
        <w:tc>
          <w:tcPr>
            <w:tcW w:w="15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5.19</w:t>
            </w:r>
          </w:p>
        </w:tc>
        <w:tc>
          <w:tcPr>
            <w:tcW w:w="70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FIRPTA Certificates</w:t>
            </w: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r>
      <w:tr>
        <w:trPr>
          <w:trHeight w:val="144"/>
        </w:trPr>
        <w:tc>
          <w:tcPr>
            <w:tcW w:w="15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5.20</w:t>
            </w:r>
          </w:p>
        </w:tc>
        <w:tc>
          <w:tcPr>
            <w:tcW w:w="70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Registration Rights Agreement</w:t>
            </w: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r>
      <w:tr>
        <w:trPr>
          <w:trHeight w:val="144"/>
        </w:trPr>
        <w:tc>
          <w:tcPr>
            <w:tcW w:w="15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5.21</w:t>
            </w:r>
          </w:p>
        </w:tc>
        <w:tc>
          <w:tcPr>
            <w:tcW w:w="70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CGC Public Warrants Exchange</w:t>
            </w: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r>
      <w:tr>
        <w:trPr>
          <w:trHeight w:val="144"/>
        </w:trPr>
        <w:tc>
          <w:tcPr>
            <w:tcW w:w="15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5.22</w:t>
            </w:r>
          </w:p>
        </w:tc>
        <w:tc>
          <w:tcPr>
            <w:tcW w:w="70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CGC Private Warrants Exchange</w:t>
            </w: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r>
      <w:tr>
        <w:trPr>
          <w:trHeight w:val="144"/>
        </w:trPr>
        <w:tc>
          <w:tcPr>
            <w:tcW w:w="15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5.23</w:t>
            </w:r>
          </w:p>
        </w:tc>
        <w:tc>
          <w:tcPr>
            <w:tcW w:w="70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Additional Engagements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r>
      <w:tr>
        <w:trPr>
          <w:trHeight w:val="144"/>
        </w:trPr>
        <w:tc>
          <w:tcPr>
            <w:tcW w:w="15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5.24</w:t>
            </w:r>
          </w:p>
        </w:tc>
        <w:tc>
          <w:tcPr>
            <w:tcW w:w="70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Complementary Financing</w:t>
            </w: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r>
      <w:tr>
        <w:trPr>
          <w:trHeight w:val="159"/>
        </w:trPr>
        <w:tc>
          <w:tcPr>
            <w:tcW w:w="15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5.25</w:t>
            </w:r>
          </w:p>
        </w:tc>
        <w:tc>
          <w:tcPr>
            <w:tcW w:w="70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Minimize CGC Shareholder Redemption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r>
      <w:tr>
        <w:trPr>
          <w:trHeight w:val="288"/>
        </w:trPr>
        <w:tc>
          <w:tcPr>
            <w:tcW w:w="8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6 CONDITIONS TO CONSUMMATION OF THE TRANSACTIONS CONTEMPLATED BY THIS AGREEMENT</w:t>
            </w: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r>
      <w:tr>
        <w:trPr>
          <w:trHeight w:val="273"/>
        </w:trPr>
        <w:tc>
          <w:tcPr>
            <w:tcW w:w="15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6.1</w:t>
            </w:r>
          </w:p>
        </w:tc>
        <w:tc>
          <w:tcPr>
            <w:tcW w:w="70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Conditions to the Obligations of the Parties</w:t>
            </w: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r>
      <w:tr>
        <w:trPr>
          <w:trHeight w:val="144"/>
        </w:trPr>
        <w:tc>
          <w:tcPr>
            <w:tcW w:w="15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6.2</w:t>
            </w:r>
          </w:p>
        </w:tc>
        <w:tc>
          <w:tcPr>
            <w:tcW w:w="70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Other Conditions to the Obligations of the CGC Parties</w:t>
            </w: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r>
      <w:tr>
        <w:trPr>
          <w:trHeight w:val="144"/>
        </w:trPr>
        <w:tc>
          <w:tcPr>
            <w:tcW w:w="15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6.3</w:t>
            </w:r>
          </w:p>
        </w:tc>
        <w:tc>
          <w:tcPr>
            <w:tcW w:w="70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Other Conditions to the Obligations of the Company</w:t>
            </w: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r>
      <w:tr>
        <w:trPr>
          <w:trHeight w:val="159"/>
        </w:trPr>
        <w:tc>
          <w:tcPr>
            <w:tcW w:w="15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6.4</w:t>
            </w:r>
          </w:p>
        </w:tc>
        <w:tc>
          <w:tcPr>
            <w:tcW w:w="70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Frustration of Closing Conditions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r>
      <w:tr>
        <w:trPr>
          <w:trHeight w:val="288"/>
        </w:trPr>
        <w:tc>
          <w:tcPr>
            <w:tcW w:w="1560" w:type="dxa"/>
            <w:vAlign w:val="bottom"/>
          </w:tcPr>
          <w:p>
            <w:pPr>
              <w:spacing w:after="0"/>
              <w:rPr>
                <w:sz w:val="20"/>
                <w:szCs w:val="20"/>
                <w:color w:val="auto"/>
              </w:rPr>
            </w:pPr>
            <w:r>
              <w:rPr>
                <w:rFonts w:ascii="Times New Roman" w:cs="Times New Roman" w:eastAsia="Times New Roman" w:hAnsi="Times New Roman"/>
                <w:sz w:val="12"/>
                <w:szCs w:val="12"/>
                <w:color w:val="auto"/>
              </w:rPr>
              <w:t>ARTICLE 7 TERMINATION</w:t>
            </w:r>
          </w:p>
        </w:tc>
        <w:tc>
          <w:tcPr>
            <w:tcW w:w="708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r>
      <w:tr>
        <w:trPr>
          <w:trHeight w:val="273"/>
        </w:trPr>
        <w:tc>
          <w:tcPr>
            <w:tcW w:w="15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7.1</w:t>
            </w:r>
          </w:p>
        </w:tc>
        <w:tc>
          <w:tcPr>
            <w:tcW w:w="70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Termination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r>
      <w:tr>
        <w:trPr>
          <w:trHeight w:val="159"/>
        </w:trPr>
        <w:tc>
          <w:tcPr>
            <w:tcW w:w="15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7.2</w:t>
            </w:r>
          </w:p>
        </w:tc>
        <w:tc>
          <w:tcPr>
            <w:tcW w:w="70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Effect of Termination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r>
    </w:tbl>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65" w:right="2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48"/>
        </w:trPr>
        <w:tc>
          <w:tcPr>
            <w:tcW w:w="10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6800" w:type="dxa"/>
            <w:vAlign w:val="bottom"/>
          </w:tcPr>
          <w:p>
            <w:pPr>
              <w:jc w:val="right"/>
              <w:ind w:right="4959"/>
              <w:spacing w:after="0"/>
              <w:rPr>
                <w:sz w:val="20"/>
                <w:szCs w:val="20"/>
                <w:color w:val="auto"/>
              </w:rPr>
            </w:pPr>
            <w:r>
              <w:rPr>
                <w:rFonts w:ascii="Times New Roman" w:cs="Times New Roman" w:eastAsia="Times New Roman" w:hAnsi="Times New Roman"/>
                <w:sz w:val="12"/>
                <w:szCs w:val="12"/>
                <w:b w:val="1"/>
                <w:bCs w:val="1"/>
                <w:color w:val="auto"/>
              </w:rPr>
              <w:t>TABLE OF CONTENTS</w:t>
            </w:r>
          </w:p>
        </w:tc>
      </w:tr>
      <w:tr>
        <w:trPr>
          <w:trHeight w:val="155"/>
        </w:trPr>
        <w:tc>
          <w:tcPr>
            <w:tcW w:w="104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6800" w:type="dxa"/>
            <w:vAlign w:val="bottom"/>
          </w:tcPr>
          <w:p>
            <w:pPr>
              <w:jc w:val="right"/>
              <w:ind w:right="5319"/>
              <w:spacing w:after="0"/>
              <w:rPr>
                <w:sz w:val="20"/>
                <w:szCs w:val="20"/>
                <w:color w:val="auto"/>
              </w:rPr>
            </w:pPr>
            <w:r>
              <w:rPr>
                <w:rFonts w:ascii="Times New Roman" w:cs="Times New Roman" w:eastAsia="Times New Roman" w:hAnsi="Times New Roman"/>
                <w:sz w:val="12"/>
                <w:szCs w:val="12"/>
                <w:color w:val="auto"/>
              </w:rPr>
              <w:t>(continued)</w:t>
            </w:r>
          </w:p>
        </w:tc>
      </w:tr>
      <w:tr>
        <w:trPr>
          <w:trHeight w:val="332"/>
        </w:trPr>
        <w:tc>
          <w:tcPr>
            <w:tcW w:w="10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6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98"/>
        </w:trPr>
        <w:tc>
          <w:tcPr>
            <w:tcW w:w="4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8 MISCELLANEOUS</w:t>
            </w:r>
          </w:p>
        </w:tc>
        <w:tc>
          <w:tcPr>
            <w:tcW w:w="6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r>
      <w:tr>
        <w:trPr>
          <w:trHeight w:val="273"/>
        </w:trPr>
        <w:tc>
          <w:tcPr>
            <w:tcW w:w="104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8.1</w:t>
            </w:r>
          </w:p>
        </w:tc>
        <w:tc>
          <w:tcPr>
            <w:tcW w:w="3460" w:type="dxa"/>
            <w:vAlign w:val="bottom"/>
          </w:tcPr>
          <w:p>
            <w:pPr>
              <w:ind w:left="640"/>
              <w:spacing w:after="0"/>
              <w:rPr>
                <w:sz w:val="20"/>
                <w:szCs w:val="20"/>
                <w:color w:val="auto"/>
              </w:rPr>
            </w:pPr>
            <w:r>
              <w:rPr>
                <w:rFonts w:ascii="Times New Roman" w:cs="Times New Roman" w:eastAsia="Times New Roman" w:hAnsi="Times New Roman"/>
                <w:sz w:val="12"/>
                <w:szCs w:val="12"/>
                <w:b w:val="1"/>
                <w:bCs w:val="1"/>
                <w:color w:val="auto"/>
              </w:rPr>
              <w:t>Non-Survival</w:t>
            </w:r>
          </w:p>
        </w:tc>
        <w:tc>
          <w:tcPr>
            <w:tcW w:w="6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r>
      <w:tr>
        <w:trPr>
          <w:trHeight w:val="144"/>
        </w:trPr>
        <w:tc>
          <w:tcPr>
            <w:tcW w:w="104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8.2</w:t>
            </w:r>
          </w:p>
        </w:tc>
        <w:tc>
          <w:tcPr>
            <w:tcW w:w="3460" w:type="dxa"/>
            <w:vAlign w:val="bottom"/>
          </w:tcPr>
          <w:p>
            <w:pPr>
              <w:ind w:left="640"/>
              <w:spacing w:after="0"/>
              <w:rPr>
                <w:sz w:val="20"/>
                <w:szCs w:val="20"/>
                <w:color w:val="auto"/>
              </w:rPr>
            </w:pPr>
            <w:r>
              <w:rPr>
                <w:rFonts w:ascii="Times New Roman" w:cs="Times New Roman" w:eastAsia="Times New Roman" w:hAnsi="Times New Roman"/>
                <w:sz w:val="12"/>
                <w:szCs w:val="12"/>
                <w:b w:val="1"/>
                <w:bCs w:val="1"/>
                <w:color w:val="auto"/>
              </w:rPr>
              <w:t>Entire Agreement; Assignment</w:t>
            </w:r>
          </w:p>
        </w:tc>
        <w:tc>
          <w:tcPr>
            <w:tcW w:w="6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r>
      <w:tr>
        <w:trPr>
          <w:trHeight w:val="144"/>
        </w:trPr>
        <w:tc>
          <w:tcPr>
            <w:tcW w:w="104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8.3</w:t>
            </w:r>
          </w:p>
        </w:tc>
        <w:tc>
          <w:tcPr>
            <w:tcW w:w="3460" w:type="dxa"/>
            <w:vAlign w:val="bottom"/>
          </w:tcPr>
          <w:p>
            <w:pPr>
              <w:ind w:left="640"/>
              <w:spacing w:after="0"/>
              <w:rPr>
                <w:sz w:val="20"/>
                <w:szCs w:val="20"/>
                <w:color w:val="auto"/>
              </w:rPr>
            </w:pPr>
            <w:r>
              <w:rPr>
                <w:rFonts w:ascii="Times New Roman" w:cs="Times New Roman" w:eastAsia="Times New Roman" w:hAnsi="Times New Roman"/>
                <w:sz w:val="12"/>
                <w:szCs w:val="12"/>
                <w:b w:val="1"/>
                <w:bCs w:val="1"/>
                <w:color w:val="auto"/>
              </w:rPr>
              <w:t>Amendment</w:t>
            </w:r>
          </w:p>
        </w:tc>
        <w:tc>
          <w:tcPr>
            <w:tcW w:w="6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r>
      <w:tr>
        <w:trPr>
          <w:trHeight w:val="144"/>
        </w:trPr>
        <w:tc>
          <w:tcPr>
            <w:tcW w:w="104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8.4</w:t>
            </w:r>
          </w:p>
        </w:tc>
        <w:tc>
          <w:tcPr>
            <w:tcW w:w="3460" w:type="dxa"/>
            <w:vAlign w:val="bottom"/>
          </w:tcPr>
          <w:p>
            <w:pPr>
              <w:ind w:left="640"/>
              <w:spacing w:after="0"/>
              <w:rPr>
                <w:sz w:val="20"/>
                <w:szCs w:val="20"/>
                <w:color w:val="auto"/>
              </w:rPr>
            </w:pPr>
            <w:r>
              <w:rPr>
                <w:rFonts w:ascii="Times New Roman" w:cs="Times New Roman" w:eastAsia="Times New Roman" w:hAnsi="Times New Roman"/>
                <w:sz w:val="12"/>
                <w:szCs w:val="12"/>
                <w:b w:val="1"/>
                <w:bCs w:val="1"/>
                <w:color w:val="auto"/>
              </w:rPr>
              <w:t>Notices</w:t>
            </w:r>
          </w:p>
        </w:tc>
        <w:tc>
          <w:tcPr>
            <w:tcW w:w="6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r>
      <w:tr>
        <w:trPr>
          <w:trHeight w:val="144"/>
        </w:trPr>
        <w:tc>
          <w:tcPr>
            <w:tcW w:w="104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8.5</w:t>
            </w:r>
          </w:p>
        </w:tc>
        <w:tc>
          <w:tcPr>
            <w:tcW w:w="3460" w:type="dxa"/>
            <w:vAlign w:val="bottom"/>
          </w:tcPr>
          <w:p>
            <w:pPr>
              <w:ind w:left="640"/>
              <w:spacing w:after="0"/>
              <w:rPr>
                <w:sz w:val="20"/>
                <w:szCs w:val="20"/>
                <w:color w:val="auto"/>
              </w:rPr>
            </w:pPr>
            <w:r>
              <w:rPr>
                <w:rFonts w:ascii="Times New Roman" w:cs="Times New Roman" w:eastAsia="Times New Roman" w:hAnsi="Times New Roman"/>
                <w:sz w:val="12"/>
                <w:szCs w:val="12"/>
                <w:b w:val="1"/>
                <w:bCs w:val="1"/>
                <w:color w:val="auto"/>
              </w:rPr>
              <w:t>Governing Law</w:t>
            </w:r>
          </w:p>
        </w:tc>
        <w:tc>
          <w:tcPr>
            <w:tcW w:w="6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r>
      <w:tr>
        <w:trPr>
          <w:trHeight w:val="144"/>
        </w:trPr>
        <w:tc>
          <w:tcPr>
            <w:tcW w:w="104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8.6</w:t>
            </w:r>
          </w:p>
        </w:tc>
        <w:tc>
          <w:tcPr>
            <w:tcW w:w="3460" w:type="dxa"/>
            <w:vAlign w:val="bottom"/>
          </w:tcPr>
          <w:p>
            <w:pPr>
              <w:ind w:left="640"/>
              <w:spacing w:after="0"/>
              <w:rPr>
                <w:sz w:val="20"/>
                <w:szCs w:val="20"/>
                <w:color w:val="auto"/>
              </w:rPr>
            </w:pPr>
            <w:r>
              <w:rPr>
                <w:rFonts w:ascii="Times New Roman" w:cs="Times New Roman" w:eastAsia="Times New Roman" w:hAnsi="Times New Roman"/>
                <w:sz w:val="12"/>
                <w:szCs w:val="12"/>
                <w:b w:val="1"/>
                <w:bCs w:val="1"/>
                <w:color w:val="auto"/>
              </w:rPr>
              <w:t>Fees and Expenses</w:t>
            </w:r>
          </w:p>
        </w:tc>
        <w:tc>
          <w:tcPr>
            <w:tcW w:w="6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r>
      <w:tr>
        <w:trPr>
          <w:trHeight w:val="144"/>
        </w:trPr>
        <w:tc>
          <w:tcPr>
            <w:tcW w:w="104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8.7</w:t>
            </w:r>
          </w:p>
        </w:tc>
        <w:tc>
          <w:tcPr>
            <w:tcW w:w="3460" w:type="dxa"/>
            <w:vAlign w:val="bottom"/>
          </w:tcPr>
          <w:p>
            <w:pPr>
              <w:ind w:left="640"/>
              <w:spacing w:after="0"/>
              <w:rPr>
                <w:sz w:val="20"/>
                <w:szCs w:val="20"/>
                <w:color w:val="auto"/>
              </w:rPr>
            </w:pPr>
            <w:r>
              <w:rPr>
                <w:rFonts w:ascii="Times New Roman" w:cs="Times New Roman" w:eastAsia="Times New Roman" w:hAnsi="Times New Roman"/>
                <w:sz w:val="12"/>
                <w:szCs w:val="12"/>
                <w:b w:val="1"/>
                <w:bCs w:val="1"/>
                <w:color w:val="auto"/>
              </w:rPr>
              <w:t>Construction; Interpretation</w:t>
            </w:r>
          </w:p>
        </w:tc>
        <w:tc>
          <w:tcPr>
            <w:tcW w:w="6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r>
      <w:tr>
        <w:trPr>
          <w:trHeight w:val="144"/>
        </w:trPr>
        <w:tc>
          <w:tcPr>
            <w:tcW w:w="104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8.8</w:t>
            </w:r>
          </w:p>
        </w:tc>
        <w:tc>
          <w:tcPr>
            <w:tcW w:w="3460" w:type="dxa"/>
            <w:vAlign w:val="bottom"/>
          </w:tcPr>
          <w:p>
            <w:pPr>
              <w:ind w:left="640"/>
              <w:spacing w:after="0"/>
              <w:rPr>
                <w:sz w:val="20"/>
                <w:szCs w:val="20"/>
                <w:color w:val="auto"/>
              </w:rPr>
            </w:pPr>
            <w:r>
              <w:rPr>
                <w:rFonts w:ascii="Times New Roman" w:cs="Times New Roman" w:eastAsia="Times New Roman" w:hAnsi="Times New Roman"/>
                <w:sz w:val="12"/>
                <w:szCs w:val="12"/>
                <w:b w:val="1"/>
                <w:bCs w:val="1"/>
                <w:color w:val="auto"/>
              </w:rPr>
              <w:t>Exhibits and Schedules</w:t>
            </w:r>
          </w:p>
        </w:tc>
        <w:tc>
          <w:tcPr>
            <w:tcW w:w="6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r>
      <w:tr>
        <w:trPr>
          <w:trHeight w:val="144"/>
        </w:trPr>
        <w:tc>
          <w:tcPr>
            <w:tcW w:w="104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8.9</w:t>
            </w:r>
          </w:p>
        </w:tc>
        <w:tc>
          <w:tcPr>
            <w:tcW w:w="3460" w:type="dxa"/>
            <w:vAlign w:val="bottom"/>
          </w:tcPr>
          <w:p>
            <w:pPr>
              <w:ind w:left="640"/>
              <w:spacing w:after="0"/>
              <w:rPr>
                <w:sz w:val="20"/>
                <w:szCs w:val="20"/>
                <w:color w:val="auto"/>
              </w:rPr>
            </w:pPr>
            <w:r>
              <w:rPr>
                <w:rFonts w:ascii="Times New Roman" w:cs="Times New Roman" w:eastAsia="Times New Roman" w:hAnsi="Times New Roman"/>
                <w:sz w:val="12"/>
                <w:szCs w:val="12"/>
                <w:b w:val="1"/>
                <w:bCs w:val="1"/>
                <w:color w:val="auto"/>
              </w:rPr>
              <w:t>Parties in Interest</w:t>
            </w:r>
          </w:p>
        </w:tc>
        <w:tc>
          <w:tcPr>
            <w:tcW w:w="6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r>
      <w:tr>
        <w:trPr>
          <w:trHeight w:val="144"/>
        </w:trPr>
        <w:tc>
          <w:tcPr>
            <w:tcW w:w="104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8.10</w:t>
            </w:r>
          </w:p>
        </w:tc>
        <w:tc>
          <w:tcPr>
            <w:tcW w:w="3460" w:type="dxa"/>
            <w:vAlign w:val="bottom"/>
          </w:tcPr>
          <w:p>
            <w:pPr>
              <w:ind w:left="640"/>
              <w:spacing w:after="0"/>
              <w:rPr>
                <w:sz w:val="20"/>
                <w:szCs w:val="20"/>
                <w:color w:val="auto"/>
              </w:rPr>
            </w:pPr>
            <w:r>
              <w:rPr>
                <w:rFonts w:ascii="Times New Roman" w:cs="Times New Roman" w:eastAsia="Times New Roman" w:hAnsi="Times New Roman"/>
                <w:sz w:val="12"/>
                <w:szCs w:val="12"/>
                <w:b w:val="1"/>
                <w:bCs w:val="1"/>
                <w:color w:val="auto"/>
              </w:rPr>
              <w:t>Severability</w:t>
            </w:r>
          </w:p>
        </w:tc>
        <w:tc>
          <w:tcPr>
            <w:tcW w:w="6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r>
      <w:tr>
        <w:trPr>
          <w:trHeight w:val="144"/>
        </w:trPr>
        <w:tc>
          <w:tcPr>
            <w:tcW w:w="104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8.11</w:t>
            </w:r>
          </w:p>
        </w:tc>
        <w:tc>
          <w:tcPr>
            <w:tcW w:w="3460" w:type="dxa"/>
            <w:vAlign w:val="bottom"/>
          </w:tcPr>
          <w:p>
            <w:pPr>
              <w:ind w:left="640"/>
              <w:spacing w:after="0"/>
              <w:rPr>
                <w:sz w:val="20"/>
                <w:szCs w:val="20"/>
                <w:color w:val="auto"/>
              </w:rPr>
            </w:pPr>
            <w:r>
              <w:rPr>
                <w:rFonts w:ascii="Times New Roman" w:cs="Times New Roman" w:eastAsia="Times New Roman" w:hAnsi="Times New Roman"/>
                <w:sz w:val="12"/>
                <w:szCs w:val="12"/>
                <w:b w:val="1"/>
                <w:bCs w:val="1"/>
                <w:color w:val="auto"/>
              </w:rPr>
              <w:t>Counterparts; Electronic Signatures</w:t>
            </w:r>
          </w:p>
        </w:tc>
        <w:tc>
          <w:tcPr>
            <w:tcW w:w="6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r>
      <w:tr>
        <w:trPr>
          <w:trHeight w:val="144"/>
        </w:trPr>
        <w:tc>
          <w:tcPr>
            <w:tcW w:w="104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8.12</w:t>
            </w:r>
          </w:p>
        </w:tc>
        <w:tc>
          <w:tcPr>
            <w:tcW w:w="3460" w:type="dxa"/>
            <w:vAlign w:val="bottom"/>
          </w:tcPr>
          <w:p>
            <w:pPr>
              <w:ind w:left="640"/>
              <w:spacing w:after="0"/>
              <w:rPr>
                <w:sz w:val="20"/>
                <w:szCs w:val="20"/>
                <w:color w:val="auto"/>
              </w:rPr>
            </w:pPr>
            <w:r>
              <w:rPr>
                <w:rFonts w:ascii="Times New Roman" w:cs="Times New Roman" w:eastAsia="Times New Roman" w:hAnsi="Times New Roman"/>
                <w:sz w:val="12"/>
                <w:szCs w:val="12"/>
                <w:b w:val="1"/>
                <w:bCs w:val="1"/>
                <w:color w:val="auto"/>
              </w:rPr>
              <w:t>Knowledge of Company; Knowledge of CGC</w:t>
            </w:r>
          </w:p>
        </w:tc>
        <w:tc>
          <w:tcPr>
            <w:tcW w:w="6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r>
      <w:tr>
        <w:trPr>
          <w:trHeight w:val="144"/>
        </w:trPr>
        <w:tc>
          <w:tcPr>
            <w:tcW w:w="104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8.13</w:t>
            </w:r>
          </w:p>
        </w:tc>
        <w:tc>
          <w:tcPr>
            <w:tcW w:w="3460" w:type="dxa"/>
            <w:vAlign w:val="bottom"/>
          </w:tcPr>
          <w:p>
            <w:pPr>
              <w:ind w:left="640"/>
              <w:spacing w:after="0"/>
              <w:rPr>
                <w:sz w:val="20"/>
                <w:szCs w:val="20"/>
                <w:color w:val="auto"/>
              </w:rPr>
            </w:pPr>
            <w:r>
              <w:rPr>
                <w:rFonts w:ascii="Times New Roman" w:cs="Times New Roman" w:eastAsia="Times New Roman" w:hAnsi="Times New Roman"/>
                <w:sz w:val="12"/>
                <w:szCs w:val="12"/>
                <w:b w:val="1"/>
                <w:bCs w:val="1"/>
                <w:color w:val="auto"/>
              </w:rPr>
              <w:t>No Recourse</w:t>
            </w:r>
          </w:p>
        </w:tc>
        <w:tc>
          <w:tcPr>
            <w:tcW w:w="6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r>
      <w:tr>
        <w:trPr>
          <w:trHeight w:val="144"/>
        </w:trPr>
        <w:tc>
          <w:tcPr>
            <w:tcW w:w="104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8.14</w:t>
            </w:r>
          </w:p>
        </w:tc>
        <w:tc>
          <w:tcPr>
            <w:tcW w:w="3460" w:type="dxa"/>
            <w:vAlign w:val="bottom"/>
          </w:tcPr>
          <w:p>
            <w:pPr>
              <w:ind w:left="640"/>
              <w:spacing w:after="0"/>
              <w:rPr>
                <w:sz w:val="20"/>
                <w:szCs w:val="20"/>
                <w:color w:val="auto"/>
              </w:rPr>
            </w:pPr>
            <w:r>
              <w:rPr>
                <w:rFonts w:ascii="Times New Roman" w:cs="Times New Roman" w:eastAsia="Times New Roman" w:hAnsi="Times New Roman"/>
                <w:sz w:val="12"/>
                <w:szCs w:val="12"/>
                <w:b w:val="1"/>
                <w:bCs w:val="1"/>
                <w:color w:val="auto"/>
              </w:rPr>
              <w:t>Extension; Waiver</w:t>
            </w:r>
          </w:p>
        </w:tc>
        <w:tc>
          <w:tcPr>
            <w:tcW w:w="6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r>
      <w:tr>
        <w:trPr>
          <w:trHeight w:val="144"/>
        </w:trPr>
        <w:tc>
          <w:tcPr>
            <w:tcW w:w="104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8.15</w:t>
            </w:r>
          </w:p>
        </w:tc>
        <w:tc>
          <w:tcPr>
            <w:tcW w:w="3460" w:type="dxa"/>
            <w:vAlign w:val="bottom"/>
          </w:tcPr>
          <w:p>
            <w:pPr>
              <w:ind w:left="640"/>
              <w:spacing w:after="0"/>
              <w:rPr>
                <w:sz w:val="20"/>
                <w:szCs w:val="20"/>
                <w:color w:val="auto"/>
              </w:rPr>
            </w:pPr>
            <w:r>
              <w:rPr>
                <w:rFonts w:ascii="Times New Roman" w:cs="Times New Roman" w:eastAsia="Times New Roman" w:hAnsi="Times New Roman"/>
                <w:sz w:val="12"/>
                <w:szCs w:val="12"/>
                <w:b w:val="1"/>
                <w:bCs w:val="1"/>
                <w:color w:val="auto"/>
              </w:rPr>
              <w:t>Waiver of Jury Trial</w:t>
            </w:r>
          </w:p>
        </w:tc>
        <w:tc>
          <w:tcPr>
            <w:tcW w:w="6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r>
      <w:tr>
        <w:trPr>
          <w:trHeight w:val="144"/>
        </w:trPr>
        <w:tc>
          <w:tcPr>
            <w:tcW w:w="104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8.16</w:t>
            </w:r>
          </w:p>
        </w:tc>
        <w:tc>
          <w:tcPr>
            <w:tcW w:w="3460" w:type="dxa"/>
            <w:vAlign w:val="bottom"/>
          </w:tcPr>
          <w:p>
            <w:pPr>
              <w:ind w:left="640"/>
              <w:spacing w:after="0"/>
              <w:rPr>
                <w:sz w:val="20"/>
                <w:szCs w:val="20"/>
                <w:color w:val="auto"/>
              </w:rPr>
            </w:pPr>
            <w:r>
              <w:rPr>
                <w:rFonts w:ascii="Times New Roman" w:cs="Times New Roman" w:eastAsia="Times New Roman" w:hAnsi="Times New Roman"/>
                <w:sz w:val="12"/>
                <w:szCs w:val="12"/>
                <w:b w:val="1"/>
                <w:bCs w:val="1"/>
                <w:color w:val="auto"/>
              </w:rPr>
              <w:t>Submission to Jurisdiction</w:t>
            </w:r>
          </w:p>
        </w:tc>
        <w:tc>
          <w:tcPr>
            <w:tcW w:w="6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r>
      <w:tr>
        <w:trPr>
          <w:trHeight w:val="144"/>
        </w:trPr>
        <w:tc>
          <w:tcPr>
            <w:tcW w:w="104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8.17</w:t>
            </w:r>
          </w:p>
        </w:tc>
        <w:tc>
          <w:tcPr>
            <w:tcW w:w="3460" w:type="dxa"/>
            <w:vAlign w:val="bottom"/>
          </w:tcPr>
          <w:p>
            <w:pPr>
              <w:ind w:left="640"/>
              <w:spacing w:after="0"/>
              <w:rPr>
                <w:sz w:val="20"/>
                <w:szCs w:val="20"/>
                <w:color w:val="auto"/>
              </w:rPr>
            </w:pPr>
            <w:r>
              <w:rPr>
                <w:rFonts w:ascii="Times New Roman" w:cs="Times New Roman" w:eastAsia="Times New Roman" w:hAnsi="Times New Roman"/>
                <w:sz w:val="12"/>
                <w:szCs w:val="12"/>
                <w:b w:val="1"/>
                <w:bCs w:val="1"/>
                <w:color w:val="auto"/>
              </w:rPr>
              <w:t>Remedies</w:t>
            </w:r>
          </w:p>
        </w:tc>
        <w:tc>
          <w:tcPr>
            <w:tcW w:w="6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r>
      <w:tr>
        <w:trPr>
          <w:trHeight w:val="144"/>
        </w:trPr>
        <w:tc>
          <w:tcPr>
            <w:tcW w:w="104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8.18</w:t>
            </w:r>
          </w:p>
        </w:tc>
        <w:tc>
          <w:tcPr>
            <w:tcW w:w="3460" w:type="dxa"/>
            <w:vAlign w:val="bottom"/>
          </w:tcPr>
          <w:p>
            <w:pPr>
              <w:ind w:left="640"/>
              <w:spacing w:after="0"/>
              <w:rPr>
                <w:sz w:val="20"/>
                <w:szCs w:val="20"/>
                <w:color w:val="auto"/>
              </w:rPr>
            </w:pPr>
            <w:r>
              <w:rPr>
                <w:rFonts w:ascii="Times New Roman" w:cs="Times New Roman" w:eastAsia="Times New Roman" w:hAnsi="Times New Roman"/>
                <w:sz w:val="12"/>
                <w:szCs w:val="12"/>
                <w:b w:val="1"/>
                <w:bCs w:val="1"/>
                <w:color w:val="auto"/>
              </w:rPr>
              <w:t>Trust Account Waiver</w:t>
            </w:r>
          </w:p>
        </w:tc>
        <w:tc>
          <w:tcPr>
            <w:tcW w:w="6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r>
      <w:tr>
        <w:trPr>
          <w:trHeight w:val="159"/>
        </w:trPr>
        <w:tc>
          <w:tcPr>
            <w:tcW w:w="104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Section 8.19</w:t>
            </w:r>
          </w:p>
        </w:tc>
        <w:tc>
          <w:tcPr>
            <w:tcW w:w="3460" w:type="dxa"/>
            <w:vAlign w:val="bottom"/>
          </w:tcPr>
          <w:p>
            <w:pPr>
              <w:ind w:left="640"/>
              <w:spacing w:after="0"/>
              <w:rPr>
                <w:sz w:val="20"/>
                <w:szCs w:val="20"/>
                <w:color w:val="auto"/>
              </w:rPr>
            </w:pPr>
            <w:r>
              <w:rPr>
                <w:rFonts w:ascii="Times New Roman" w:cs="Times New Roman" w:eastAsia="Times New Roman" w:hAnsi="Times New Roman"/>
                <w:sz w:val="12"/>
                <w:szCs w:val="12"/>
                <w:b w:val="1"/>
                <w:bCs w:val="1"/>
                <w:color w:val="auto"/>
              </w:rPr>
              <w:t>Legal Representation; Privilege</w:t>
            </w:r>
          </w:p>
        </w:tc>
        <w:tc>
          <w:tcPr>
            <w:tcW w:w="6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r>
      <w:tr>
        <w:trPr>
          <w:trHeight w:val="288"/>
        </w:trPr>
        <w:tc>
          <w:tcPr>
            <w:tcW w:w="45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ANNEXES AND EXHIBITS</w:t>
            </w:r>
          </w:p>
        </w:tc>
        <w:tc>
          <w:tcPr>
            <w:tcW w:w="6800" w:type="dxa"/>
            <w:vAlign w:val="bottom"/>
          </w:tcPr>
          <w:p>
            <w:pPr>
              <w:spacing w:after="0"/>
              <w:rPr>
                <w:sz w:val="24"/>
                <w:szCs w:val="24"/>
                <w:color w:val="auto"/>
              </w:rPr>
            </w:pPr>
          </w:p>
        </w:tc>
      </w:tr>
      <w:tr>
        <w:trPr>
          <w:trHeight w:val="277"/>
        </w:trPr>
        <w:tc>
          <w:tcPr>
            <w:tcW w:w="1040" w:type="dxa"/>
            <w:vAlign w:val="bottom"/>
          </w:tcPr>
          <w:p>
            <w:pPr>
              <w:spacing w:after="0"/>
              <w:rPr>
                <w:sz w:val="20"/>
                <w:szCs w:val="20"/>
                <w:color w:val="auto"/>
              </w:rPr>
            </w:pPr>
            <w:r>
              <w:rPr>
                <w:rFonts w:ascii="Times New Roman" w:cs="Times New Roman" w:eastAsia="Times New Roman" w:hAnsi="Times New Roman"/>
                <w:sz w:val="12"/>
                <w:szCs w:val="12"/>
                <w:color w:val="auto"/>
              </w:rPr>
              <w:t>Annex A</w:t>
            </w:r>
          </w:p>
        </w:tc>
        <w:tc>
          <w:tcPr>
            <w:tcW w:w="34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Key Supporting Company Stockholders</w:t>
            </w:r>
          </w:p>
        </w:tc>
        <w:tc>
          <w:tcPr>
            <w:tcW w:w="6800" w:type="dxa"/>
            <w:vAlign w:val="bottom"/>
          </w:tcPr>
          <w:p>
            <w:pPr>
              <w:spacing w:after="0"/>
              <w:rPr>
                <w:sz w:val="24"/>
                <w:szCs w:val="24"/>
                <w:color w:val="auto"/>
              </w:rPr>
            </w:pPr>
          </w:p>
        </w:tc>
      </w:tr>
      <w:tr>
        <w:trPr>
          <w:trHeight w:val="155"/>
        </w:trPr>
        <w:tc>
          <w:tcPr>
            <w:tcW w:w="1040" w:type="dxa"/>
            <w:vAlign w:val="bottom"/>
          </w:tcPr>
          <w:p>
            <w:pPr>
              <w:spacing w:after="0"/>
              <w:rPr>
                <w:sz w:val="20"/>
                <w:szCs w:val="20"/>
                <w:color w:val="auto"/>
              </w:rPr>
            </w:pPr>
            <w:r>
              <w:rPr>
                <w:rFonts w:ascii="Times New Roman" w:cs="Times New Roman" w:eastAsia="Times New Roman" w:hAnsi="Times New Roman"/>
                <w:sz w:val="12"/>
                <w:szCs w:val="12"/>
                <w:color w:val="auto"/>
              </w:rPr>
              <w:t>Annex B</w:t>
            </w:r>
          </w:p>
        </w:tc>
        <w:tc>
          <w:tcPr>
            <w:tcW w:w="34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Key Persons</w:t>
            </w:r>
          </w:p>
        </w:tc>
        <w:tc>
          <w:tcPr>
            <w:tcW w:w="6800" w:type="dxa"/>
            <w:vAlign w:val="bottom"/>
          </w:tcPr>
          <w:p>
            <w:pPr>
              <w:spacing w:after="0"/>
              <w:rPr>
                <w:sz w:val="13"/>
                <w:szCs w:val="13"/>
                <w:color w:val="auto"/>
              </w:rPr>
            </w:pPr>
          </w:p>
        </w:tc>
      </w:tr>
      <w:tr>
        <w:trPr>
          <w:trHeight w:val="277"/>
        </w:trPr>
        <w:tc>
          <w:tcPr>
            <w:tcW w:w="1040" w:type="dxa"/>
            <w:vAlign w:val="bottom"/>
          </w:tcPr>
          <w:p>
            <w:pPr>
              <w:spacing w:after="0"/>
              <w:rPr>
                <w:sz w:val="20"/>
                <w:szCs w:val="20"/>
                <w:color w:val="auto"/>
              </w:rPr>
            </w:pPr>
            <w:r>
              <w:rPr>
                <w:rFonts w:ascii="Times New Roman" w:cs="Times New Roman" w:eastAsia="Times New Roman" w:hAnsi="Times New Roman"/>
                <w:sz w:val="12"/>
                <w:szCs w:val="12"/>
                <w:color w:val="auto"/>
              </w:rPr>
              <w:t>Exhibit A</w:t>
            </w:r>
          </w:p>
        </w:tc>
        <w:tc>
          <w:tcPr>
            <w:tcW w:w="34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Form of Sponsor Support Agreement</w:t>
            </w:r>
          </w:p>
        </w:tc>
        <w:tc>
          <w:tcPr>
            <w:tcW w:w="6800" w:type="dxa"/>
            <w:vAlign w:val="bottom"/>
          </w:tcPr>
          <w:p>
            <w:pPr>
              <w:spacing w:after="0"/>
              <w:rPr>
                <w:sz w:val="24"/>
                <w:szCs w:val="24"/>
                <w:color w:val="auto"/>
              </w:rPr>
            </w:pPr>
          </w:p>
        </w:tc>
      </w:tr>
      <w:tr>
        <w:trPr>
          <w:trHeight w:val="144"/>
        </w:trPr>
        <w:tc>
          <w:tcPr>
            <w:tcW w:w="1040" w:type="dxa"/>
            <w:vAlign w:val="bottom"/>
          </w:tcPr>
          <w:p>
            <w:pPr>
              <w:spacing w:after="0"/>
              <w:rPr>
                <w:sz w:val="20"/>
                <w:szCs w:val="20"/>
                <w:color w:val="auto"/>
              </w:rPr>
            </w:pPr>
            <w:r>
              <w:rPr>
                <w:rFonts w:ascii="Times New Roman" w:cs="Times New Roman" w:eastAsia="Times New Roman" w:hAnsi="Times New Roman"/>
                <w:sz w:val="12"/>
                <w:szCs w:val="12"/>
                <w:color w:val="auto"/>
              </w:rPr>
              <w:t>Exhibit B</w:t>
            </w:r>
          </w:p>
        </w:tc>
        <w:tc>
          <w:tcPr>
            <w:tcW w:w="34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Form of Investor Stock Purchase Agreement</w:t>
            </w:r>
          </w:p>
        </w:tc>
        <w:tc>
          <w:tcPr>
            <w:tcW w:w="6800" w:type="dxa"/>
            <w:vAlign w:val="bottom"/>
          </w:tcPr>
          <w:p>
            <w:pPr>
              <w:spacing w:after="0"/>
              <w:rPr>
                <w:sz w:val="12"/>
                <w:szCs w:val="12"/>
                <w:color w:val="auto"/>
              </w:rPr>
            </w:pPr>
          </w:p>
        </w:tc>
      </w:tr>
      <w:tr>
        <w:trPr>
          <w:trHeight w:val="144"/>
        </w:trPr>
        <w:tc>
          <w:tcPr>
            <w:tcW w:w="1040" w:type="dxa"/>
            <w:vAlign w:val="bottom"/>
          </w:tcPr>
          <w:p>
            <w:pPr>
              <w:spacing w:after="0"/>
              <w:rPr>
                <w:sz w:val="20"/>
                <w:szCs w:val="20"/>
                <w:color w:val="auto"/>
              </w:rPr>
            </w:pPr>
            <w:r>
              <w:rPr>
                <w:rFonts w:ascii="Times New Roman" w:cs="Times New Roman" w:eastAsia="Times New Roman" w:hAnsi="Times New Roman"/>
                <w:sz w:val="12"/>
                <w:szCs w:val="12"/>
                <w:color w:val="auto"/>
              </w:rPr>
              <w:t>Exhibit C</w:t>
            </w:r>
          </w:p>
        </w:tc>
        <w:tc>
          <w:tcPr>
            <w:tcW w:w="34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Form of Registration Rights Agreement</w:t>
            </w:r>
          </w:p>
        </w:tc>
        <w:tc>
          <w:tcPr>
            <w:tcW w:w="6800" w:type="dxa"/>
            <w:vAlign w:val="bottom"/>
          </w:tcPr>
          <w:p>
            <w:pPr>
              <w:spacing w:after="0"/>
              <w:rPr>
                <w:sz w:val="12"/>
                <w:szCs w:val="12"/>
                <w:color w:val="auto"/>
              </w:rPr>
            </w:pPr>
          </w:p>
        </w:tc>
      </w:tr>
      <w:tr>
        <w:trPr>
          <w:trHeight w:val="144"/>
        </w:trPr>
        <w:tc>
          <w:tcPr>
            <w:tcW w:w="1040" w:type="dxa"/>
            <w:vAlign w:val="bottom"/>
          </w:tcPr>
          <w:p>
            <w:pPr>
              <w:spacing w:after="0"/>
              <w:rPr>
                <w:sz w:val="20"/>
                <w:szCs w:val="20"/>
                <w:color w:val="auto"/>
              </w:rPr>
            </w:pPr>
            <w:r>
              <w:rPr>
                <w:rFonts w:ascii="Times New Roman" w:cs="Times New Roman" w:eastAsia="Times New Roman" w:hAnsi="Times New Roman"/>
                <w:sz w:val="12"/>
                <w:szCs w:val="12"/>
                <w:color w:val="auto"/>
              </w:rPr>
              <w:t>Exhibit D</w:t>
            </w:r>
          </w:p>
        </w:tc>
        <w:tc>
          <w:tcPr>
            <w:tcW w:w="34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Form of Stockholder Support Agreement</w:t>
            </w:r>
          </w:p>
        </w:tc>
        <w:tc>
          <w:tcPr>
            <w:tcW w:w="6800" w:type="dxa"/>
            <w:vAlign w:val="bottom"/>
          </w:tcPr>
          <w:p>
            <w:pPr>
              <w:spacing w:after="0"/>
              <w:rPr>
                <w:sz w:val="12"/>
                <w:szCs w:val="12"/>
                <w:color w:val="auto"/>
              </w:rPr>
            </w:pPr>
          </w:p>
        </w:tc>
      </w:tr>
      <w:tr>
        <w:trPr>
          <w:trHeight w:val="144"/>
        </w:trPr>
        <w:tc>
          <w:tcPr>
            <w:tcW w:w="1040" w:type="dxa"/>
            <w:vAlign w:val="bottom"/>
          </w:tcPr>
          <w:p>
            <w:pPr>
              <w:spacing w:after="0"/>
              <w:rPr>
                <w:sz w:val="20"/>
                <w:szCs w:val="20"/>
                <w:color w:val="auto"/>
              </w:rPr>
            </w:pPr>
            <w:r>
              <w:rPr>
                <w:rFonts w:ascii="Times New Roman" w:cs="Times New Roman" w:eastAsia="Times New Roman" w:hAnsi="Times New Roman"/>
                <w:sz w:val="12"/>
                <w:szCs w:val="12"/>
                <w:color w:val="auto"/>
              </w:rPr>
              <w:t>Exhibit E</w:t>
            </w:r>
          </w:p>
        </w:tc>
        <w:tc>
          <w:tcPr>
            <w:tcW w:w="34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Form of CGC Certificate of Incorporation</w:t>
            </w:r>
          </w:p>
        </w:tc>
        <w:tc>
          <w:tcPr>
            <w:tcW w:w="6800" w:type="dxa"/>
            <w:vAlign w:val="bottom"/>
          </w:tcPr>
          <w:p>
            <w:pPr>
              <w:spacing w:after="0"/>
              <w:rPr>
                <w:sz w:val="12"/>
                <w:szCs w:val="12"/>
                <w:color w:val="auto"/>
              </w:rPr>
            </w:pPr>
          </w:p>
        </w:tc>
      </w:tr>
      <w:tr>
        <w:trPr>
          <w:trHeight w:val="155"/>
        </w:trPr>
        <w:tc>
          <w:tcPr>
            <w:tcW w:w="1040" w:type="dxa"/>
            <w:vAlign w:val="bottom"/>
          </w:tcPr>
          <w:p>
            <w:pPr>
              <w:spacing w:after="0"/>
              <w:rPr>
                <w:sz w:val="20"/>
                <w:szCs w:val="20"/>
                <w:color w:val="auto"/>
              </w:rPr>
            </w:pPr>
            <w:r>
              <w:rPr>
                <w:rFonts w:ascii="Times New Roman" w:cs="Times New Roman" w:eastAsia="Times New Roman" w:hAnsi="Times New Roman"/>
                <w:sz w:val="12"/>
                <w:szCs w:val="12"/>
                <w:color w:val="auto"/>
              </w:rPr>
              <w:t>Exhibit F</w:t>
            </w:r>
          </w:p>
        </w:tc>
        <w:tc>
          <w:tcPr>
            <w:tcW w:w="34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Form of CGC Bylaws</w:t>
            </w:r>
          </w:p>
        </w:tc>
        <w:tc>
          <w:tcPr>
            <w:tcW w:w="6800" w:type="dxa"/>
            <w:vAlign w:val="bottom"/>
          </w:tcPr>
          <w:p>
            <w:pPr>
              <w:spacing w:after="0"/>
              <w:rPr>
                <w:sz w:val="13"/>
                <w:szCs w:val="13"/>
                <w:color w:val="auto"/>
              </w:rPr>
            </w:pPr>
          </w:p>
        </w:tc>
      </w:tr>
    </w:tbl>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65" w:right="29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2"/>
          <w:szCs w:val="12"/>
          <w:b w:val="1"/>
          <w:bCs w:val="1"/>
          <w:color w:val="auto"/>
        </w:rPr>
        <w:t>BUSINESS COMBINATION AGREEMENT</w:t>
      </w:r>
    </w:p>
    <w:p>
      <w:pPr>
        <w:spacing w:after="0" w:line="15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This BUSINESS COMBINATION AGREEMENT (this “</w:t>
      </w:r>
      <w:r>
        <w:rPr>
          <w:rFonts w:ascii="Times New Roman" w:cs="Times New Roman" w:eastAsia="Times New Roman" w:hAnsi="Times New Roman"/>
          <w:sz w:val="12"/>
          <w:szCs w:val="12"/>
          <w:b w:val="1"/>
          <w:bCs w:val="1"/>
          <w:i w:val="1"/>
          <w:iCs w:val="1"/>
          <w:color w:val="auto"/>
        </w:rPr>
        <w:t>Agreement</w:t>
      </w:r>
      <w:r>
        <w:rPr>
          <w:rFonts w:ascii="Times New Roman" w:cs="Times New Roman" w:eastAsia="Times New Roman" w:hAnsi="Times New Roman"/>
          <w:sz w:val="12"/>
          <w:szCs w:val="12"/>
          <w:color w:val="auto"/>
        </w:rPr>
        <w:t>”), dated as of December 17, 2025, is made by and among Cartesian Growth Corporation III, a Cayman Islands exempted company (“</w:t>
      </w:r>
      <w:r>
        <w:rPr>
          <w:rFonts w:ascii="Times New Roman" w:cs="Times New Roman" w:eastAsia="Times New Roman" w:hAnsi="Times New Roman"/>
          <w:sz w:val="12"/>
          <w:szCs w:val="12"/>
          <w:b w:val="1"/>
          <w:bCs w:val="1"/>
          <w:i w:val="1"/>
          <w:iCs w:val="1"/>
          <w:color w:val="auto"/>
        </w:rPr>
        <w:t>CGC</w:t>
      </w:r>
      <w:r>
        <w:rPr>
          <w:rFonts w:ascii="Times New Roman" w:cs="Times New Roman" w:eastAsia="Times New Roman" w:hAnsi="Times New Roman"/>
          <w:sz w:val="12"/>
          <w:szCs w:val="12"/>
          <w:color w:val="auto"/>
        </w:rPr>
        <w:t>”), Fenway MS, Inc., a Delaware corporation (“</w:t>
      </w:r>
      <w:r>
        <w:rPr>
          <w:rFonts w:ascii="Times New Roman" w:cs="Times New Roman" w:eastAsia="Times New Roman" w:hAnsi="Times New Roman"/>
          <w:sz w:val="12"/>
          <w:szCs w:val="12"/>
          <w:b w:val="1"/>
          <w:bCs w:val="1"/>
          <w:i w:val="1"/>
          <w:iCs w:val="1"/>
          <w:color w:val="auto"/>
        </w:rPr>
        <w:t>Merger Sub</w:t>
      </w:r>
      <w:r>
        <w:rPr>
          <w:rFonts w:ascii="Times New Roman" w:cs="Times New Roman" w:eastAsia="Times New Roman" w:hAnsi="Times New Roman"/>
          <w:sz w:val="12"/>
          <w:szCs w:val="12"/>
          <w:color w:val="auto"/>
        </w:rPr>
        <w:t>”), and Factorial Inc., a Delaware corporation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CGC, Merger Sub and the Company shall be referred to herein from time to time collectively as the “</w:t>
      </w:r>
      <w:r>
        <w:rPr>
          <w:rFonts w:ascii="Times New Roman" w:cs="Times New Roman" w:eastAsia="Times New Roman" w:hAnsi="Times New Roman"/>
          <w:sz w:val="12"/>
          <w:szCs w:val="12"/>
          <w:b w:val="1"/>
          <w:bCs w:val="1"/>
          <w:i w:val="1"/>
          <w:iCs w:val="1"/>
          <w:color w:val="auto"/>
        </w:rPr>
        <w:t>Parties</w:t>
      </w:r>
      <w:r>
        <w:rPr>
          <w:rFonts w:ascii="Times New Roman" w:cs="Times New Roman" w:eastAsia="Times New Roman" w:hAnsi="Times New Roman"/>
          <w:sz w:val="12"/>
          <w:szCs w:val="12"/>
          <w:color w:val="auto"/>
        </w:rPr>
        <w:t>”. Capitalized terms used but not otherwise defined herein have the meanings set forth in Section 1.1.</w:t>
      </w:r>
    </w:p>
    <w:p>
      <w:pPr>
        <w:spacing w:after="0" w:line="11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WHEREAS, (a) CGC is a blank check company incorporated (i) as a Cayman Islands exempted company on October 29, 2024, and (ii) for the purpose of effecting a merger, share exchange, asset acquisition, share purchase, reorganization or similar business combination with one or more businesses, and (b) Merger Sub is, as of the date of this Agreement, a wholly-owned Subsidiary of CGC that was formed for purposes of consummating the transactions contemplated by this Agreement and the Ancillary Documents;</w:t>
      </w:r>
    </w:p>
    <w:p>
      <w:pPr>
        <w:spacing w:after="0" w:line="11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WHEREAS, pursuant to the Governing Documents of CGC, CGC is required to provide an opportunity for its shareholders to have their outstanding CGC Class A Shares redeemed on the terms and subject to the conditions set forth therein in connection with obtaining the CGC Shareholder Approval;</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WHEREAS, as of the date of this Agreement, CGC III Sponsor LLC, a Cayman Islands limited liability company (the “</w:t>
      </w:r>
      <w:r>
        <w:rPr>
          <w:rFonts w:ascii="Times New Roman" w:cs="Times New Roman" w:eastAsia="Times New Roman" w:hAnsi="Times New Roman"/>
          <w:sz w:val="12"/>
          <w:szCs w:val="12"/>
          <w:b w:val="1"/>
          <w:bCs w:val="1"/>
          <w:i w:val="1"/>
          <w:iCs w:val="1"/>
          <w:color w:val="auto"/>
        </w:rPr>
        <w:t>Sponsor</w:t>
      </w:r>
      <w:r>
        <w:rPr>
          <w:rFonts w:ascii="Times New Roman" w:cs="Times New Roman" w:eastAsia="Times New Roman" w:hAnsi="Times New Roman"/>
          <w:sz w:val="12"/>
          <w:szCs w:val="12"/>
          <w:color w:val="auto"/>
        </w:rPr>
        <w:t>”), owns 6,800,000 CGC Class B Shares;</w:t>
      </w:r>
    </w:p>
    <w:p>
      <w:pPr>
        <w:spacing w:after="0" w:line="150"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color w:val="auto"/>
        </w:rPr>
        <w:t xml:space="preserve">WHEREAS, concurrently with the execution of this Agreement, the Sponsor and the Company are entering into the sponsor support agreement, in substantially the form attached hereto as </w:t>
      </w:r>
      <w:r>
        <w:rPr>
          <w:rFonts w:ascii="Times New Roman" w:cs="Times New Roman" w:eastAsia="Times New Roman" w:hAnsi="Times New Roman"/>
          <w:sz w:val="12"/>
          <w:szCs w:val="12"/>
          <w:b w:val="1"/>
          <w:bCs w:val="1"/>
          <w:color w:val="auto"/>
        </w:rPr>
        <w:t>Exhibit A</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b w:val="1"/>
          <w:bCs w:val="1"/>
          <w:i w:val="1"/>
          <w:iCs w:val="1"/>
          <w:color w:val="auto"/>
        </w:rPr>
        <w:t>Sponsor Support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Agreement</w:t>
      </w:r>
      <w:r>
        <w:rPr>
          <w:rFonts w:ascii="Times New Roman" w:cs="Times New Roman" w:eastAsia="Times New Roman" w:hAnsi="Times New Roman"/>
          <w:sz w:val="12"/>
          <w:szCs w:val="12"/>
          <w:color w:val="auto"/>
        </w:rPr>
        <w:t>”), pursuant to which, among other things, the Sponsor shall agree to (a) vote in favor of this Agreement and the transactions contemplated hereby (including the Merger) and (b) waive any adjustment to the conversion ratio</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set forth in the Governing Documents of CGC, any other anti-dilution or similar protections with respect to the CGC Class B Shares (whether resulting from the transactions contemplated by the Investor Stock Purchase Agreements or otherwise);</w:t>
      </w:r>
    </w:p>
    <w:p>
      <w:pPr>
        <w:spacing w:after="0" w:line="117"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WHEREAS, at the Closing, CGC, Sponsor, Cantor Fitzgerald &amp; Co. (“</w:t>
      </w:r>
      <w:r>
        <w:rPr>
          <w:rFonts w:ascii="Times New Roman" w:cs="Times New Roman" w:eastAsia="Times New Roman" w:hAnsi="Times New Roman"/>
          <w:sz w:val="12"/>
          <w:szCs w:val="12"/>
          <w:b w:val="1"/>
          <w:bCs w:val="1"/>
          <w:color w:val="auto"/>
        </w:rPr>
        <w:t>Cantor</w:t>
      </w:r>
      <w:r>
        <w:rPr>
          <w:rFonts w:ascii="Times New Roman" w:cs="Times New Roman" w:eastAsia="Times New Roman" w:hAnsi="Times New Roman"/>
          <w:sz w:val="12"/>
          <w:szCs w:val="12"/>
          <w:color w:val="auto"/>
        </w:rPr>
        <w:t>”) and the Company will enter into a private warrant exchange agreement (the “</w:t>
      </w:r>
      <w:r>
        <w:rPr>
          <w:rFonts w:ascii="Times New Roman" w:cs="Times New Roman" w:eastAsia="Times New Roman" w:hAnsi="Times New Roman"/>
          <w:sz w:val="12"/>
          <w:szCs w:val="12"/>
          <w:b w:val="1"/>
          <w:bCs w:val="1"/>
          <w:i w:val="1"/>
          <w:iCs w:val="1"/>
          <w:color w:val="auto"/>
        </w:rPr>
        <w:t>CGC Private Warrant Exchange Agreement</w:t>
      </w:r>
      <w:r>
        <w:rPr>
          <w:rFonts w:ascii="Times New Roman" w:cs="Times New Roman" w:eastAsia="Times New Roman" w:hAnsi="Times New Roman"/>
          <w:sz w:val="12"/>
          <w:szCs w:val="12"/>
          <w:color w:val="auto"/>
        </w:rPr>
        <w:t>”), in a form to be mutually agreed by the Parties, pursuant to which, among other things, the holders of the CGC Private Warrants shall exchange such warrants for shares of CGC Series A Common Stock at the same ratio as applied to the exchange of the CGC Public Warrants for shares of CGC Series A Common Stock (the “</w:t>
      </w:r>
      <w:r>
        <w:rPr>
          <w:rFonts w:ascii="Times New Roman" w:cs="Times New Roman" w:eastAsia="Times New Roman" w:hAnsi="Times New Roman"/>
          <w:sz w:val="12"/>
          <w:szCs w:val="12"/>
          <w:b w:val="1"/>
          <w:bCs w:val="1"/>
          <w:i w:val="1"/>
          <w:iCs w:val="1"/>
          <w:color w:val="auto"/>
        </w:rPr>
        <w:t>CGC Private Warrant Exchange</w:t>
      </w:r>
      <w:r>
        <w:rPr>
          <w:rFonts w:ascii="Times New Roman" w:cs="Times New Roman" w:eastAsia="Times New Roman" w:hAnsi="Times New Roman"/>
          <w:sz w:val="12"/>
          <w:szCs w:val="12"/>
          <w:color w:val="auto"/>
        </w:rPr>
        <w:t>”);</w:t>
      </w:r>
    </w:p>
    <w:p>
      <w:pPr>
        <w:spacing w:after="0" w:line="11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WHEREAS, at least one day prior to the Closing Date, prior to the time at which the Effective Time occurs, CGC shall transfer by way of continuation from the Cayman Islands to Delaware and domesticate as a Delaware corporation in accordance with Section 388 of the General Corporation Law of the State of Delaware (the “</w:t>
      </w:r>
      <w:r>
        <w:rPr>
          <w:rFonts w:ascii="Times New Roman" w:cs="Times New Roman" w:eastAsia="Times New Roman" w:hAnsi="Times New Roman"/>
          <w:sz w:val="12"/>
          <w:szCs w:val="12"/>
          <w:b w:val="1"/>
          <w:bCs w:val="1"/>
          <w:i w:val="1"/>
          <w:iCs w:val="1"/>
          <w:color w:val="auto"/>
        </w:rPr>
        <w:t>DGCL</w:t>
      </w:r>
      <w:r>
        <w:rPr>
          <w:rFonts w:ascii="Times New Roman" w:cs="Times New Roman" w:eastAsia="Times New Roman" w:hAnsi="Times New Roman"/>
          <w:sz w:val="12"/>
          <w:szCs w:val="12"/>
          <w:color w:val="auto"/>
        </w:rPr>
        <w:t>”) and Part Twelve of the Cayman Islands Companies Act (2025 Revision) (the “</w:t>
      </w:r>
      <w:r>
        <w:rPr>
          <w:rFonts w:ascii="Times New Roman" w:cs="Times New Roman" w:eastAsia="Times New Roman" w:hAnsi="Times New Roman"/>
          <w:sz w:val="12"/>
          <w:szCs w:val="12"/>
          <w:b w:val="1"/>
          <w:bCs w:val="1"/>
          <w:i w:val="1"/>
          <w:iCs w:val="1"/>
          <w:color w:val="auto"/>
        </w:rPr>
        <w:t>Domestication</w:t>
      </w:r>
      <w:r>
        <w:rPr>
          <w:rFonts w:ascii="Times New Roman" w:cs="Times New Roman" w:eastAsia="Times New Roman" w:hAnsi="Times New Roman"/>
          <w:sz w:val="12"/>
          <w:szCs w:val="12"/>
          <w:color w:val="auto"/>
        </w:rPr>
        <w:t>”), on the terms and subject to the conditions set forth in this Agreement;</w:t>
      </w:r>
    </w:p>
    <w:p>
      <w:pPr>
        <w:spacing w:after="0" w:line="115" w:lineRule="exact"/>
        <w:rPr>
          <w:sz w:val="20"/>
          <w:szCs w:val="20"/>
          <w:color w:val="auto"/>
        </w:rPr>
      </w:pPr>
    </w:p>
    <w:p>
      <w:pPr>
        <w:jc w:val="both"/>
        <w:ind w:right="20" w:firstLine="432"/>
        <w:spacing w:after="0" w:line="268" w:lineRule="auto"/>
        <w:rPr>
          <w:sz w:val="20"/>
          <w:szCs w:val="20"/>
          <w:color w:val="auto"/>
        </w:rPr>
      </w:pPr>
      <w:r>
        <w:rPr>
          <w:rFonts w:ascii="Times New Roman" w:cs="Times New Roman" w:eastAsia="Times New Roman" w:hAnsi="Times New Roman"/>
          <w:sz w:val="12"/>
          <w:szCs w:val="12"/>
          <w:color w:val="auto"/>
        </w:rPr>
        <w:t>WHEREAS, on the Closing Date, following the Domestication, (a) Merger Sub will merge with and into the Company (the “</w:t>
      </w:r>
      <w:r>
        <w:rPr>
          <w:rFonts w:ascii="Times New Roman" w:cs="Times New Roman" w:eastAsia="Times New Roman" w:hAnsi="Times New Roman"/>
          <w:sz w:val="12"/>
          <w:szCs w:val="12"/>
          <w:b w:val="1"/>
          <w:bCs w:val="1"/>
          <w:i w:val="1"/>
          <w:iCs w:val="1"/>
          <w:color w:val="auto"/>
        </w:rPr>
        <w:t>Merger</w:t>
      </w:r>
      <w:r>
        <w:rPr>
          <w:rFonts w:ascii="Times New Roman" w:cs="Times New Roman" w:eastAsia="Times New Roman" w:hAnsi="Times New Roman"/>
          <w:sz w:val="12"/>
          <w:szCs w:val="12"/>
          <w:color w:val="auto"/>
        </w:rPr>
        <w:t>”), with the Company as the surviving company in the Merger and, after giving effect to the Merger, the Company will be a wholly-owned Subsidiary of CGC, and (b) each Company Share will be automatically converted as of the Effective Time into the right to receive a portion of the Transaction Share Consideration, in each case, on the terms and subject to the conditions set forth in this Agreement;</w:t>
      </w:r>
    </w:p>
    <w:p>
      <w:pPr>
        <w:spacing w:after="0" w:line="114"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color w:val="auto"/>
        </w:rPr>
        <w:t>WHEREAS, concurrently with the execution of this Agreement, CGC, the Company and certain investors (the “</w:t>
      </w:r>
      <w:r>
        <w:rPr>
          <w:rFonts w:ascii="Times New Roman" w:cs="Times New Roman" w:eastAsia="Times New Roman" w:hAnsi="Times New Roman"/>
          <w:sz w:val="12"/>
          <w:szCs w:val="12"/>
          <w:b w:val="1"/>
          <w:bCs w:val="1"/>
          <w:i w:val="1"/>
          <w:iCs w:val="1"/>
          <w:color w:val="auto"/>
        </w:rPr>
        <w:t>PIPE Investors</w:t>
      </w:r>
      <w:r>
        <w:rPr>
          <w:rFonts w:ascii="Times New Roman" w:cs="Times New Roman" w:eastAsia="Times New Roman" w:hAnsi="Times New Roman"/>
          <w:sz w:val="12"/>
          <w:szCs w:val="12"/>
          <w:color w:val="auto"/>
        </w:rPr>
        <w:t xml:space="preserve">”) are each entering into a stock purchase agreement with CGC substantially in the form attached hereto as </w:t>
      </w:r>
      <w:r>
        <w:rPr>
          <w:rFonts w:ascii="Times New Roman" w:cs="Times New Roman" w:eastAsia="Times New Roman" w:hAnsi="Times New Roman"/>
          <w:sz w:val="12"/>
          <w:szCs w:val="12"/>
          <w:b w:val="1"/>
          <w:bCs w:val="1"/>
          <w:color w:val="auto"/>
        </w:rPr>
        <w:t>Exhibit B</w:t>
      </w:r>
      <w:r>
        <w:rPr>
          <w:rFonts w:ascii="Times New Roman" w:cs="Times New Roman" w:eastAsia="Times New Roman" w:hAnsi="Times New Roman"/>
          <w:sz w:val="12"/>
          <w:szCs w:val="12"/>
          <w:color w:val="auto"/>
        </w:rPr>
        <w:t xml:space="preserve"> (collectively, the “</w:t>
      </w:r>
      <w:r>
        <w:rPr>
          <w:rFonts w:ascii="Times New Roman" w:cs="Times New Roman" w:eastAsia="Times New Roman" w:hAnsi="Times New Roman"/>
          <w:sz w:val="12"/>
          <w:szCs w:val="12"/>
          <w:b w:val="1"/>
          <w:bCs w:val="1"/>
          <w:i w:val="1"/>
          <w:iCs w:val="1"/>
          <w:color w:val="auto"/>
        </w:rPr>
        <w:t>Investor Stock Purchase Agreements</w:t>
      </w:r>
      <w:r>
        <w:rPr>
          <w:rFonts w:ascii="Times New Roman" w:cs="Times New Roman" w:eastAsia="Times New Roman" w:hAnsi="Times New Roman"/>
          <w:sz w:val="12"/>
          <w:szCs w:val="12"/>
          <w:color w:val="auto"/>
        </w:rPr>
        <w:t>”), pursuant to which, among other things, each PIPE Investor has agreed to subscribe for and purchase on the Closing Date immediately prior to or substantially concurrently with the Closing, and CGC has agreed to issue and sell to each such PIPE Investor on the Closing Date immediately following the Closing, the number of CGC Shares set forth in the applicable Investor Stock Purchase Agreement in exchange for the purchase price set forth therein (the aggregate purchase price under all Investor Stock Purchase Agreements, collectively, the “</w:t>
      </w:r>
      <w:r>
        <w:rPr>
          <w:rFonts w:ascii="Times New Roman" w:cs="Times New Roman" w:eastAsia="Times New Roman" w:hAnsi="Times New Roman"/>
          <w:sz w:val="12"/>
          <w:szCs w:val="12"/>
          <w:b w:val="1"/>
          <w:bCs w:val="1"/>
          <w:i w:val="1"/>
          <w:iCs w:val="1"/>
          <w:color w:val="auto"/>
        </w:rPr>
        <w:t>PIPE Financing Amount</w:t>
      </w:r>
      <w:r>
        <w:rPr>
          <w:rFonts w:ascii="Times New Roman" w:cs="Times New Roman" w:eastAsia="Times New Roman" w:hAnsi="Times New Roman"/>
          <w:sz w:val="12"/>
          <w:szCs w:val="12"/>
          <w:color w:val="auto"/>
        </w:rPr>
        <w:t>”, and the equity financing under all Investor Stock Purchase Agreements, collectively, hereinafter referred to as, the “</w:t>
      </w:r>
      <w:r>
        <w:rPr>
          <w:rFonts w:ascii="Times New Roman" w:cs="Times New Roman" w:eastAsia="Times New Roman" w:hAnsi="Times New Roman"/>
          <w:sz w:val="12"/>
          <w:szCs w:val="12"/>
          <w:b w:val="1"/>
          <w:bCs w:val="1"/>
          <w:i w:val="1"/>
          <w:iCs w:val="1"/>
          <w:color w:val="auto"/>
        </w:rPr>
        <w:t>PIPE Financing</w:t>
      </w:r>
      <w:r>
        <w:rPr>
          <w:rFonts w:ascii="Times New Roman" w:cs="Times New Roman" w:eastAsia="Times New Roman" w:hAnsi="Times New Roman"/>
          <w:sz w:val="12"/>
          <w:szCs w:val="12"/>
          <w:color w:val="auto"/>
        </w:rPr>
        <w:t>”), on the terms and subject to the conditions set forth in the applicable Investor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279400</wp:posOffset>
            </wp:positionV>
            <wp:extent cx="717804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6" w:name="page17"/>
    <w:bookmarkEnd w:id="16"/>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WHEREAS, at the Closing, the Company or CGC may enter into employment agreements, in form and substance agreed to by the Company, CGC and the Key Persons (the “</w:t>
      </w:r>
      <w:r>
        <w:rPr>
          <w:rFonts w:ascii="Times New Roman" w:cs="Times New Roman" w:eastAsia="Times New Roman" w:hAnsi="Times New Roman"/>
          <w:sz w:val="12"/>
          <w:szCs w:val="12"/>
          <w:b w:val="1"/>
          <w:bCs w:val="1"/>
          <w:i w:val="1"/>
          <w:iCs w:val="1"/>
          <w:color w:val="auto"/>
        </w:rPr>
        <w:t>Key Person Employment Agreements</w:t>
      </w:r>
      <w:r>
        <w:rPr>
          <w:rFonts w:ascii="Times New Roman" w:cs="Times New Roman" w:eastAsia="Times New Roman" w:hAnsi="Times New Roman"/>
          <w:sz w:val="12"/>
          <w:szCs w:val="12"/>
          <w:color w:val="auto"/>
        </w:rPr>
        <w:t xml:space="preserve">”) with each of the individuals set forth on </w:t>
      </w:r>
      <w:r>
        <w:rPr>
          <w:rFonts w:ascii="Times New Roman" w:cs="Times New Roman" w:eastAsia="Times New Roman" w:hAnsi="Times New Roman"/>
          <w:sz w:val="12"/>
          <w:szCs w:val="12"/>
          <w:b w:val="1"/>
          <w:bCs w:val="1"/>
          <w:color w:val="auto"/>
        </w:rPr>
        <w:t>Annex B</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b w:val="1"/>
          <w:bCs w:val="1"/>
          <w:i w:val="1"/>
          <w:iCs w:val="1"/>
          <w:color w:val="auto"/>
        </w:rPr>
        <w:t>Key Persons</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WHEREAS, at the Closing, CGC, certain CGC Shareholders, Cantor, and certain stockholders of the Company will enter into an Amended and Restated Registration Rights Agreement, substantially in the form attached hereto as </w:t>
      </w:r>
      <w:r>
        <w:rPr>
          <w:rFonts w:ascii="Times New Roman" w:cs="Times New Roman" w:eastAsia="Times New Roman" w:hAnsi="Times New Roman"/>
          <w:sz w:val="12"/>
          <w:szCs w:val="12"/>
          <w:b w:val="1"/>
          <w:bCs w:val="1"/>
          <w:color w:val="auto"/>
        </w:rPr>
        <w:t>Exhibit C</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b w:val="1"/>
          <w:bCs w:val="1"/>
          <w:i w:val="1"/>
          <w:iCs w:val="1"/>
          <w:color w:val="auto"/>
        </w:rPr>
        <w:t>Registration Rights Agreement</w:t>
      </w:r>
      <w:r>
        <w:rPr>
          <w:rFonts w:ascii="Times New Roman" w:cs="Times New Roman" w:eastAsia="Times New Roman" w:hAnsi="Times New Roman"/>
          <w:sz w:val="12"/>
          <w:szCs w:val="12"/>
          <w:color w:val="auto"/>
        </w:rPr>
        <w:t>”), pursuant to which, among other things, the parties will be granted certain registration rights with respect to their respective CGC Shares, in each case, on the terms and subject to the conditions therein;</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WHEREAS, the CGC Board has (a) approved this Agreement, such other Ancillary Documents to which CGC is or will be a party and the transactions contemplated hereby and thereby (including the Domestication and the Merger) and (b) recommended, among other things, approval of this Agreement and the transactions contemplated by this Agreement (including the Domestication and the Merger) by the holders of CGC Shares entitled to vote thereon;</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WHEREAS, the board of directors of Merger Sub has approved this Agreement, such other Ancillary Documents to which Merger Sub is or will be a party and the transactions contemplated hereby and thereby (including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Merger);</w:t>
      </w:r>
    </w:p>
    <w:p>
      <w:pPr>
        <w:spacing w:after="0" w:line="13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WHEREAS, CGC, as the sole stockholder of Merger Sub, will as promptly as reasonably practicable (and in any event within one Business Day) following the date of this Agreement, approve this Agreement, such other Ancillary Documents to which Merger Sub is or will be a party and the transactions contemplated hereby and thereby (including the Merger);</w:t>
      </w:r>
    </w:p>
    <w:p>
      <w:pPr>
        <w:spacing w:after="0" w:line="107"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WHEREAS, the board of directors of the Company (the “</w:t>
      </w:r>
      <w:r>
        <w:rPr>
          <w:rFonts w:ascii="Times New Roman" w:cs="Times New Roman" w:eastAsia="Times New Roman" w:hAnsi="Times New Roman"/>
          <w:sz w:val="12"/>
          <w:szCs w:val="12"/>
          <w:b w:val="1"/>
          <w:bCs w:val="1"/>
          <w:i w:val="1"/>
          <w:iCs w:val="1"/>
          <w:color w:val="auto"/>
        </w:rPr>
        <w:t>Company Board</w:t>
      </w:r>
      <w:r>
        <w:rPr>
          <w:rFonts w:ascii="Times New Roman" w:cs="Times New Roman" w:eastAsia="Times New Roman" w:hAnsi="Times New Roman"/>
          <w:sz w:val="12"/>
          <w:szCs w:val="12"/>
          <w:color w:val="auto"/>
        </w:rPr>
        <w:t>”) has (a) approved this Agreement, such other Ancillary Documents to which the Company is or will be a party and the transactions contemplated hereby and thereby (including the Merger) and (b) recommended, among other things, the approval of this Agreement, such other Ancillary Documents to which the Company is or will be a party and the transactions contemplated hereby and thereby (including the Merger) by the holders of Company Shares entitled to vote thereon;</w:t>
      </w:r>
    </w:p>
    <w:p>
      <w:pPr>
        <w:spacing w:after="0" w:line="114"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color w:val="auto"/>
        </w:rPr>
        <w:t xml:space="preserve">WHEREAS, each Company Stockholder listed on </w:t>
      </w:r>
      <w:r>
        <w:rPr>
          <w:rFonts w:ascii="Times New Roman" w:cs="Times New Roman" w:eastAsia="Times New Roman" w:hAnsi="Times New Roman"/>
          <w:sz w:val="12"/>
          <w:szCs w:val="12"/>
          <w:b w:val="1"/>
          <w:bCs w:val="1"/>
          <w:color w:val="auto"/>
        </w:rPr>
        <w:t>Annex A</w:t>
      </w:r>
      <w:r>
        <w:rPr>
          <w:rFonts w:ascii="Times New Roman" w:cs="Times New Roman" w:eastAsia="Times New Roman" w:hAnsi="Times New Roman"/>
          <w:sz w:val="12"/>
          <w:szCs w:val="12"/>
          <w:color w:val="auto"/>
        </w:rPr>
        <w:t xml:space="preserve"> attached hereto (collectively, the “</w:t>
      </w:r>
      <w:r>
        <w:rPr>
          <w:rFonts w:ascii="Times New Roman" w:cs="Times New Roman" w:eastAsia="Times New Roman" w:hAnsi="Times New Roman"/>
          <w:sz w:val="12"/>
          <w:szCs w:val="12"/>
          <w:b w:val="1"/>
          <w:bCs w:val="1"/>
          <w:i w:val="1"/>
          <w:iCs w:val="1"/>
          <w:color w:val="auto"/>
        </w:rPr>
        <w:t>Key Supporting Company Stockholders</w:t>
      </w:r>
      <w:r>
        <w:rPr>
          <w:rFonts w:ascii="Times New Roman" w:cs="Times New Roman" w:eastAsia="Times New Roman" w:hAnsi="Times New Roman"/>
          <w:sz w:val="12"/>
          <w:szCs w:val="12"/>
          <w:color w:val="auto"/>
        </w:rPr>
        <w:t xml:space="preserve">”) will duly execute and deliver to CGC a stockholder support agreement, substantially in the form attached hereto as </w:t>
      </w:r>
      <w:r>
        <w:rPr>
          <w:rFonts w:ascii="Times New Roman" w:cs="Times New Roman" w:eastAsia="Times New Roman" w:hAnsi="Times New Roman"/>
          <w:sz w:val="12"/>
          <w:szCs w:val="12"/>
          <w:b w:val="1"/>
          <w:bCs w:val="1"/>
          <w:color w:val="auto"/>
        </w:rPr>
        <w:t>Exhibit D</w:t>
      </w:r>
      <w:r>
        <w:rPr>
          <w:rFonts w:ascii="Times New Roman" w:cs="Times New Roman" w:eastAsia="Times New Roman" w:hAnsi="Times New Roman"/>
          <w:sz w:val="12"/>
          <w:szCs w:val="12"/>
          <w:color w:val="auto"/>
        </w:rPr>
        <w:t xml:space="preserve"> (collectively, the “</w:t>
      </w:r>
      <w:r>
        <w:rPr>
          <w:rFonts w:ascii="Times New Roman" w:cs="Times New Roman" w:eastAsia="Times New Roman" w:hAnsi="Times New Roman"/>
          <w:sz w:val="12"/>
          <w:szCs w:val="12"/>
          <w:b w:val="1"/>
          <w:bCs w:val="1"/>
          <w:i w:val="1"/>
          <w:iCs w:val="1"/>
          <w:color w:val="auto"/>
        </w:rPr>
        <w:t>Stockholder Support Agreements</w:t>
      </w:r>
      <w:r>
        <w:rPr>
          <w:rFonts w:ascii="Times New Roman" w:cs="Times New Roman" w:eastAsia="Times New Roman" w:hAnsi="Times New Roman"/>
          <w:sz w:val="12"/>
          <w:szCs w:val="12"/>
          <w:color w:val="auto"/>
        </w:rPr>
        <w:t>”), pursuant to which, among other things, each such Key Supporting Company Stockholder will agree to, among other things, (a) support and vote in favor of this Agreement, such other Ancillary Documents to which the Company is or will be a party and the transactions contemplated hereby and thereby (including the Merger and, if applicable, the Company Preferred Share Conversion), (b) take, or cause to be taken, any actions necessary or advisable to cause certain agreements to be terminated effective as of the Closing, and (c) a release of claims against the Company, CGC and Merger Sub; and</w:t>
      </w:r>
    </w:p>
    <w:p>
      <w:pPr>
        <w:spacing w:after="0" w:line="117"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color w:val="auto"/>
        </w:rPr>
        <w:t>WHEREAS, each of the Parties intends for U.S. federal income tax purposes that (a) this Agreement constitute a “</w:t>
      </w:r>
      <w:r>
        <w:rPr>
          <w:rFonts w:ascii="Times New Roman" w:cs="Times New Roman" w:eastAsia="Times New Roman" w:hAnsi="Times New Roman"/>
          <w:sz w:val="12"/>
          <w:szCs w:val="12"/>
          <w:b w:val="1"/>
          <w:bCs w:val="1"/>
          <w:i w:val="1"/>
          <w:iCs w:val="1"/>
          <w:color w:val="auto"/>
        </w:rPr>
        <w:t>plan of reorganization</w:t>
      </w:r>
      <w:r>
        <w:rPr>
          <w:rFonts w:ascii="Times New Roman" w:cs="Times New Roman" w:eastAsia="Times New Roman" w:hAnsi="Times New Roman"/>
          <w:sz w:val="12"/>
          <w:szCs w:val="12"/>
          <w:color w:val="auto"/>
        </w:rPr>
        <w:t>” within the meaning of Section 368 of the Code and Treasury Regulations promulgated thereunder, (b) the Domestication constitute an integrated transaction treated as a “</w:t>
      </w:r>
      <w:r>
        <w:rPr>
          <w:rFonts w:ascii="Times New Roman" w:cs="Times New Roman" w:eastAsia="Times New Roman" w:hAnsi="Times New Roman"/>
          <w:sz w:val="12"/>
          <w:szCs w:val="12"/>
          <w:b w:val="1"/>
          <w:bCs w:val="1"/>
          <w:i w:val="1"/>
          <w:iCs w:val="1"/>
          <w:color w:val="auto"/>
        </w:rPr>
        <w:t>reorganization</w:t>
      </w:r>
      <w:r>
        <w:rPr>
          <w:rFonts w:ascii="Times New Roman" w:cs="Times New Roman" w:eastAsia="Times New Roman" w:hAnsi="Times New Roman"/>
          <w:sz w:val="12"/>
          <w:szCs w:val="12"/>
          <w:color w:val="auto"/>
        </w:rPr>
        <w:t>” within the meaning of Section 368(a)(1)(F) of the Code and (c) the Merger be treated as (i) a transaction that qualifies as a “</w:t>
      </w:r>
      <w:r>
        <w:rPr>
          <w:rFonts w:ascii="Times New Roman" w:cs="Times New Roman" w:eastAsia="Times New Roman" w:hAnsi="Times New Roman"/>
          <w:sz w:val="12"/>
          <w:szCs w:val="12"/>
          <w:b w:val="1"/>
          <w:bCs w:val="1"/>
          <w:i w:val="1"/>
          <w:iCs w:val="1"/>
          <w:color w:val="auto"/>
        </w:rPr>
        <w:t>reorganization</w:t>
      </w:r>
      <w:r>
        <w:rPr>
          <w:rFonts w:ascii="Times New Roman" w:cs="Times New Roman" w:eastAsia="Times New Roman" w:hAnsi="Times New Roman"/>
          <w:sz w:val="12"/>
          <w:szCs w:val="12"/>
          <w:color w:val="auto"/>
        </w:rPr>
        <w:t>” within the meaning of Section 368 of the Code and/or (ii), taken together with the PIPE Financing, an integrated transaction qualifying under Section 351(a) of the Code (clauses (a)-(c), the “</w:t>
      </w:r>
      <w:r>
        <w:rPr>
          <w:rFonts w:ascii="Times New Roman" w:cs="Times New Roman" w:eastAsia="Times New Roman" w:hAnsi="Times New Roman"/>
          <w:sz w:val="12"/>
          <w:szCs w:val="12"/>
          <w:b w:val="1"/>
          <w:bCs w:val="1"/>
          <w:i w:val="1"/>
          <w:iCs w:val="1"/>
          <w:color w:val="auto"/>
        </w:rPr>
        <w:t>Intended Tax</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Treatment</w:t>
      </w:r>
      <w:r>
        <w:rPr>
          <w:rFonts w:ascii="Times New Roman" w:cs="Times New Roman" w:eastAsia="Times New Roman" w:hAnsi="Times New Roman"/>
          <w:sz w:val="12"/>
          <w:szCs w:val="12"/>
          <w:color w:val="auto"/>
        </w:rPr>
        <w:t>”).</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7" w:name="page18"/>
    <w:bookmarkEnd w:id="17"/>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NOW, THEREFORE, in consideration of the premises and the mutual promises set forth herein and for other good and valuable consideration, the receipt and sufficiency of which are hereby acknowledged, the Parties, each intending to be legally bound, hereby agree as follows:</w:t>
      </w:r>
    </w:p>
    <w:p>
      <w:pPr>
        <w:spacing w:after="0" w:line="10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ARTICLE 1</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CERTAIN DEFINITIONS</w:t>
      </w:r>
    </w:p>
    <w:p>
      <w:pPr>
        <w:spacing w:after="0" w:line="13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color w:val="auto"/>
        </w:rPr>
        <w:t>Section 1.1        Definitions</w:t>
      </w:r>
      <w:r>
        <w:rPr>
          <w:rFonts w:ascii="Times New Roman" w:cs="Times New Roman" w:eastAsia="Times New Roman" w:hAnsi="Times New Roman"/>
          <w:sz w:val="12"/>
          <w:szCs w:val="12"/>
          <w:color w:val="auto"/>
        </w:rPr>
        <w:t>. As used in this Agreement, the following terms have the respective meanings set forth below.</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Additional CGC SEC Reports</w:t>
      </w:r>
      <w:r>
        <w:rPr>
          <w:rFonts w:ascii="Times New Roman" w:cs="Times New Roman" w:eastAsia="Times New Roman" w:hAnsi="Times New Roman"/>
          <w:sz w:val="12"/>
          <w:szCs w:val="12"/>
          <w:color w:val="auto"/>
        </w:rPr>
        <w:t>” has the meaning set forth in Section 4.7.</w:t>
      </w:r>
    </w:p>
    <w:p>
      <w:pPr>
        <w:spacing w:after="0" w:line="150" w:lineRule="exact"/>
        <w:rPr>
          <w:sz w:val="20"/>
          <w:szCs w:val="20"/>
          <w:color w:val="auto"/>
        </w:rPr>
      </w:pPr>
    </w:p>
    <w:p>
      <w:pPr>
        <w:jc w:val="both"/>
        <w:ind w:left="8"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Affiliate</w:t>
      </w:r>
      <w:r>
        <w:rPr>
          <w:rFonts w:ascii="Times New Roman" w:cs="Times New Roman" w:eastAsia="Times New Roman" w:hAnsi="Times New Roman"/>
          <w:sz w:val="12"/>
          <w:szCs w:val="12"/>
          <w:color w:val="auto"/>
        </w:rPr>
        <w:t>” means, with respect to any Person, any other Person who directly or indirectly, through one or more intermediaries, controls, is controlled by, or is under common control with, such Person. The term “control” means the possession, directly or indirectly, of the power to direct or cause the direction of the management and policies of a Person, whether through the ownership of voting securities, by contract or otherwise, and the terms “controlled” and “controlling” have meanings correlative thereto.</w:t>
      </w:r>
    </w:p>
    <w:p>
      <w:pPr>
        <w:spacing w:after="0" w:line="11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Agreement</w:t>
      </w:r>
      <w:r>
        <w:rPr>
          <w:rFonts w:ascii="Times New Roman" w:cs="Times New Roman" w:eastAsia="Times New Roman" w:hAnsi="Times New Roman"/>
          <w:sz w:val="12"/>
          <w:szCs w:val="12"/>
          <w:color w:val="auto"/>
        </w:rPr>
        <w:t>” has the meaning set forth in the introductory paragraph to this Agreement.</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Allocation Schedule</w:t>
      </w:r>
      <w:r>
        <w:rPr>
          <w:rFonts w:ascii="Times New Roman" w:cs="Times New Roman" w:eastAsia="Times New Roman" w:hAnsi="Times New Roman"/>
          <w:sz w:val="12"/>
          <w:szCs w:val="12"/>
          <w:color w:val="auto"/>
        </w:rPr>
        <w:t>” has the meaning set forth in Section 2.3.</w:t>
      </w:r>
    </w:p>
    <w:p>
      <w:pPr>
        <w:spacing w:after="0" w:line="150" w:lineRule="exact"/>
        <w:rPr>
          <w:sz w:val="20"/>
          <w:szCs w:val="20"/>
          <w:color w:val="auto"/>
        </w:rPr>
      </w:pPr>
    </w:p>
    <w:p>
      <w:pPr>
        <w:jc w:val="both"/>
        <w:ind w:left="8"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Ancillary Documents</w:t>
      </w:r>
      <w:r>
        <w:rPr>
          <w:rFonts w:ascii="Times New Roman" w:cs="Times New Roman" w:eastAsia="Times New Roman" w:hAnsi="Times New Roman"/>
          <w:sz w:val="12"/>
          <w:szCs w:val="12"/>
          <w:color w:val="auto"/>
        </w:rPr>
        <w:t>” means the (a) Registration Rights Agreement, (b) Sponsor Support Agreement, (c) CGC Private Warrant Exchange Agreement, (d) Investor Stock Purchase Agreements, (e) Stockholder Support Agreements, and (f) each other agreement, document, instrument and/or certificate contemplated by this Agreement executed or to be executed in connection with the transactions contemplated hereby.</w:t>
      </w:r>
    </w:p>
    <w:p>
      <w:pPr>
        <w:spacing w:after="0" w:line="103" w:lineRule="exact"/>
        <w:rPr>
          <w:sz w:val="20"/>
          <w:szCs w:val="20"/>
          <w:color w:val="auto"/>
        </w:rPr>
      </w:pPr>
    </w:p>
    <w:p>
      <w:pPr>
        <w:jc w:val="both"/>
        <w:ind w:left="8"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Anti-Corruption Laws</w:t>
      </w:r>
      <w:r>
        <w:rPr>
          <w:rFonts w:ascii="Times New Roman" w:cs="Times New Roman" w:eastAsia="Times New Roman" w:hAnsi="Times New Roman"/>
          <w:sz w:val="12"/>
          <w:szCs w:val="12"/>
          <w:color w:val="auto"/>
        </w:rPr>
        <w:t>” means, collectively, (a) the U.S. Foreign Corrupt Practices Act of 1977, as amended (FCPA), (b) the UK Bribery Act 2010 and (c) any other applicable anti-bribery or anti-corruption Laws related to combatting bribery, corruption and money laundering.</w:t>
      </w:r>
    </w:p>
    <w:p>
      <w:pPr>
        <w:spacing w:after="0" w:line="10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Business</w:t>
      </w:r>
      <w:r>
        <w:rPr>
          <w:rFonts w:ascii="Times New Roman" w:cs="Times New Roman" w:eastAsia="Times New Roman" w:hAnsi="Times New Roman"/>
          <w:sz w:val="12"/>
          <w:szCs w:val="12"/>
          <w:color w:val="auto"/>
        </w:rPr>
        <w:t>” means the business of, directly or indirectly, developing, licensing, supporting, marketing, and selling batteries, battery components, and related technologies.</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Business Combination Proposal</w:t>
      </w:r>
      <w:r>
        <w:rPr>
          <w:rFonts w:ascii="Times New Roman" w:cs="Times New Roman" w:eastAsia="Times New Roman" w:hAnsi="Times New Roman"/>
          <w:sz w:val="12"/>
          <w:szCs w:val="12"/>
          <w:color w:val="auto"/>
        </w:rPr>
        <w:t>” has the meaning set forth in Section 5.8.</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Business Day</w:t>
      </w:r>
      <w:r>
        <w:rPr>
          <w:rFonts w:ascii="Times New Roman" w:cs="Times New Roman" w:eastAsia="Times New Roman" w:hAnsi="Times New Roman"/>
          <w:sz w:val="12"/>
          <w:szCs w:val="12"/>
          <w:color w:val="auto"/>
        </w:rPr>
        <w:t>” means a day, other than a Saturday or Sunday, on which commercial banks in New York, New York and Boston, Massachusetts are open for the general transaction of business.</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Certificate of Merger</w:t>
      </w:r>
      <w:r>
        <w:rPr>
          <w:rFonts w:ascii="Times New Roman" w:cs="Times New Roman" w:eastAsia="Times New Roman" w:hAnsi="Times New Roman"/>
          <w:sz w:val="12"/>
          <w:szCs w:val="12"/>
          <w:color w:val="auto"/>
        </w:rPr>
        <w:t>” has the meaning set forth in Section 2.1(b)(ii).</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Certificates</w:t>
      </w:r>
      <w:r>
        <w:rPr>
          <w:rFonts w:ascii="Times New Roman" w:cs="Times New Roman" w:eastAsia="Times New Roman" w:hAnsi="Times New Roman"/>
          <w:sz w:val="12"/>
          <w:szCs w:val="12"/>
          <w:color w:val="auto"/>
        </w:rPr>
        <w:t>” has the meaning set forth in Section 2.1(b)(vii).</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CGC</w:t>
      </w:r>
      <w:r>
        <w:rPr>
          <w:rFonts w:ascii="Times New Roman" w:cs="Times New Roman" w:eastAsia="Times New Roman" w:hAnsi="Times New Roman"/>
          <w:sz w:val="12"/>
          <w:szCs w:val="12"/>
          <w:color w:val="auto"/>
        </w:rPr>
        <w:t>” has the meaning set forth in the introductory paragraph to this Agreement.</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CGC Acquisition Proposal</w:t>
      </w:r>
      <w:r>
        <w:rPr>
          <w:rFonts w:ascii="Times New Roman" w:cs="Times New Roman" w:eastAsia="Times New Roman" w:hAnsi="Times New Roman"/>
          <w:sz w:val="12"/>
          <w:szCs w:val="12"/>
          <w:color w:val="auto"/>
        </w:rPr>
        <w:t>” means (a) any transaction or series of related transactions under which CGC or any of its controlled Affiliates, directly or indirectly, (i) acquires or otherwise purchases any other Person(s),</w:t>
      </w:r>
    </w:p>
    <w:p>
      <w:pPr>
        <w:spacing w:after="0" w:line="21" w:lineRule="exact"/>
        <w:rPr>
          <w:sz w:val="20"/>
          <w:szCs w:val="20"/>
          <w:color w:val="auto"/>
        </w:rPr>
      </w:pPr>
    </w:p>
    <w:p>
      <w:pPr>
        <w:jc w:val="both"/>
        <w:ind w:left="8" w:right="20" w:hanging="8"/>
        <w:spacing w:after="0" w:line="255" w:lineRule="auto"/>
        <w:tabs>
          <w:tab w:leader="none" w:pos="186"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engages in a business combination with any other Person(s) or (iii) acquires or otherwise purchases all or a material portion of the assets or businesses of any other Person(s) (in the case of each of clause (i), (ii) and (iii), whether by merger, consolidation, recapitalization, purchase or issuance of equity securities, tender offer or otherwise) or (b) any equity, debt or similar investment in CGC or any of its controlled Affiliates. Notwithstanding the foregoing or anything to the contrary herein, none of this Agreement, the Ancillary Documents or the transactions contemplated hereby or thereby shall constitute a CGC Acquisition Proposal.</w:t>
      </w:r>
    </w:p>
    <w:p>
      <w:pPr>
        <w:spacing w:after="0" w:line="12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CGC Board</w:t>
      </w:r>
      <w:r>
        <w:rPr>
          <w:rFonts w:ascii="Times New Roman" w:cs="Times New Roman" w:eastAsia="Times New Roman" w:hAnsi="Times New Roman"/>
          <w:sz w:val="12"/>
          <w:szCs w:val="12"/>
          <w:color w:val="auto"/>
        </w:rPr>
        <w:t>” has the meaning set forth in the recitals to this Agreement.</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CGC Board Recommendation</w:t>
      </w:r>
      <w:r>
        <w:rPr>
          <w:rFonts w:ascii="Times New Roman" w:cs="Times New Roman" w:eastAsia="Times New Roman" w:hAnsi="Times New Roman"/>
          <w:sz w:val="12"/>
          <w:szCs w:val="12"/>
          <w:color w:val="auto"/>
        </w:rPr>
        <w:t>” has the meaning set forth in Section 5.8.</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CGC Bylaws</w:t>
      </w:r>
      <w:r>
        <w:rPr>
          <w:rFonts w:ascii="Times New Roman" w:cs="Times New Roman" w:eastAsia="Times New Roman" w:hAnsi="Times New Roman"/>
          <w:sz w:val="12"/>
          <w:szCs w:val="12"/>
          <w:color w:val="auto"/>
        </w:rPr>
        <w:t>” has the meaning set forth in Section 2.1(a).</w:t>
      </w:r>
    </w:p>
    <w:p>
      <w:pPr>
        <w:spacing w:after="0" w:line="29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8" w:name="page19"/>
    <w:bookmarkEnd w:id="18"/>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CGC Certificate of Incorporation</w:t>
      </w:r>
      <w:r>
        <w:rPr>
          <w:rFonts w:ascii="Times New Roman" w:cs="Times New Roman" w:eastAsia="Times New Roman" w:hAnsi="Times New Roman"/>
          <w:sz w:val="12"/>
          <w:szCs w:val="12"/>
          <w:color w:val="auto"/>
        </w:rPr>
        <w:t>” has the meaning set forth in Section 2.1(a).</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CGC Series A Common Stock</w:t>
      </w:r>
      <w:r>
        <w:rPr>
          <w:rFonts w:ascii="Times New Roman" w:cs="Times New Roman" w:eastAsia="Times New Roman" w:hAnsi="Times New Roman"/>
          <w:sz w:val="12"/>
          <w:szCs w:val="12"/>
          <w:color w:val="auto"/>
        </w:rPr>
        <w:t>” means from and after the consummation of the Domestication, the shares of Series A common stock of CGC (which shall be entitled to one (1) vote per share).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CGC Class A Shares</w:t>
      </w:r>
      <w:r>
        <w:rPr>
          <w:rFonts w:ascii="Times New Roman" w:cs="Times New Roman" w:eastAsia="Times New Roman" w:hAnsi="Times New Roman"/>
          <w:sz w:val="12"/>
          <w:szCs w:val="12"/>
          <w:color w:val="auto"/>
        </w:rPr>
        <w:t>” means CGC’s Class A ordinary shares.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CGC Series B Common Stock</w:t>
      </w:r>
      <w:r>
        <w:rPr>
          <w:rFonts w:ascii="Times New Roman" w:cs="Times New Roman" w:eastAsia="Times New Roman" w:hAnsi="Times New Roman"/>
          <w:sz w:val="12"/>
          <w:szCs w:val="12"/>
          <w:color w:val="auto"/>
        </w:rPr>
        <w:t>” means, from and after the consummation of the Domestication, the shares of Series B common stock of CGC (which shall be entitled to ten (10) votes per share).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CGC Class B Shares</w:t>
      </w:r>
      <w:r>
        <w:rPr>
          <w:rFonts w:ascii="Times New Roman" w:cs="Times New Roman" w:eastAsia="Times New Roman" w:hAnsi="Times New Roman"/>
          <w:sz w:val="12"/>
          <w:szCs w:val="12"/>
          <w:color w:val="auto"/>
        </w:rPr>
        <w:t>” means, prior to the Domestication, CGC’s Class B ordinary shares.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CGC D&amp;O Persons</w:t>
      </w:r>
      <w:r>
        <w:rPr>
          <w:rFonts w:ascii="Times New Roman" w:cs="Times New Roman" w:eastAsia="Times New Roman" w:hAnsi="Times New Roman"/>
          <w:sz w:val="12"/>
          <w:szCs w:val="12"/>
          <w:color w:val="auto"/>
        </w:rPr>
        <w:t>” has the meaning set forth in Section 5.14(a).</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CGC Disclosure Schedules</w:t>
      </w:r>
      <w:r>
        <w:rPr>
          <w:rFonts w:ascii="Times New Roman" w:cs="Times New Roman" w:eastAsia="Times New Roman" w:hAnsi="Times New Roman"/>
          <w:sz w:val="12"/>
          <w:szCs w:val="12"/>
          <w:color w:val="auto"/>
        </w:rPr>
        <w:t>” means the disclosure schedules to this Agreement delivered to the Company by CGC on the date of this Agreement.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CGC Employee Stock Purchase Plan</w:t>
      </w:r>
      <w:r>
        <w:rPr>
          <w:rFonts w:ascii="Times New Roman" w:cs="Times New Roman" w:eastAsia="Times New Roman" w:hAnsi="Times New Roman"/>
          <w:sz w:val="12"/>
          <w:szCs w:val="12"/>
          <w:color w:val="auto"/>
        </w:rPr>
        <w:t>” has the meaning set forth in Section 5.18.</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CGC Equity Incentive Plan</w:t>
      </w:r>
      <w:r>
        <w:rPr>
          <w:rFonts w:ascii="Times New Roman" w:cs="Times New Roman" w:eastAsia="Times New Roman" w:hAnsi="Times New Roman"/>
          <w:sz w:val="12"/>
          <w:szCs w:val="12"/>
          <w:color w:val="auto"/>
        </w:rPr>
        <w:t>” has the meaning set forth in Section 5.18.</w:t>
      </w:r>
    </w:p>
    <w:p>
      <w:pPr>
        <w:spacing w:after="0" w:line="150"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CGC Expenses</w:t>
      </w:r>
      <w:r>
        <w:rPr>
          <w:rFonts w:ascii="Times New Roman" w:cs="Times New Roman" w:eastAsia="Times New Roman" w:hAnsi="Times New Roman"/>
          <w:sz w:val="12"/>
          <w:szCs w:val="12"/>
          <w:color w:val="auto"/>
        </w:rPr>
        <w:t>” means, as of any determination time, the aggregate amount of fees, expenses, commissions or other amounts incurred by or on behalf of, or otherwise payable by, whether or not due, a CGC Party in connection with the negotiation, preparation or execution of this Agreement or any Ancillary Documents, the performance of its covenants or agreements in this Agreement or any Ancillary Document or the consummation of the transactions contemplated hereby or thereby, including the fees and expenses of outside legal counsel, accountants, advisors, brokers, investment bankers, consultants, or other agents or service providers of any CGC Party, and any other fees, expenses, commissions or other amounts that are expressly allocated to any CGC Party pursuant to this Agreement or any Ancillary Document, including any working capital loans or other liabilities or obligations of a CGC Party to Sponsor. Notwithstanding the foregoing or anything to the contrary herein, CGC Expenses shall not include any Company Expenses.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CGC Financial Statements</w:t>
      </w:r>
      <w:r>
        <w:rPr>
          <w:rFonts w:ascii="Times New Roman" w:cs="Times New Roman" w:eastAsia="Times New Roman" w:hAnsi="Times New Roman"/>
          <w:sz w:val="12"/>
          <w:szCs w:val="12"/>
          <w:color w:val="auto"/>
        </w:rPr>
        <w:t>” means all of the financial statements of CGC included in the CGC SEC Reports.</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CGC Fundamental Representations</w:t>
      </w:r>
      <w:r>
        <w:rPr>
          <w:rFonts w:ascii="Times New Roman" w:cs="Times New Roman" w:eastAsia="Times New Roman" w:hAnsi="Times New Roman"/>
          <w:sz w:val="12"/>
          <w:szCs w:val="12"/>
          <w:color w:val="auto"/>
        </w:rPr>
        <w:t>” means the representations and warranties set forth in Section 4.1 (Organization and Qualification), Section 4.2 (Authority), Section 4.4 (Brokers) and Section 4.6(a) and Section 4.6(b) (Capitalization of the CGC Parties).</w:t>
      </w:r>
    </w:p>
    <w:p>
      <w:pPr>
        <w:spacing w:after="0" w:line="103"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CGC Material Adverse Effect</w:t>
      </w:r>
      <w:r>
        <w:rPr>
          <w:rFonts w:ascii="Times New Roman" w:cs="Times New Roman" w:eastAsia="Times New Roman" w:hAnsi="Times New Roman"/>
          <w:sz w:val="12"/>
          <w:szCs w:val="12"/>
          <w:color w:val="auto"/>
        </w:rPr>
        <w:t xml:space="preserve">” means any change, event, effect or occurrence that, individually or in the aggregate with any other change, event, effect or occurrence, has had or would reasonably be expected to have a material adverse effect on the ability of any CGC Party to consummate the Merger in accordance with the terms of this Agreement;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xml:space="preserve">, that none of the following shall be taken into account in determining whether a CGC Material Adverse Effect has occurred or is reasonably likely to occur: any adverse change, event, effect or occurrence arising after the date of this Agreement from or related to (i) general business or economic conditions in or affecting the United States, or changes therein, or the global economy generally, (ii) any national or international political or social conditions in the United States or any other country, including the engagement by the United States or any other country in hostilities, whether or not pursuant to the declaration of a national emergency or war, or the occurrence in any place of any military or terrorist attack, sabotage or cyberterrorism, (iii) changes in conditions of the financial, banking, capital or securities markets generally in the United States or any other country or region in the world, or changes therein, including changes in interest rates in the United States or any other country and changes in exchange rates for the currencies of any countries, (iv) changes in any applicable Laws, (v) any change, event, effect or occurrence that is generally applicable to the industries or markets in which any CGC Party operates, or (vi) the execution or public announcement of this Agreement or the pendency or consummation of the transactions contemplated by this Agreement, including the impact thereof on the relationships, contractual or otherwise, of any CGC Party with investors, contractors, lenders, suppliers, vendors, partners, licensors, licensees, payors or other third parties related thereto (provided that the exception in this clause (vi) shall not apply to the representations and warranties set forth in Section 4.3(b) to the extent that its purpose is to address the consequences resulting from the public announcement or pendency or consummation of the transactions contemplated by this Agreement or the condition set forth in Section 6.2(a) to the extent it relates to such representations and warranties);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any change, event, effect or occurrence resulting from a matter described in any of the foregoing clauses (i) through (v) may be taken into account in determining whether a CGC Material Adverse Effect has occurred or is reasonably likely to occur to the extent such change, event, effect or occurrence has had or would reasonably be expected to have a disproportionate adverse effect on CGC relative to other similarly situated SPACs operating in the industries or markets in which CGC operates.</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9" w:name="page20"/>
    <w:bookmarkEnd w:id="19"/>
    <w:p>
      <w:pPr>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CGC Non-Party Affiliates</w:t>
      </w:r>
      <w:r>
        <w:rPr>
          <w:rFonts w:ascii="Times New Roman" w:cs="Times New Roman" w:eastAsia="Times New Roman" w:hAnsi="Times New Roman"/>
          <w:sz w:val="12"/>
          <w:szCs w:val="12"/>
          <w:color w:val="auto"/>
        </w:rPr>
        <w:t>” means, collectively, each CGC Related Party and each of the former, current or future Affiliates, Representatives, successors or permitted assigns of any CGC Related Party (other than, for the avoidance of doubt, any CGC Party).</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CGC Parties</w:t>
      </w:r>
      <w:r>
        <w:rPr>
          <w:rFonts w:ascii="Times New Roman" w:cs="Times New Roman" w:eastAsia="Times New Roman" w:hAnsi="Times New Roman"/>
          <w:sz w:val="12"/>
          <w:szCs w:val="12"/>
          <w:color w:val="auto"/>
        </w:rPr>
        <w:t>” means, collectively, CGC and Merger Sub (and each, individually, a “</w:t>
      </w:r>
      <w:r>
        <w:rPr>
          <w:rFonts w:ascii="Times New Roman" w:cs="Times New Roman" w:eastAsia="Times New Roman" w:hAnsi="Times New Roman"/>
          <w:sz w:val="12"/>
          <w:szCs w:val="12"/>
          <w:b w:val="1"/>
          <w:bCs w:val="1"/>
          <w:i w:val="1"/>
          <w:iCs w:val="1"/>
          <w:color w:val="auto"/>
        </w:rPr>
        <w:t>CGC Party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b w:val="1"/>
          <w:bCs w:val="1"/>
          <w:i w:val="1"/>
          <w:iCs w:val="1"/>
          <w:color w:val="auto"/>
        </w:rPr>
        <w:t>CGC Private Placement Warrants Purchase Agreements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means, the (a) Private Placement Warrants Purchase Agreement, dated as of May 1, 2025, by and between CGC and the Sponsor, and (b) Private Placement Warrants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Purchase Agreement, dated as of May 1, 2025, by and between CGC and Cantor.</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CGC Private Warrants</w:t>
      </w:r>
      <w:r>
        <w:rPr>
          <w:rFonts w:ascii="Times New Roman" w:cs="Times New Roman" w:eastAsia="Times New Roman" w:hAnsi="Times New Roman"/>
          <w:sz w:val="12"/>
          <w:szCs w:val="12"/>
          <w:color w:val="auto"/>
        </w:rPr>
        <w:t>” means the 6,800,000 CGC Warrants that were issued by CGC pursuant to the CGC Private Placement Warrants Purchase Agreements.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CGC Public Warrants</w:t>
      </w:r>
      <w:r>
        <w:rPr>
          <w:rFonts w:ascii="Times New Roman" w:cs="Times New Roman" w:eastAsia="Times New Roman" w:hAnsi="Times New Roman"/>
          <w:sz w:val="12"/>
          <w:szCs w:val="12"/>
          <w:color w:val="auto"/>
        </w:rPr>
        <w:t>” means the 13,800,000 CGC Warrants that were issued by CGC in connection with its initial public offering.</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CGC Related Parties</w:t>
      </w:r>
      <w:r>
        <w:rPr>
          <w:rFonts w:ascii="Times New Roman" w:cs="Times New Roman" w:eastAsia="Times New Roman" w:hAnsi="Times New Roman"/>
          <w:sz w:val="12"/>
          <w:szCs w:val="12"/>
          <w:color w:val="auto"/>
        </w:rPr>
        <w:t>” has the meaning set forth in Section 4.9.</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CGC Related Party Transactions</w:t>
      </w:r>
      <w:r>
        <w:rPr>
          <w:rFonts w:ascii="Times New Roman" w:cs="Times New Roman" w:eastAsia="Times New Roman" w:hAnsi="Times New Roman"/>
          <w:sz w:val="12"/>
          <w:szCs w:val="12"/>
          <w:color w:val="auto"/>
        </w:rPr>
        <w:t>” has the meaning set forth in Section 4.9.</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CGC SEC Reports</w:t>
      </w:r>
      <w:r>
        <w:rPr>
          <w:rFonts w:ascii="Times New Roman" w:cs="Times New Roman" w:eastAsia="Times New Roman" w:hAnsi="Times New Roman"/>
          <w:sz w:val="12"/>
          <w:szCs w:val="12"/>
          <w:color w:val="auto"/>
        </w:rPr>
        <w:t>” has the meaning set forth in Section 4.7.</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CGC Share Value</w:t>
      </w:r>
      <w:r>
        <w:rPr>
          <w:rFonts w:ascii="Times New Roman" w:cs="Times New Roman" w:eastAsia="Times New Roman" w:hAnsi="Times New Roman"/>
          <w:sz w:val="12"/>
          <w:szCs w:val="12"/>
          <w:color w:val="auto"/>
        </w:rPr>
        <w:t>” means the price per share at which CGC redeems CGC Class A Shares in connection with the transactions contemplated by this Agreement.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CGC Shareholder</w:t>
      </w:r>
      <w:r>
        <w:rPr>
          <w:rFonts w:ascii="Times New Roman" w:cs="Times New Roman" w:eastAsia="Times New Roman" w:hAnsi="Times New Roman"/>
          <w:sz w:val="12"/>
          <w:szCs w:val="12"/>
          <w:color w:val="auto"/>
        </w:rPr>
        <w:t>” means each holder of CGC Class A Shares and each holder of CGC Class B Shares, in its capacity as holder.</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CGC Shareholder Approval</w:t>
      </w:r>
      <w:r>
        <w:rPr>
          <w:rFonts w:ascii="Times New Roman" w:cs="Times New Roman" w:eastAsia="Times New Roman" w:hAnsi="Times New Roman"/>
          <w:sz w:val="12"/>
          <w:szCs w:val="12"/>
          <w:color w:val="auto"/>
        </w:rPr>
        <w:t>” means, collectively, the Required CGC Shareholder Approval and the Other CGC Shareholder Approval.</w:t>
      </w:r>
    </w:p>
    <w:p>
      <w:pPr>
        <w:spacing w:after="0" w:line="150"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CGC Shareholder Redemption</w:t>
      </w:r>
      <w:r>
        <w:rPr>
          <w:rFonts w:ascii="Times New Roman" w:cs="Times New Roman" w:eastAsia="Times New Roman" w:hAnsi="Times New Roman"/>
          <w:sz w:val="12"/>
          <w:szCs w:val="12"/>
          <w:color w:val="auto"/>
        </w:rPr>
        <w:t>” means the right of the holders of CGC Class A Shares to redeem all or a portion of their CGC Class A Shares (in connection with the transactions contemplated by this Agreement or otherwise) as set forth in Governing Documents of CGC.</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CGC Shareholders Meeting</w:t>
      </w:r>
      <w:r>
        <w:rPr>
          <w:rFonts w:ascii="Times New Roman" w:cs="Times New Roman" w:eastAsia="Times New Roman" w:hAnsi="Times New Roman"/>
          <w:sz w:val="12"/>
          <w:szCs w:val="12"/>
          <w:color w:val="auto"/>
        </w:rPr>
        <w:t>” has the meaning set forth in Section 5.8.</w:t>
      </w:r>
    </w:p>
    <w:p>
      <w:pPr>
        <w:spacing w:after="0" w:line="15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CGC Shares</w:t>
      </w:r>
      <w:r>
        <w:rPr>
          <w:rFonts w:ascii="Times New Roman" w:cs="Times New Roman" w:eastAsia="Times New Roman" w:hAnsi="Times New Roman"/>
          <w:sz w:val="12"/>
          <w:szCs w:val="12"/>
          <w:color w:val="auto"/>
        </w:rPr>
        <w:t>” means (a) prior to the consummation of the Domestication, collectively, the CGC Class A Shares and CGC Class B Shares and (b) from and after the consummation of the Domestication, collectively, the CGC Series A Common Stock and CGC Series B Common Stock, each with par value $0.00001 per share. Any reference to the CGC Shares in this Agreement or any Ancillary Document shall be deemed to refer to clause (a) and/or clause (b) of this definition, as the context so requires.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0" w:name="page21"/>
    <w:bookmarkEnd w:id="20"/>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CGC Units</w:t>
      </w:r>
      <w:r>
        <w:rPr>
          <w:rFonts w:ascii="Times New Roman" w:cs="Times New Roman" w:eastAsia="Times New Roman" w:hAnsi="Times New Roman"/>
          <w:sz w:val="12"/>
          <w:szCs w:val="12"/>
          <w:color w:val="auto"/>
        </w:rPr>
        <w:t>” means units of CGC consisting of one CGC Class A Share and one-half of one CGC Public Warrant.</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CGC Warrant Agreement</w:t>
      </w:r>
      <w:r>
        <w:rPr>
          <w:rFonts w:ascii="Times New Roman" w:cs="Times New Roman" w:eastAsia="Times New Roman" w:hAnsi="Times New Roman"/>
          <w:sz w:val="12"/>
          <w:szCs w:val="12"/>
          <w:color w:val="auto"/>
        </w:rPr>
        <w:t>” means that certain Warrant Agreement, dated as of May 1, 2025, by and between CGC and Continental, as warrant agent.</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CGC Warrants</w:t>
      </w:r>
      <w:r>
        <w:rPr>
          <w:rFonts w:ascii="Times New Roman" w:cs="Times New Roman" w:eastAsia="Times New Roman" w:hAnsi="Times New Roman"/>
          <w:sz w:val="12"/>
          <w:szCs w:val="12"/>
          <w:color w:val="auto"/>
        </w:rPr>
        <w:t>” means warrants to purchase CGC Class A Share as contemplated under the CGC Warrant Agreement, with each warrant exercisable for one CGC Class A Share at an exercise price of $11.50.</w:t>
      </w:r>
    </w:p>
    <w:p>
      <w:pPr>
        <w:spacing w:after="0" w:line="150" w:lineRule="exact"/>
        <w:rPr>
          <w:sz w:val="20"/>
          <w:szCs w:val="20"/>
          <w:color w:val="auto"/>
        </w:rPr>
      </w:pPr>
    </w:p>
    <w:p>
      <w:pPr>
        <w:jc w:val="both"/>
        <w:ind w:left="8" w:firstLine="432"/>
        <w:spacing w:after="0" w:line="25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Change of Control Payment</w:t>
      </w:r>
      <w:r>
        <w:rPr>
          <w:rFonts w:ascii="Times New Roman" w:cs="Times New Roman" w:eastAsia="Times New Roman" w:hAnsi="Times New Roman"/>
          <w:sz w:val="12"/>
          <w:szCs w:val="12"/>
          <w:color w:val="auto"/>
        </w:rPr>
        <w:t>” means (a) any success, change of control, retention, transaction bonus or other similar payment or amount to any Person solely as a result of this Agreement, any Ancillary Document or the transactions contemplated hereby or thereby or (b) any payments made or required to be made pursuant to or in connection with or upon termination of, and any fees, expenses or other payments owing or that will become owing in respect of, any Company Related Party Transaction (in the case of this clause (b), regardless of whether paid or payable prior to, at or after the Closing or in connection with or otherwise related to this Agreement or any Ancillary Document or one or more circumstances, matters, transactions or events unrelated to this Agreement or the Ancillary Documents). Notwithstanding the foregoing or anything to the contrary herein, Change of Control Payments shall not include (i) the CGC Shares to be issued in respect of or that will become subject to, as applicable, the Rollover Options and Rollover RSU Awards at the Effective Time on the terms and subject to the conditions of this Agreement,</w:t>
      </w:r>
    </w:p>
    <w:p>
      <w:pPr>
        <w:spacing w:after="0" w:line="2" w:lineRule="exact"/>
        <w:rPr>
          <w:sz w:val="20"/>
          <w:szCs w:val="20"/>
          <w:color w:val="auto"/>
        </w:rPr>
      </w:pPr>
    </w:p>
    <w:p>
      <w:pPr>
        <w:jc w:val="both"/>
        <w:ind w:left="8" w:hanging="8"/>
        <w:spacing w:after="0" w:line="253" w:lineRule="auto"/>
        <w:tabs>
          <w:tab w:leader="none" w:pos="186"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payments made in the ordinary course of business consistent with past practice and not accelerated, increased or enhanced as a result of the transactions contemplated hereby, (iii) any payments required under existing Contracts entered into prior to the date of this Agreement in the ordinary course of business and not in contemplation of the transactions contemplated hereby, (iv) any severance payments made pursuant to existing severance policies or agreements in effect prior to the date of this Agreement that are triggered solely by termination of employment without cause or resignation for good reason (and not solely by the consummation of the transactions contemplated hereby), and (v) any retention payments made to employees below the level of vice president that do not exceed $50,000 per individual in the aggregate.</w:t>
      </w:r>
    </w:p>
    <w:p>
      <w:pPr>
        <w:spacing w:after="0" w:line="12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Closing</w:t>
      </w:r>
      <w:r>
        <w:rPr>
          <w:rFonts w:ascii="Times New Roman" w:cs="Times New Roman" w:eastAsia="Times New Roman" w:hAnsi="Times New Roman"/>
          <w:sz w:val="12"/>
          <w:szCs w:val="12"/>
          <w:color w:val="auto"/>
        </w:rPr>
        <w:t>” has the meaning set forth in Section 2.2.</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Closing Company Unaudited Financial Statements</w:t>
      </w:r>
      <w:r>
        <w:rPr>
          <w:rFonts w:ascii="Times New Roman" w:cs="Times New Roman" w:eastAsia="Times New Roman" w:hAnsi="Times New Roman"/>
          <w:sz w:val="12"/>
          <w:szCs w:val="12"/>
          <w:color w:val="auto"/>
        </w:rPr>
        <w:t>” has the meaning set forth in Section 3.4(b).</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Closing Company Audited Financial Statements</w:t>
      </w:r>
      <w:r>
        <w:rPr>
          <w:rFonts w:ascii="Times New Roman" w:cs="Times New Roman" w:eastAsia="Times New Roman" w:hAnsi="Times New Roman"/>
          <w:sz w:val="12"/>
          <w:szCs w:val="12"/>
          <w:color w:val="auto"/>
        </w:rPr>
        <w:t>” has the meaning set forth in Section 3.4(b).</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Closing Date</w:t>
      </w:r>
      <w:r>
        <w:rPr>
          <w:rFonts w:ascii="Times New Roman" w:cs="Times New Roman" w:eastAsia="Times New Roman" w:hAnsi="Times New Roman"/>
          <w:sz w:val="12"/>
          <w:szCs w:val="12"/>
          <w:color w:val="auto"/>
        </w:rPr>
        <w:t>” has the meaning set forth in Section 2.2.</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Closing Filing</w:t>
      </w:r>
      <w:r>
        <w:rPr>
          <w:rFonts w:ascii="Times New Roman" w:cs="Times New Roman" w:eastAsia="Times New Roman" w:hAnsi="Times New Roman"/>
          <w:sz w:val="12"/>
          <w:szCs w:val="12"/>
          <w:color w:val="auto"/>
        </w:rPr>
        <w:t>” has the meaning set forth in Section 5.4(b).</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Closing Press Release</w:t>
      </w:r>
      <w:r>
        <w:rPr>
          <w:rFonts w:ascii="Times New Roman" w:cs="Times New Roman" w:eastAsia="Times New Roman" w:hAnsi="Times New Roman"/>
          <w:sz w:val="12"/>
          <w:szCs w:val="12"/>
          <w:color w:val="auto"/>
        </w:rPr>
        <w:t>” has the meaning set forth in Section 5.4(b).</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COBRA</w:t>
      </w:r>
      <w:r>
        <w:rPr>
          <w:rFonts w:ascii="Times New Roman" w:cs="Times New Roman" w:eastAsia="Times New Roman" w:hAnsi="Times New Roman"/>
          <w:sz w:val="12"/>
          <w:szCs w:val="12"/>
          <w:color w:val="auto"/>
        </w:rPr>
        <w:t>” means Part 6 of Subtitle B of Title I of ERISA, Section 4980B of the Code and any similar state Law.</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Code</w:t>
      </w:r>
      <w:r>
        <w:rPr>
          <w:rFonts w:ascii="Times New Roman" w:cs="Times New Roman" w:eastAsia="Times New Roman" w:hAnsi="Times New Roman"/>
          <w:sz w:val="12"/>
          <w:szCs w:val="12"/>
          <w:color w:val="auto"/>
        </w:rPr>
        <w:t>” means the U.S. Internal Revenue Code of 1986, as amended.</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has the meaning set forth in the introductory paragraph to this Agreement.</w:t>
      </w:r>
    </w:p>
    <w:p>
      <w:pPr>
        <w:spacing w:after="0" w:line="150" w:lineRule="exact"/>
        <w:rPr>
          <w:sz w:val="20"/>
          <w:szCs w:val="20"/>
          <w:color w:val="auto"/>
        </w:rPr>
      </w:pPr>
    </w:p>
    <w:p>
      <w:pPr>
        <w:jc w:val="both"/>
        <w:ind w:left="8" w:firstLine="432"/>
        <w:spacing w:after="0" w:line="25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Acquisition Proposal</w:t>
      </w:r>
      <w:r>
        <w:rPr>
          <w:rFonts w:ascii="Times New Roman" w:cs="Times New Roman" w:eastAsia="Times New Roman" w:hAnsi="Times New Roman"/>
          <w:sz w:val="12"/>
          <w:szCs w:val="12"/>
          <w:color w:val="auto"/>
        </w:rPr>
        <w:t>” means (a) any transaction or series of related transactions under which any Person(s), directly or indirectly, (i) acquires or otherwise purchases the Company and its controlled Affiliates, taken as a whole, or a majority of the voting power of Equity Securities of the Company, or (ii) acquires, is granted, leased or licensed or otherwise purchases all or substantially all of assets, properties or businesses of the Company and its controlled Affiliates, taken as a whole (in the case of each of clause (i) and (ii), whether by merger, consolidation, liquidation, dissolution, recapitalization, reorganization, amalgamation, scheme of arrangement, purchase of assets, share exchange, business combination, purchase or issuance of Equity Securities, tender offer or otherwise), or (b) any issuance, sale or acquisition of any portion of the Equity Securities or voting power or similar investment in the Company or any of its Subsidiaries (other than the issuance of the applicable class of shares of capital stock of the Company upon the exercise or conversion of any Company Options or Company RSU Awards outstanding on the date of this Agreement in accordance with the terms of the Company Equity Plan and the underlying grant, award or similar agreement, the Company Warrant Agreement or the Company Convertible Notes (as applicable)). Notwithstanding the foregoing or anything to the contrary herein, (i) none of this Agreement, the Ancillary Documents or the transactions contemplated hereby or thereby or (ii) any Complementary Financing shall constitute a Company Acquisition Proposal.</w:t>
      </w:r>
    </w:p>
    <w:p>
      <w:pPr>
        <w:spacing w:after="0" w:line="2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21" w:name="page22"/>
    <w:bookmarkEnd w:id="21"/>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Board</w:t>
      </w:r>
      <w:r>
        <w:rPr>
          <w:rFonts w:ascii="Times New Roman" w:cs="Times New Roman" w:eastAsia="Times New Roman" w:hAnsi="Times New Roman"/>
          <w:sz w:val="12"/>
          <w:szCs w:val="12"/>
          <w:color w:val="auto"/>
        </w:rPr>
        <w:t>” has the meaning set forth in the recitals to this Agreement.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Board Recommendation</w:t>
      </w:r>
      <w:r>
        <w:rPr>
          <w:rFonts w:ascii="Times New Roman" w:cs="Times New Roman" w:eastAsia="Times New Roman" w:hAnsi="Times New Roman"/>
          <w:sz w:val="12"/>
          <w:szCs w:val="12"/>
          <w:color w:val="auto"/>
        </w:rPr>
        <w:t>” has the meaning set forth in Section 5.13(b).</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Certificate of Incorporation</w:t>
      </w:r>
      <w:r>
        <w:rPr>
          <w:rFonts w:ascii="Times New Roman" w:cs="Times New Roman" w:eastAsia="Times New Roman" w:hAnsi="Times New Roman"/>
          <w:sz w:val="12"/>
          <w:szCs w:val="12"/>
          <w:color w:val="auto"/>
        </w:rPr>
        <w:t>” means the Fourth Amended and Restated Certificate of Incorporation of the Company, dated as of December 15, 2021.</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Common Shares</w:t>
      </w:r>
      <w:r>
        <w:rPr>
          <w:rFonts w:ascii="Times New Roman" w:cs="Times New Roman" w:eastAsia="Times New Roman" w:hAnsi="Times New Roman"/>
          <w:sz w:val="12"/>
          <w:szCs w:val="12"/>
          <w:color w:val="auto"/>
        </w:rPr>
        <w:t>” means shares of common stock, par value $0.0001 per share, of the Company designated as “Common Stock” pursuant to the Company Certificate of Incorporation.</w:t>
      </w:r>
    </w:p>
    <w:p>
      <w:pPr>
        <w:spacing w:after="0" w:line="15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Convertible Notes</w:t>
      </w:r>
      <w:r>
        <w:rPr>
          <w:rFonts w:ascii="Times New Roman" w:cs="Times New Roman" w:eastAsia="Times New Roman" w:hAnsi="Times New Roman"/>
          <w:sz w:val="12"/>
          <w:szCs w:val="12"/>
          <w:color w:val="auto"/>
        </w:rPr>
        <w:t>” means that certain (a) Senior Secured Convertible Promissory Note, dated as of August 1, 2025, by and between the Company and Stellantis Ventures B.V.; (b) Senior Secured Convertible Promissory Note, dated as of August 1, 2025, by and between the Company and Mercedes-Benz Corporate Investments LLC; (c) Senior Secured Convertible Promissory Note, dated as of August 1, 2025, by and between the Company and GVP Climate Series SVP I LP – Series 3; and (d) Senior Secured Convertible Promissory Note, dated as of August 1, 2025, by and between the Company and GVP Climate Fund I LP.</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Convertible Notes Conversion</w:t>
      </w:r>
      <w:r>
        <w:rPr>
          <w:rFonts w:ascii="Times New Roman" w:cs="Times New Roman" w:eastAsia="Times New Roman" w:hAnsi="Times New Roman"/>
          <w:sz w:val="12"/>
          <w:szCs w:val="12"/>
          <w:color w:val="auto"/>
        </w:rPr>
        <w:t>” has the meaning set forth in Section 2.4(c).</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D&amp;O Persons</w:t>
      </w:r>
      <w:r>
        <w:rPr>
          <w:rFonts w:ascii="Times New Roman" w:cs="Times New Roman" w:eastAsia="Times New Roman" w:hAnsi="Times New Roman"/>
          <w:sz w:val="12"/>
          <w:szCs w:val="12"/>
          <w:color w:val="auto"/>
        </w:rPr>
        <w:t>” has the meaning set forth in Section 5.15(a).</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D&amp;O Tail Policy</w:t>
      </w:r>
      <w:r>
        <w:rPr>
          <w:rFonts w:ascii="Times New Roman" w:cs="Times New Roman" w:eastAsia="Times New Roman" w:hAnsi="Times New Roman"/>
          <w:sz w:val="12"/>
          <w:szCs w:val="12"/>
          <w:color w:val="auto"/>
        </w:rPr>
        <w:t>” has the meaning set forth in Section 5.15(c).</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Designees</w:t>
      </w:r>
      <w:r>
        <w:rPr>
          <w:rFonts w:ascii="Times New Roman" w:cs="Times New Roman" w:eastAsia="Times New Roman" w:hAnsi="Times New Roman"/>
          <w:sz w:val="12"/>
          <w:szCs w:val="12"/>
          <w:color w:val="auto"/>
        </w:rPr>
        <w:t>” has the meaning set forth in Section 5.16(b).</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Disclosure Schedules</w:t>
      </w:r>
      <w:r>
        <w:rPr>
          <w:rFonts w:ascii="Times New Roman" w:cs="Times New Roman" w:eastAsia="Times New Roman" w:hAnsi="Times New Roman"/>
          <w:sz w:val="12"/>
          <w:szCs w:val="12"/>
          <w:color w:val="auto"/>
        </w:rPr>
        <w:t>” means the disclosure schedules to this Agreement delivered to CGC by the Company on the date of this Agreement.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Dissenting Shares</w:t>
      </w:r>
      <w:r>
        <w:rPr>
          <w:rFonts w:ascii="Times New Roman" w:cs="Times New Roman" w:eastAsia="Times New Roman" w:hAnsi="Times New Roman"/>
          <w:sz w:val="12"/>
          <w:szCs w:val="12"/>
          <w:color w:val="auto"/>
        </w:rPr>
        <w:t>” has the meaning set forth in Section 2.7.</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Dissenting Stockholders</w:t>
      </w:r>
      <w:r>
        <w:rPr>
          <w:rFonts w:ascii="Times New Roman" w:cs="Times New Roman" w:eastAsia="Times New Roman" w:hAnsi="Times New Roman"/>
          <w:sz w:val="12"/>
          <w:szCs w:val="12"/>
          <w:color w:val="auto"/>
        </w:rPr>
        <w:t>” has the meaning set forth in Section 2.7.</w:t>
      </w:r>
    </w:p>
    <w:p>
      <w:pPr>
        <w:spacing w:after="0" w:line="15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Equity Award</w:t>
      </w:r>
      <w:r>
        <w:rPr>
          <w:rFonts w:ascii="Times New Roman" w:cs="Times New Roman" w:eastAsia="Times New Roman" w:hAnsi="Times New Roman"/>
          <w:sz w:val="12"/>
          <w:szCs w:val="12"/>
          <w:color w:val="auto"/>
        </w:rPr>
        <w:t>” means, as of any determination time, each outstanding Company Option, each outstanding Company RSU Award and each other outstanding award to any current or former director, manager, officer, employee, individual independent contractor or other service provider of any Group Company of rights of any kind to receive any Equity Security of any Group Company under any Company Equity Plan or otherwise that is outstanding.</w:t>
      </w:r>
    </w:p>
    <w:p>
      <w:pPr>
        <w:spacing w:after="0" w:line="114"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Equity Plan</w:t>
      </w:r>
      <w:r>
        <w:rPr>
          <w:rFonts w:ascii="Times New Roman" w:cs="Times New Roman" w:eastAsia="Times New Roman" w:hAnsi="Times New Roman"/>
          <w:sz w:val="12"/>
          <w:szCs w:val="12"/>
          <w:color w:val="auto"/>
        </w:rPr>
        <w:t>” means, collectively, (a) the 2019 Stock Incentive Plan of Factorial Inc., as amended, and (b) each other plan that provides for the award to any current or former director, manager, officer, employee, individual independent contractor or other service provider of any Group Company of rights of any kind to receive Equity Securities of any Group Company or benefits measured in whole or in part by reference to Equity Securities of any Group Company.</w:t>
      </w:r>
    </w:p>
    <w:p>
      <w:pPr>
        <w:spacing w:after="0" w:line="11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Expenses</w:t>
      </w:r>
      <w:r>
        <w:rPr>
          <w:rFonts w:ascii="Times New Roman" w:cs="Times New Roman" w:eastAsia="Times New Roman" w:hAnsi="Times New Roman"/>
          <w:sz w:val="12"/>
          <w:szCs w:val="12"/>
          <w:color w:val="auto"/>
        </w:rPr>
        <w:t>” means, as of any determination time, the aggregate amount of fees, expenses, commissions or other amounts incurred by or on behalf of, or otherwise payable by, whether or not due and payable, any Group Company in connection with, or as a result of, the negotiation, preparation or execution of this Agreement or any Ancillary Documents, the performance of its covenants or agreements in this Agreement or any Ancillary Document or the consummation of the transactions contemplated hereby or thereby, including (a) the fees and expenses of outside legal counsel, accountants, advisors, brokers, investment bankers, consultants, or other agents or service providers of any Group Company, (b) any other fees, expenses, commissions or other amounts that are expressly allocated to any Group Company pursuant to this Agreement or any Ancillary Document, and (c) any costs, fees and expenses incurred in connection with the preparation and audit of the PCAOB Financials and other one-time expenses in connection with its preparation for readiness to be a publicly-traded company. Notwithstanding the foregoing or anything to the contrary herein, Company Expenses shall not include any CGC Expenses.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2" w:name="page23"/>
    <w:bookmarkEnd w:id="22"/>
    <w:p>
      <w:pPr>
        <w:jc w:val="both"/>
        <w:ind w:left="8"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Fundamental Representations</w:t>
      </w:r>
      <w:r>
        <w:rPr>
          <w:rFonts w:ascii="Times New Roman" w:cs="Times New Roman" w:eastAsia="Times New Roman" w:hAnsi="Times New Roman"/>
          <w:sz w:val="12"/>
          <w:szCs w:val="12"/>
          <w:color w:val="auto"/>
        </w:rPr>
        <w:t>” means the representations and warranties set forth in Section 3.1(a) and Section 3.1(b) (Organization and Qualification), Section 3.2(a), Section 3.2(c) and Section 3.2(g) (Capitalization of the Group Companies), Section 3.3 (Authority), Section 3.8(a) (Absence of Changes), and Section 3.17 (Brokers).</w:t>
      </w:r>
    </w:p>
    <w:p>
      <w:pPr>
        <w:spacing w:after="0" w:line="10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Intellectual Property</w:t>
      </w:r>
      <w:r>
        <w:rPr>
          <w:rFonts w:ascii="Times New Roman" w:cs="Times New Roman" w:eastAsia="Times New Roman" w:hAnsi="Times New Roman"/>
          <w:sz w:val="12"/>
          <w:szCs w:val="12"/>
          <w:color w:val="auto"/>
        </w:rPr>
        <w:t>” means all Intellectual Property Rights owned by a Group Company.</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Licensed Intellectual Property</w:t>
      </w:r>
      <w:r>
        <w:rPr>
          <w:rFonts w:ascii="Times New Roman" w:cs="Times New Roman" w:eastAsia="Times New Roman" w:hAnsi="Times New Roman"/>
          <w:sz w:val="12"/>
          <w:szCs w:val="12"/>
          <w:color w:val="auto"/>
        </w:rPr>
        <w:t>” means Intellectual Property Rights owned by any Person (other than a Group Company) that is licensed to any Group Company.</w:t>
      </w:r>
    </w:p>
    <w:p>
      <w:pPr>
        <w:spacing w:after="0" w:line="150" w:lineRule="exact"/>
        <w:rPr>
          <w:sz w:val="20"/>
          <w:szCs w:val="20"/>
          <w:color w:val="auto"/>
        </w:rPr>
      </w:pPr>
    </w:p>
    <w:p>
      <w:pPr>
        <w:jc w:val="both"/>
        <w:ind w:left="8" w:firstLine="432"/>
        <w:spacing w:after="0" w:line="25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Material Adverse Effect</w:t>
      </w:r>
      <w:r>
        <w:rPr>
          <w:rFonts w:ascii="Times New Roman" w:cs="Times New Roman" w:eastAsia="Times New Roman" w:hAnsi="Times New Roman"/>
          <w:sz w:val="12"/>
          <w:szCs w:val="12"/>
          <w:color w:val="auto"/>
        </w:rPr>
        <w:t xml:space="preserve">” means any change, event, effect or occurrence that, individually or in the aggregate with any other change, event, effect or occurrence, has had or would reasonably be expected to have a material adverse effect on (a) the business, results of operations or financial condition of the Group Companies, taken as a whole, or (b) the ability of the Company to consummate the Merger in accordance with the terms of this Agreement;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in the case of clause (a), none of the following shall be taken into account in determining whether a Company Material Adverse Effect has occurred or is reasonably likely to occur: any adverse change, event, effect or occurrence arising after the date of this Agreement from or related to (i) general business or economic conditions in or affecting the United States, or changes therein, or the global economy generally, (ii) any national or international political or social conditions in the United States or any other country, including the engagement by the United States or any other country in hostilities, whether or not pursuant to the declaration of a national emergency or war, or the occurrence in any place of any military or terrorist attack, sabotage or cyberterrorism, (iii) changes in conditions of the financial, banking, capital or securities markets generally in the United States or any other country or region in the world, or changes therein, including changes in interest rates in the United States or any other country and changes in exchange rates for the currencies of any countries, (iv) changes in any applicable Laws or the interpretation or enforcement thereof by any Governmental Entity, (v) any change, event, effect or occurrence that is generally applicable to the industries or markets in which any Group Company operates, (vi) the execution or public announcement of this Agreement or the pendency or consummation of the transactions contemplated by this Agreement, including the impact thereof on the relationships, contractual or otherwise, of any Group Company with employees, customers, investors, contractors, lenders, suppliers, vendors, partners, licensors, licensees, payors or other third parties related thereto (provided that the exception in this clause (vi) shall not apply to the representations and warranties set forth in Section 3.5(b) to the extent that its purpose is to address the consequences resulting from the public announcement or pendency or consummation of the transactions contemplated by this Agreement or the condition set forth in Section 6.2(a) to the extent it relates to such representations and warranties), (vii) any failure by any Group Company to meet, or changes to, any internal or published budgets, projections, forecasts, estimates or predictions (although the underlying facts and circumstances resulting in such failure may be taken into account to the extent not otherwise excluded from this definition pursuant to clauses (i) through (vi) or (viii) through (x)), or</w:t>
      </w:r>
    </w:p>
    <w:p>
      <w:pPr>
        <w:spacing w:after="0" w:line="3" w:lineRule="exact"/>
        <w:rPr>
          <w:sz w:val="20"/>
          <w:szCs w:val="20"/>
          <w:color w:val="auto"/>
        </w:rPr>
      </w:pPr>
    </w:p>
    <w:p>
      <w:pPr>
        <w:jc w:val="both"/>
        <w:ind w:left="8" w:hanging="8"/>
        <w:spacing w:after="0" w:line="251" w:lineRule="auto"/>
        <w:tabs>
          <w:tab w:leader="none" w:pos="2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hurricane, tornado, flood, earthquake, tsunami, natural disaster, mudslides, wild fires, epidemics, pandemics or quarantines, acts of God or other natural disasters or comparable events in the United States or any other country or region in the world, or any escalation of the foregoing, (ix) any actions taken or omitted to be taken by any Group Companies at the written request or with the written consent of CGC, (x) any changes in GAAP or other applicable accounting standards or the interpretation thereof, (xi) any loss of employees, customers, suppliers, distributors, licensors, licensees or other business partners to the extent resulting from the public announcement or pendency of the transactions contemplated by this Agreement, or (xii) any litigation arising from or relating to this Agreement or the transactions contemplated hereby;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any change, event, effect or occurrence resulting from a matter described in any of the foregoing clauses (i) through (v) or (viii) through (xii) may be taken into account in determining whether a Company Material Adverse Effect has occurred or is reasonably likely to occur to the extent such change, event, effect or occurrence has had or would reasonably be expected to have a disproportionate adverse effect on the Group Companies, taken as a whole, relative to other participants operating in the industries or markets in which the Group Companies operate; and provided, further, that changes, events, effects or occurrences that would not reasonably be expected to result in aggregate damages, costs or expenses to the Group Companies, taken as a whole, in excess of $5,000,000 shall not constitute a Company Material Adverse Effect.</w:t>
      </w:r>
    </w:p>
    <w:p>
      <w:pPr>
        <w:spacing w:after="0" w:line="27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23" w:name="page24"/>
    <w:bookmarkEnd w:id="23"/>
    <w:p>
      <w:pPr>
        <w:jc w:val="both"/>
        <w:ind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Non-Party Affiliates</w:t>
      </w:r>
      <w:r>
        <w:rPr>
          <w:rFonts w:ascii="Times New Roman" w:cs="Times New Roman" w:eastAsia="Times New Roman" w:hAnsi="Times New Roman"/>
          <w:sz w:val="12"/>
          <w:szCs w:val="12"/>
          <w:color w:val="auto"/>
        </w:rPr>
        <w:t>” means, collectively, each Company Related Party and each former, current or future Affiliates, Representatives, successors or permitted assigns of any Company Related Party (other than, for the avoidance of doubt, the Company).</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Option</w:t>
      </w:r>
      <w:r>
        <w:rPr>
          <w:rFonts w:ascii="Times New Roman" w:cs="Times New Roman" w:eastAsia="Times New Roman" w:hAnsi="Times New Roman"/>
          <w:sz w:val="12"/>
          <w:szCs w:val="12"/>
          <w:color w:val="auto"/>
        </w:rPr>
        <w:t>” means, as of any determination time, each option to purchase Company Common Shares that is outstanding and unexercised, whether granted under a Company Equity Plan or otherwise.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Preferred Share Conversion</w:t>
      </w:r>
      <w:r>
        <w:rPr>
          <w:rFonts w:ascii="Times New Roman" w:cs="Times New Roman" w:eastAsia="Times New Roman" w:hAnsi="Times New Roman"/>
          <w:sz w:val="12"/>
          <w:szCs w:val="12"/>
          <w:color w:val="auto"/>
        </w:rPr>
        <w:t>” has the meaning set forth in Section 2.4(d).</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Preferred Shares</w:t>
      </w:r>
      <w:r>
        <w:rPr>
          <w:rFonts w:ascii="Times New Roman" w:cs="Times New Roman" w:eastAsia="Times New Roman" w:hAnsi="Times New Roman"/>
          <w:sz w:val="12"/>
          <w:szCs w:val="12"/>
          <w:color w:val="auto"/>
        </w:rPr>
        <w:t>” means, collectively, the Company Series A-1 Preferred Shares, Company Series A-2 Preferred Shares, Company Series B-1 Preferred Shares, Company Series C-1 Preferred Shares, Company Series C-2 Preferred Shares, and Company Series D Preferred Shares.</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Product</w:t>
      </w:r>
      <w:r>
        <w:rPr>
          <w:rFonts w:ascii="Times New Roman" w:cs="Times New Roman" w:eastAsia="Times New Roman" w:hAnsi="Times New Roman"/>
          <w:sz w:val="12"/>
          <w:szCs w:val="12"/>
          <w:color w:val="auto"/>
        </w:rPr>
        <w:t>” means each platform or product candidate that is being researched, tested, developed or manufactured by or on behalf of the Group Companies.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Related Party</w:t>
      </w:r>
      <w:r>
        <w:rPr>
          <w:rFonts w:ascii="Times New Roman" w:cs="Times New Roman" w:eastAsia="Times New Roman" w:hAnsi="Times New Roman"/>
          <w:sz w:val="12"/>
          <w:szCs w:val="12"/>
          <w:color w:val="auto"/>
        </w:rPr>
        <w:t>” has the meaning set forth in Section 3.19.</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Related Party Transactions</w:t>
      </w:r>
      <w:r>
        <w:rPr>
          <w:rFonts w:ascii="Times New Roman" w:cs="Times New Roman" w:eastAsia="Times New Roman" w:hAnsi="Times New Roman"/>
          <w:sz w:val="12"/>
          <w:szCs w:val="12"/>
          <w:color w:val="auto"/>
        </w:rPr>
        <w:t>” has the meaning set forth in Section 3.19.</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RSU Award</w:t>
      </w:r>
      <w:r>
        <w:rPr>
          <w:rFonts w:ascii="Times New Roman" w:cs="Times New Roman" w:eastAsia="Times New Roman" w:hAnsi="Times New Roman"/>
          <w:sz w:val="12"/>
          <w:szCs w:val="12"/>
          <w:color w:val="auto"/>
        </w:rPr>
        <w:t>” means, as of any determination time, each restricted stock unit award that is outstanding with respect to Company Common Shares, whether granted under a Company Equity Plan or otherwise.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Series A-1 Preferred Shares</w:t>
      </w:r>
      <w:r>
        <w:rPr>
          <w:rFonts w:ascii="Times New Roman" w:cs="Times New Roman" w:eastAsia="Times New Roman" w:hAnsi="Times New Roman"/>
          <w:sz w:val="12"/>
          <w:szCs w:val="12"/>
          <w:color w:val="auto"/>
        </w:rPr>
        <w:t>” means shares of preferred stock, par value $0.0001 per share, of the Company designated as “Series A-1 Preferred Stock” pursuant to Company Certificate of Incorporation.</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Series A-2 Preferred Shares</w:t>
      </w:r>
      <w:r>
        <w:rPr>
          <w:rFonts w:ascii="Times New Roman" w:cs="Times New Roman" w:eastAsia="Times New Roman" w:hAnsi="Times New Roman"/>
          <w:sz w:val="12"/>
          <w:szCs w:val="12"/>
          <w:color w:val="auto"/>
        </w:rPr>
        <w:t>” means shares of preferred stock, par value $0.0001 per share, of the Company designated as “Series A-2 Preferred Stock” pursuant to the Company Certificate of Incorporation.</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Series B-1 Preferred Shares</w:t>
      </w:r>
      <w:r>
        <w:rPr>
          <w:rFonts w:ascii="Times New Roman" w:cs="Times New Roman" w:eastAsia="Times New Roman" w:hAnsi="Times New Roman"/>
          <w:sz w:val="12"/>
          <w:szCs w:val="12"/>
          <w:color w:val="auto"/>
        </w:rPr>
        <w:t>” means shares of preferred stock, par value $0.0001 per share, of the Company designated as “Series B-1 Preferred Stock” pursuant to the Company Certificate of Incorporation.</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Series C-1 Preferred Shares</w:t>
      </w:r>
      <w:r>
        <w:rPr>
          <w:rFonts w:ascii="Times New Roman" w:cs="Times New Roman" w:eastAsia="Times New Roman" w:hAnsi="Times New Roman"/>
          <w:sz w:val="12"/>
          <w:szCs w:val="12"/>
          <w:color w:val="auto"/>
        </w:rPr>
        <w:t>” means shares of preferred stock, par value $0.0001 per share, of the Company designated as “Series C-1 Preferred Stock” pursuant to the Company Certificate of Incorporation.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Series C-2 Preferred Shares</w:t>
      </w:r>
      <w:r>
        <w:rPr>
          <w:rFonts w:ascii="Times New Roman" w:cs="Times New Roman" w:eastAsia="Times New Roman" w:hAnsi="Times New Roman"/>
          <w:sz w:val="12"/>
          <w:szCs w:val="12"/>
          <w:color w:val="auto"/>
        </w:rPr>
        <w:t>” means shares of preferred stock, par value $0.0001 per share, of the Company designated as “Series C-2 Preferred Stock” pursuant to the Company Certificate of Incorporation.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Series D Preferred Shares</w:t>
      </w:r>
      <w:r>
        <w:rPr>
          <w:rFonts w:ascii="Times New Roman" w:cs="Times New Roman" w:eastAsia="Times New Roman" w:hAnsi="Times New Roman"/>
          <w:sz w:val="12"/>
          <w:szCs w:val="12"/>
          <w:color w:val="auto"/>
        </w:rPr>
        <w:t>” means shares of preferred stock, par value $0.0001 per share, of the Company designated as “Series D Preferred Stock” pursuant to the Company Certificate of Incorporation.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Shares</w:t>
      </w:r>
      <w:r>
        <w:rPr>
          <w:rFonts w:ascii="Times New Roman" w:cs="Times New Roman" w:eastAsia="Times New Roman" w:hAnsi="Times New Roman"/>
          <w:sz w:val="12"/>
          <w:szCs w:val="12"/>
          <w:color w:val="auto"/>
        </w:rPr>
        <w:t>” means, collectively, the Company Preferred Shares and the Company Common Share.</w:t>
      </w:r>
    </w:p>
    <w:p>
      <w:pPr>
        <w:spacing w:after="0" w:line="150"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Stockholder</w:t>
      </w:r>
      <w:r>
        <w:rPr>
          <w:rFonts w:ascii="Times New Roman" w:cs="Times New Roman" w:eastAsia="Times New Roman" w:hAnsi="Times New Roman"/>
          <w:sz w:val="12"/>
          <w:szCs w:val="12"/>
          <w:color w:val="auto"/>
        </w:rPr>
        <w:t xml:space="preserve">” means the holders of Company Shares as of any determination time prior to the Effective Time. For the avoidance of doubt, (i) the holders of Company Warrants will become Company Stockholders immediately prior to the Closing upon exercise or conversion of such Company Warrants for Company Common Shares pursuant to </w:t>
      </w:r>
      <w:r>
        <w:rPr>
          <w:rFonts w:ascii="Times New Roman" w:cs="Times New Roman" w:eastAsia="Times New Roman" w:hAnsi="Times New Roman"/>
          <w:sz w:val="12"/>
          <w:szCs w:val="12"/>
          <w:u w:val="single" w:color="auto"/>
          <w:color w:val="auto"/>
        </w:rPr>
        <w:t>Section 2.4(c)</w:t>
      </w:r>
      <w:r>
        <w:rPr>
          <w:rFonts w:ascii="Times New Roman" w:cs="Times New Roman" w:eastAsia="Times New Roman" w:hAnsi="Times New Roman"/>
          <w:sz w:val="12"/>
          <w:szCs w:val="12"/>
          <w:color w:val="auto"/>
        </w:rPr>
        <w:t xml:space="preserve">, (ii) the holders of Company Preferred Shares will become Company Stockholders immediately prior to the Closing upon the Company Preferred Share Conversion pursuant to </w:t>
      </w:r>
      <w:r>
        <w:rPr>
          <w:rFonts w:ascii="Times New Roman" w:cs="Times New Roman" w:eastAsia="Times New Roman" w:hAnsi="Times New Roman"/>
          <w:sz w:val="12"/>
          <w:szCs w:val="12"/>
          <w:u w:val="single" w:color="auto"/>
          <w:color w:val="auto"/>
        </w:rPr>
        <w:t>Section 2.4(d)</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(iii)</w:t>
      </w:r>
      <w:r>
        <w:rPr>
          <w:rFonts w:ascii="Times New Roman" w:cs="Times New Roman" w:eastAsia="Times New Roman" w:hAnsi="Times New Roman"/>
          <w:sz w:val="12"/>
          <w:szCs w:val="12"/>
          <w:color w:val="auto"/>
        </w:rPr>
        <w:t xml:space="preserve"> the holders of the Company Convertible Notes will become Company Stockholders immediately prior to Closing, upon conversion of the Company Convertible Notes pursuant to </w:t>
      </w:r>
      <w:r>
        <w:rPr>
          <w:rFonts w:ascii="Times New Roman" w:cs="Times New Roman" w:eastAsia="Times New Roman" w:hAnsi="Times New Roman"/>
          <w:sz w:val="12"/>
          <w:szCs w:val="12"/>
          <w:u w:val="single" w:color="auto"/>
          <w:color w:val="auto"/>
        </w:rPr>
        <w:t>Section 2.4(c)</w:t>
      </w:r>
      <w:r>
        <w:rPr>
          <w:rFonts w:ascii="Times New Roman" w:cs="Times New Roman" w:eastAsia="Times New Roman" w:hAnsi="Times New Roman"/>
          <w:sz w:val="12"/>
          <w:szCs w:val="12"/>
          <w:color w:val="auto"/>
        </w:rPr>
        <w:t>.</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4" w:name="page25"/>
    <w:bookmarkEnd w:id="24"/>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Stockholder Agreement</w:t>
      </w:r>
      <w:r>
        <w:rPr>
          <w:rFonts w:ascii="Times New Roman" w:cs="Times New Roman" w:eastAsia="Times New Roman" w:hAnsi="Times New Roman"/>
          <w:sz w:val="12"/>
          <w:szCs w:val="12"/>
          <w:color w:val="auto"/>
        </w:rPr>
        <w:t>” means, collectively, that certain Third Amended Restated Investors’ Rights Agreement, dated as of December 15, 2021, by and among the Company and the other parties thereto.</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Stockholder Written Consent</w:t>
      </w:r>
      <w:r>
        <w:rPr>
          <w:rFonts w:ascii="Times New Roman" w:cs="Times New Roman" w:eastAsia="Times New Roman" w:hAnsi="Times New Roman"/>
          <w:sz w:val="12"/>
          <w:szCs w:val="12"/>
          <w:color w:val="auto"/>
        </w:rPr>
        <w:t>” has the meaning set forth in Section 5.13(b).</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Stockholder Written Consent Deadline</w:t>
      </w:r>
      <w:r>
        <w:rPr>
          <w:rFonts w:ascii="Times New Roman" w:cs="Times New Roman" w:eastAsia="Times New Roman" w:hAnsi="Times New Roman"/>
          <w:sz w:val="12"/>
          <w:szCs w:val="12"/>
          <w:color w:val="auto"/>
        </w:rPr>
        <w:t>” has the meaning set forth in Section 5.13(b).</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Warrant Agreements</w:t>
      </w:r>
      <w:r>
        <w:rPr>
          <w:rFonts w:ascii="Times New Roman" w:cs="Times New Roman" w:eastAsia="Times New Roman" w:hAnsi="Times New Roman"/>
          <w:sz w:val="12"/>
          <w:szCs w:val="12"/>
          <w:color w:val="auto"/>
        </w:rPr>
        <w:t>” means, collectively, the (i) Amended and Restated Series B-1 Preferred Stock Purchase Warrant issued on October 28, 2019 to purchase 19,930 Company Series B-1 Preferred Shares,</w:t>
      </w:r>
    </w:p>
    <w:p>
      <w:pPr>
        <w:spacing w:after="0" w:line="21" w:lineRule="exact"/>
        <w:rPr>
          <w:sz w:val="20"/>
          <w:szCs w:val="20"/>
          <w:color w:val="auto"/>
        </w:rPr>
      </w:pPr>
    </w:p>
    <w:p>
      <w:pPr>
        <w:ind w:left="8" w:hanging="8"/>
        <w:spacing w:after="0" w:line="260" w:lineRule="auto"/>
        <w:tabs>
          <w:tab w:leader="none" w:pos="179"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Amended and Restated Warrant to Purchase Shares of Preferred Stock issued on December 19, 2022 to purchase 137,814 Company Series D Preferred Shares and (iii) Warrant to Purchase Shares of Preferred Stock as Amended and Restated issued on December 19, 2022 to purchase 137,814 Company Series D Preferred Shares.</w:t>
      </w:r>
    </w:p>
    <w:p>
      <w:pPr>
        <w:spacing w:after="0" w:line="11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Warrants</w:t>
      </w:r>
      <w:r>
        <w:rPr>
          <w:rFonts w:ascii="Times New Roman" w:cs="Times New Roman" w:eastAsia="Times New Roman" w:hAnsi="Times New Roman"/>
          <w:sz w:val="12"/>
          <w:szCs w:val="12"/>
          <w:color w:val="auto"/>
        </w:rPr>
        <w:t>” means, as of any determination time, each warrant to purchase any capital stock of the Company that is outstanding and granted pursuant to the Company Warrant Agreements.</w:t>
      </w:r>
    </w:p>
    <w:p>
      <w:pPr>
        <w:spacing w:after="0" w:line="150" w:lineRule="exact"/>
        <w:rPr>
          <w:sz w:val="20"/>
          <w:szCs w:val="20"/>
          <w:color w:val="auto"/>
        </w:rPr>
      </w:pPr>
    </w:p>
    <w:p>
      <w:pPr>
        <w:jc w:val="both"/>
        <w:ind w:left="8" w:firstLine="432"/>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Complementary Financing</w:t>
      </w:r>
      <w:r>
        <w:rPr>
          <w:rFonts w:ascii="Times New Roman" w:cs="Times New Roman" w:eastAsia="Times New Roman" w:hAnsi="Times New Roman"/>
          <w:sz w:val="12"/>
          <w:szCs w:val="12"/>
          <w:color w:val="auto"/>
        </w:rPr>
        <w:t>” means any (a) issuance of equity, equity-linked or debt securities, including, but not limited to, the additional senior secured convertible promissory notes of up to an aggregate principal amount of $6,500,000 contemplated to be entered into by the Company and as disclosed to CGC, any licensing transaction or any other financing transaction in which the investors in such transaction do not acquire 50% or more of the outstanding voting securities of the Company so long as such investors consent to the transactions contemplated by this Agreement and (b) any transaction that does not materially impede the ability of the Company to effect the transactions contemplated by this Agreement.</w:t>
      </w:r>
    </w:p>
    <w:p>
      <w:pPr>
        <w:spacing w:after="0" w:line="11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Confidentiality Agreement</w:t>
      </w:r>
      <w:r>
        <w:rPr>
          <w:rFonts w:ascii="Times New Roman" w:cs="Times New Roman" w:eastAsia="Times New Roman" w:hAnsi="Times New Roman"/>
          <w:sz w:val="12"/>
          <w:szCs w:val="12"/>
          <w:color w:val="auto"/>
        </w:rPr>
        <w:t>” means that certain Confidentiality Agreement, dated as of August 11, 2025, by and between the Company and Cartesian Capital Group, LLC.</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Consent</w:t>
      </w:r>
      <w:r>
        <w:rPr>
          <w:rFonts w:ascii="Times New Roman" w:cs="Times New Roman" w:eastAsia="Times New Roman" w:hAnsi="Times New Roman"/>
          <w:sz w:val="12"/>
          <w:szCs w:val="12"/>
          <w:color w:val="auto"/>
        </w:rPr>
        <w:t>” means any notice, authorization, qualification, registration, filing, notification, waiver, order, consent or approval to be obtained from, filed with or delivered to, a Governmental Entity or other Person.</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Continental</w:t>
      </w:r>
      <w:r>
        <w:rPr>
          <w:rFonts w:ascii="Times New Roman" w:cs="Times New Roman" w:eastAsia="Times New Roman" w:hAnsi="Times New Roman"/>
          <w:sz w:val="12"/>
          <w:szCs w:val="12"/>
          <w:color w:val="auto"/>
        </w:rPr>
        <w:t>” means Continental Stock Transfer &amp; Trust Company.</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Contract</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i w:val="1"/>
          <w:iCs w:val="1"/>
          <w:color w:val="auto"/>
        </w:rPr>
        <w:t>Contracts</w:t>
      </w:r>
      <w:r>
        <w:rPr>
          <w:rFonts w:ascii="Times New Roman" w:cs="Times New Roman" w:eastAsia="Times New Roman" w:hAnsi="Times New Roman"/>
          <w:sz w:val="12"/>
          <w:szCs w:val="12"/>
          <w:color w:val="auto"/>
        </w:rPr>
        <w:t>” means any written agreement, contract, license, lease, obligation, undertaking or other commitment or arrangement that is legally binding upon a Person or any of his, her or its properties or assets.</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DGCL</w:t>
      </w:r>
      <w:r>
        <w:rPr>
          <w:rFonts w:ascii="Times New Roman" w:cs="Times New Roman" w:eastAsia="Times New Roman" w:hAnsi="Times New Roman"/>
          <w:sz w:val="12"/>
          <w:szCs w:val="12"/>
          <w:color w:val="auto"/>
        </w:rPr>
        <w:t>” has the meaning set forth in the recitals to this Agreement.</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Domestication</w:t>
      </w:r>
      <w:r>
        <w:rPr>
          <w:rFonts w:ascii="Times New Roman" w:cs="Times New Roman" w:eastAsia="Times New Roman" w:hAnsi="Times New Roman"/>
          <w:sz w:val="12"/>
          <w:szCs w:val="12"/>
          <w:color w:val="auto"/>
        </w:rPr>
        <w:t>” has the meaning set forth in the recitals to this Agreement.</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Domestication Proposal</w:t>
      </w:r>
      <w:r>
        <w:rPr>
          <w:rFonts w:ascii="Times New Roman" w:cs="Times New Roman" w:eastAsia="Times New Roman" w:hAnsi="Times New Roman"/>
          <w:sz w:val="12"/>
          <w:szCs w:val="12"/>
          <w:color w:val="auto"/>
        </w:rPr>
        <w:t>” has the meaning set forth in Section 5.8.</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Effective Time</w:t>
      </w:r>
      <w:r>
        <w:rPr>
          <w:rFonts w:ascii="Times New Roman" w:cs="Times New Roman" w:eastAsia="Times New Roman" w:hAnsi="Times New Roman"/>
          <w:sz w:val="12"/>
          <w:szCs w:val="12"/>
          <w:color w:val="auto"/>
        </w:rPr>
        <w:t>” has the meaning set forth in Section 2.1(b)(ii).</w:t>
      </w:r>
    </w:p>
    <w:p>
      <w:pPr>
        <w:spacing w:after="0" w:line="150" w:lineRule="exact"/>
        <w:rPr>
          <w:sz w:val="20"/>
          <w:szCs w:val="20"/>
          <w:color w:val="auto"/>
        </w:rPr>
      </w:pPr>
    </w:p>
    <w:p>
      <w:pPr>
        <w:jc w:val="both"/>
        <w:ind w:left="8"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Employee Benefit Plan</w:t>
      </w:r>
      <w:r>
        <w:rPr>
          <w:rFonts w:ascii="Times New Roman" w:cs="Times New Roman" w:eastAsia="Times New Roman" w:hAnsi="Times New Roman"/>
          <w:sz w:val="12"/>
          <w:szCs w:val="12"/>
          <w:color w:val="auto"/>
        </w:rPr>
        <w:t>” means each “</w:t>
      </w:r>
      <w:r>
        <w:rPr>
          <w:rFonts w:ascii="Times New Roman" w:cs="Times New Roman" w:eastAsia="Times New Roman" w:hAnsi="Times New Roman"/>
          <w:sz w:val="12"/>
          <w:szCs w:val="12"/>
          <w:b w:val="1"/>
          <w:bCs w:val="1"/>
          <w:i w:val="1"/>
          <w:iCs w:val="1"/>
          <w:color w:val="auto"/>
        </w:rPr>
        <w:t>employee benefit plan</w:t>
      </w:r>
      <w:r>
        <w:rPr>
          <w:rFonts w:ascii="Times New Roman" w:cs="Times New Roman" w:eastAsia="Times New Roman" w:hAnsi="Times New Roman"/>
          <w:sz w:val="12"/>
          <w:szCs w:val="12"/>
          <w:color w:val="auto"/>
        </w:rPr>
        <w:t>” (as such term is defined in Section 3(3) of ERISA, whether or not subject to ERISA) and each other benefit or compensatory plan, program, policy or Contract that any Group Company maintains, sponsors or contributes to, or under or with respect to which any Group Company has any Liability, other than any plan sponsored or maintained by a Governmental Entity.</w:t>
      </w:r>
    </w:p>
    <w:p>
      <w:pPr>
        <w:spacing w:after="0" w:line="103" w:lineRule="exact"/>
        <w:rPr>
          <w:sz w:val="20"/>
          <w:szCs w:val="20"/>
          <w:color w:val="auto"/>
        </w:rPr>
      </w:pPr>
    </w:p>
    <w:p>
      <w:pPr>
        <w:jc w:val="both"/>
        <w:ind w:left="8"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Environmental Laws</w:t>
      </w:r>
      <w:r>
        <w:rPr>
          <w:rFonts w:ascii="Times New Roman" w:cs="Times New Roman" w:eastAsia="Times New Roman" w:hAnsi="Times New Roman"/>
          <w:sz w:val="12"/>
          <w:szCs w:val="12"/>
          <w:color w:val="auto"/>
        </w:rPr>
        <w:t>” means any federal, state, local, municipal, foreign, international, or multinational law, regulation, or other applicable requirement, policy, guidance or treaty relating to (a) releases or threatened release of Hazardous Substance; (b) pollution or protection of employee health or safety, public health or the environment; or (c) the manufacture, handling, transport, use, treatment, storage, or disposal of Hazardous Substances.</w:t>
      </w:r>
    </w:p>
    <w:p>
      <w:pPr>
        <w:spacing w:after="0" w:line="25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25" w:name="page26"/>
    <w:bookmarkEnd w:id="25"/>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Equity Incentive Plan Proposal</w:t>
      </w:r>
      <w:r>
        <w:rPr>
          <w:rFonts w:ascii="Times New Roman" w:cs="Times New Roman" w:eastAsia="Times New Roman" w:hAnsi="Times New Roman"/>
          <w:sz w:val="12"/>
          <w:szCs w:val="12"/>
          <w:color w:val="auto"/>
        </w:rPr>
        <w:t>” has the meaning set forth in Section 5.8.</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Equity Securities</w:t>
      </w:r>
      <w:r>
        <w:rPr>
          <w:rFonts w:ascii="Times New Roman" w:cs="Times New Roman" w:eastAsia="Times New Roman" w:hAnsi="Times New Roman"/>
          <w:sz w:val="12"/>
          <w:szCs w:val="12"/>
          <w:color w:val="auto"/>
        </w:rPr>
        <w:t>” means any share, share capital, capital stock, partnership, membership, joint venture or similar interest in any Person (including any stock appreciation, phantom stock, profit participation or similar rights), and any option, warrant, right or security (including debt securities) convertible, exchangeable or exercisable therefor.</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Equity Value</w:t>
      </w:r>
      <w:r>
        <w:rPr>
          <w:rFonts w:ascii="Times New Roman" w:cs="Times New Roman" w:eastAsia="Times New Roman" w:hAnsi="Times New Roman"/>
          <w:sz w:val="12"/>
          <w:szCs w:val="12"/>
          <w:color w:val="auto"/>
        </w:rPr>
        <w:t>” means $1,100,000,000.</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ERISA</w:t>
      </w:r>
      <w:r>
        <w:rPr>
          <w:rFonts w:ascii="Times New Roman" w:cs="Times New Roman" w:eastAsia="Times New Roman" w:hAnsi="Times New Roman"/>
          <w:sz w:val="12"/>
          <w:szCs w:val="12"/>
          <w:color w:val="auto"/>
        </w:rPr>
        <w:t>” means the Employee Retirement Income Security Act of 1974, as amended.</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ERISA Affiliate</w:t>
      </w:r>
      <w:r>
        <w:rPr>
          <w:rFonts w:ascii="Times New Roman" w:cs="Times New Roman" w:eastAsia="Times New Roman" w:hAnsi="Times New Roman"/>
          <w:sz w:val="12"/>
          <w:szCs w:val="12"/>
          <w:color w:val="auto"/>
        </w:rPr>
        <w:t>” means any entity that together with any Group Company would be deemed a “single employer” for purposes of Section 4001(b)(1) of ERISA and/or Sections 414(b), (c) and/or (m) of the Code.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ESPP Proposal</w:t>
      </w:r>
      <w:r>
        <w:rPr>
          <w:rFonts w:ascii="Times New Roman" w:cs="Times New Roman" w:eastAsia="Times New Roman" w:hAnsi="Times New Roman"/>
          <w:sz w:val="12"/>
          <w:szCs w:val="12"/>
          <w:color w:val="auto"/>
        </w:rPr>
        <w:t>” has the meaning set forth in Section 5.8.</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Exchange Act</w:t>
      </w:r>
      <w:r>
        <w:rPr>
          <w:rFonts w:ascii="Times New Roman" w:cs="Times New Roman" w:eastAsia="Times New Roman" w:hAnsi="Times New Roman"/>
          <w:sz w:val="12"/>
          <w:szCs w:val="12"/>
          <w:color w:val="auto"/>
        </w:rPr>
        <w:t>” means the Securities Exchange Act of 1934.</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Exchange Agent</w:t>
      </w:r>
      <w:r>
        <w:rPr>
          <w:rFonts w:ascii="Times New Roman" w:cs="Times New Roman" w:eastAsia="Times New Roman" w:hAnsi="Times New Roman"/>
          <w:sz w:val="12"/>
          <w:szCs w:val="12"/>
          <w:color w:val="auto"/>
        </w:rPr>
        <w:t>” has the meaning set forth in Section 2.6(a).</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Exchange Agent Agreement</w:t>
      </w:r>
      <w:r>
        <w:rPr>
          <w:rFonts w:ascii="Times New Roman" w:cs="Times New Roman" w:eastAsia="Times New Roman" w:hAnsi="Times New Roman"/>
          <w:sz w:val="12"/>
          <w:szCs w:val="12"/>
          <w:color w:val="auto"/>
        </w:rPr>
        <w:t>” has the meaning set forth in Section 2.6(a).</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Exchange Fund</w:t>
      </w:r>
      <w:r>
        <w:rPr>
          <w:rFonts w:ascii="Times New Roman" w:cs="Times New Roman" w:eastAsia="Times New Roman" w:hAnsi="Times New Roman"/>
          <w:sz w:val="12"/>
          <w:szCs w:val="12"/>
          <w:color w:val="auto"/>
        </w:rPr>
        <w:t>” has the meaning set forth in Section 2.6(b).</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Exchange Ratio</w:t>
      </w:r>
      <w:r>
        <w:rPr>
          <w:rFonts w:ascii="Times New Roman" w:cs="Times New Roman" w:eastAsia="Times New Roman" w:hAnsi="Times New Roman"/>
          <w:sz w:val="12"/>
          <w:szCs w:val="12"/>
          <w:color w:val="auto"/>
        </w:rPr>
        <w:t>” means the quotient obtained by dividing (a) the Transaction Share Consideration, by (b) the number of Fully-Diluted Shares.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Federal Securities Laws</w:t>
      </w:r>
      <w:r>
        <w:rPr>
          <w:rFonts w:ascii="Times New Roman" w:cs="Times New Roman" w:eastAsia="Times New Roman" w:hAnsi="Times New Roman"/>
          <w:sz w:val="12"/>
          <w:szCs w:val="12"/>
          <w:color w:val="auto"/>
        </w:rPr>
        <w:t>” means the Exchange Act, the Securities Act and the other U.S. federal securities laws and the rules and regulations of the SEC promulgated thereunder or otherwise.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Financial Statements</w:t>
      </w:r>
      <w:r>
        <w:rPr>
          <w:rFonts w:ascii="Times New Roman" w:cs="Times New Roman" w:eastAsia="Times New Roman" w:hAnsi="Times New Roman"/>
          <w:sz w:val="12"/>
          <w:szCs w:val="12"/>
          <w:color w:val="auto"/>
        </w:rPr>
        <w:t>” has the meaning set forth in Section 3.4(a).</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Foreign Benefit Plan</w:t>
      </w:r>
      <w:r>
        <w:rPr>
          <w:rFonts w:ascii="Times New Roman" w:cs="Times New Roman" w:eastAsia="Times New Roman" w:hAnsi="Times New Roman"/>
          <w:sz w:val="12"/>
          <w:szCs w:val="12"/>
          <w:color w:val="auto"/>
        </w:rPr>
        <w:t>” means each Employee Benefit Plan maintained by any of the Group Companies for its current or former employees, officers, directors or other individual service providers located outside of the United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States.</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b w:val="1"/>
          <w:bCs w:val="1"/>
          <w:i w:val="1"/>
          <w:iCs w:val="1"/>
          <w:color w:val="auto"/>
        </w:rPr>
        <w:t>Founders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means Siyu Huang and Alex Yu.</w:t>
      </w:r>
    </w:p>
    <w:p>
      <w:pPr>
        <w:spacing w:after="0" w:line="150"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Fraud</w:t>
      </w:r>
      <w:r>
        <w:rPr>
          <w:rFonts w:ascii="Times New Roman" w:cs="Times New Roman" w:eastAsia="Times New Roman" w:hAnsi="Times New Roman"/>
          <w:sz w:val="12"/>
          <w:szCs w:val="12"/>
          <w:color w:val="auto"/>
        </w:rPr>
        <w:t>” means an act or omission by a Party, and requires: (a) a false or incorrect representation or warranty expressly set forth in this Agreement, (b) with actual knowledge (as opposed to constructive, imputed or implied knowledge) by the Party making such representation or warranty that such representation or warranty expressly set forth in this Agreement is false or incorrect, (c) an intention to deceive another Party, to induce such Party to enter into this Agreement, (d) an intention to deceive another Party, in justifiable or reasonable reliance upon such false or incorrect representation or warranty expressly set forth in this Agreement, causing such Party to enter into this Agreement, and (e) an intention to deceive another Party, to suffer damage by reason of such reliance. For the avoidance of doubt, “</w:t>
      </w:r>
      <w:r>
        <w:rPr>
          <w:rFonts w:ascii="Times New Roman" w:cs="Times New Roman" w:eastAsia="Times New Roman" w:hAnsi="Times New Roman"/>
          <w:sz w:val="12"/>
          <w:szCs w:val="12"/>
          <w:b w:val="1"/>
          <w:bCs w:val="1"/>
          <w:i w:val="1"/>
          <w:iCs w:val="1"/>
          <w:color w:val="auto"/>
        </w:rPr>
        <w:t>Fraud</w:t>
      </w:r>
      <w:r>
        <w:rPr>
          <w:rFonts w:ascii="Times New Roman" w:cs="Times New Roman" w:eastAsia="Times New Roman" w:hAnsi="Times New Roman"/>
          <w:sz w:val="12"/>
          <w:szCs w:val="12"/>
          <w:color w:val="auto"/>
        </w:rPr>
        <w:t>” does not include any claim for equitable fraud, promissory fraud, unfair dealings fraud or any torts (including a claim for fraud or alleged fraud) based on negligence or recklessness.</w:t>
      </w:r>
    </w:p>
    <w:p>
      <w:pPr>
        <w:spacing w:after="0" w:line="11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Fully-Diluted Shares</w:t>
      </w:r>
      <w:r>
        <w:rPr>
          <w:rFonts w:ascii="Times New Roman" w:cs="Times New Roman" w:eastAsia="Times New Roman" w:hAnsi="Times New Roman"/>
          <w:sz w:val="12"/>
          <w:szCs w:val="12"/>
          <w:color w:val="auto"/>
        </w:rPr>
        <w:t>” means an amount equal to, without duplication, (a) the aggregate number of Company Shares and any other shares of capital stock of the Company that are issued and outstanding as of immediately prior to the Effective Time calculated on a fully-diluted, as converted-to-Company Common Shares basis in accordance with the Company Certificate of Incorporation (including, for the avoidance of doubt, (i) the Company Common Shares issued upon the exercise of the Company Warrants immediately prior to the Closing pursuant to Section 2.4(c), (ii) the Company Common Shares issued upon the conversion of the Company Convertible Notes, to the extent the Company Convertible Notes are converted prior to the Closing, (iii) the Company Common Shares issued in connection with the Company Preferred Share Conversion pursuant to Section 2.4(d)), plus (b) the aggregate number of Company Common Shares issuable upon the full exercise, exchange or conversion of Vested Company Equity Awards that are outstanding as of immediately prior to the Effective Time. For the avoidance of doubt, the Company Common Shares issuable upon the full exercise, exchange or conversion of Unvested Company Equity Awards that are outstanding as of immediately prior to the Effective Time are not included in the calculation of Fully-Diluted Shares.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6" w:name="page27"/>
    <w:bookmarkEnd w:id="26"/>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GAAP</w:t>
      </w:r>
      <w:r>
        <w:rPr>
          <w:rFonts w:ascii="Times New Roman" w:cs="Times New Roman" w:eastAsia="Times New Roman" w:hAnsi="Times New Roman"/>
          <w:sz w:val="12"/>
          <w:szCs w:val="12"/>
          <w:color w:val="auto"/>
        </w:rPr>
        <w:t>” means United States generally accepted accounting principles.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Governing Document Proposals</w:t>
      </w:r>
      <w:r>
        <w:rPr>
          <w:rFonts w:ascii="Times New Roman" w:cs="Times New Roman" w:eastAsia="Times New Roman" w:hAnsi="Times New Roman"/>
          <w:sz w:val="12"/>
          <w:szCs w:val="12"/>
          <w:color w:val="auto"/>
        </w:rPr>
        <w:t>” has the meaning set forth in Section 5.8.</w:t>
      </w:r>
    </w:p>
    <w:p>
      <w:pPr>
        <w:spacing w:after="0" w:line="150"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Governing Documents</w:t>
      </w:r>
      <w:r>
        <w:rPr>
          <w:rFonts w:ascii="Times New Roman" w:cs="Times New Roman" w:eastAsia="Times New Roman" w:hAnsi="Times New Roman"/>
          <w:sz w:val="12"/>
          <w:szCs w:val="12"/>
          <w:color w:val="auto"/>
        </w:rPr>
        <w:t>” means the legal document(s) by which any Person (other than an individual) establishes its legal existence or which govern its internal affairs. For example, the “</w:t>
      </w:r>
      <w:r>
        <w:rPr>
          <w:rFonts w:ascii="Times New Roman" w:cs="Times New Roman" w:eastAsia="Times New Roman" w:hAnsi="Times New Roman"/>
          <w:sz w:val="12"/>
          <w:szCs w:val="12"/>
          <w:b w:val="1"/>
          <w:bCs w:val="1"/>
          <w:i w:val="1"/>
          <w:iCs w:val="1"/>
          <w:color w:val="auto"/>
        </w:rPr>
        <w:t>Governing Documents</w:t>
      </w:r>
      <w:r>
        <w:rPr>
          <w:rFonts w:ascii="Times New Roman" w:cs="Times New Roman" w:eastAsia="Times New Roman" w:hAnsi="Times New Roman"/>
          <w:sz w:val="12"/>
          <w:szCs w:val="12"/>
          <w:color w:val="auto"/>
        </w:rPr>
        <w:t>” of a U.S. corporation are its certificate or articles of incorporation and by-laws, the “</w:t>
      </w:r>
      <w:r>
        <w:rPr>
          <w:rFonts w:ascii="Times New Roman" w:cs="Times New Roman" w:eastAsia="Times New Roman" w:hAnsi="Times New Roman"/>
          <w:sz w:val="12"/>
          <w:szCs w:val="12"/>
          <w:b w:val="1"/>
          <w:bCs w:val="1"/>
          <w:i w:val="1"/>
          <w:iCs w:val="1"/>
          <w:color w:val="auto"/>
        </w:rPr>
        <w:t>Governing Documents</w:t>
      </w:r>
      <w:r>
        <w:rPr>
          <w:rFonts w:ascii="Times New Roman" w:cs="Times New Roman" w:eastAsia="Times New Roman" w:hAnsi="Times New Roman"/>
          <w:sz w:val="12"/>
          <w:szCs w:val="12"/>
          <w:color w:val="auto"/>
        </w:rPr>
        <w:t>” of a U.S. limited partnership are its limited partnership agreement and certificate of limited partnership, the “</w:t>
      </w:r>
      <w:r>
        <w:rPr>
          <w:rFonts w:ascii="Times New Roman" w:cs="Times New Roman" w:eastAsia="Times New Roman" w:hAnsi="Times New Roman"/>
          <w:sz w:val="12"/>
          <w:szCs w:val="12"/>
          <w:b w:val="1"/>
          <w:bCs w:val="1"/>
          <w:i w:val="1"/>
          <w:iCs w:val="1"/>
          <w:color w:val="auto"/>
        </w:rPr>
        <w:t>Governing Documents</w:t>
      </w:r>
      <w:r>
        <w:rPr>
          <w:rFonts w:ascii="Times New Roman" w:cs="Times New Roman" w:eastAsia="Times New Roman" w:hAnsi="Times New Roman"/>
          <w:sz w:val="12"/>
          <w:szCs w:val="12"/>
          <w:color w:val="auto"/>
        </w:rPr>
        <w:t>” of a U.S. limited liability company are its operating or limited liability company agreement and certificate of formation and the “</w:t>
      </w:r>
      <w:r>
        <w:rPr>
          <w:rFonts w:ascii="Times New Roman" w:cs="Times New Roman" w:eastAsia="Times New Roman" w:hAnsi="Times New Roman"/>
          <w:sz w:val="12"/>
          <w:szCs w:val="12"/>
          <w:b w:val="1"/>
          <w:bCs w:val="1"/>
          <w:i w:val="1"/>
          <w:iCs w:val="1"/>
          <w:color w:val="auto"/>
        </w:rPr>
        <w:t>Governing Documents</w:t>
      </w:r>
      <w:r>
        <w:rPr>
          <w:rFonts w:ascii="Times New Roman" w:cs="Times New Roman" w:eastAsia="Times New Roman" w:hAnsi="Times New Roman"/>
          <w:sz w:val="12"/>
          <w:szCs w:val="12"/>
          <w:color w:val="auto"/>
        </w:rPr>
        <w:t>” of a Cayman Islands exempted company are its memorandum and articles of association.</w:t>
      </w:r>
    </w:p>
    <w:p>
      <w:pPr>
        <w:spacing w:after="0" w:line="117" w:lineRule="exact"/>
        <w:rPr>
          <w:sz w:val="20"/>
          <w:szCs w:val="20"/>
          <w:color w:val="auto"/>
        </w:rPr>
      </w:pPr>
    </w:p>
    <w:p>
      <w:pPr>
        <w:jc w:val="both"/>
        <w:ind w:right="20"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Governmental Entity</w:t>
      </w:r>
      <w:r>
        <w:rPr>
          <w:rFonts w:ascii="Times New Roman" w:cs="Times New Roman" w:eastAsia="Times New Roman" w:hAnsi="Times New Roman"/>
          <w:sz w:val="12"/>
          <w:szCs w:val="12"/>
          <w:color w:val="auto"/>
        </w:rPr>
        <w:t>” means any United States or non-United States (a) federal, state, local, municipal or other government, (b) governmental entity of any nature (including any governmental agency, branch, department, official, or entity and any court or other tribunal) or (c) body entitled under applicable Law to exercise any administrative, executive, judicial, legislative, police, regulatory, or taxing authority or power of any nature, including any arbitral tribunal (public or private).</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Group Company</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b w:val="1"/>
          <w:bCs w:val="1"/>
          <w:i w:val="1"/>
          <w:iCs w:val="1"/>
          <w:color w:val="auto"/>
        </w:rPr>
        <w:t>Group Companies</w:t>
      </w:r>
      <w:r>
        <w:rPr>
          <w:rFonts w:ascii="Times New Roman" w:cs="Times New Roman" w:eastAsia="Times New Roman" w:hAnsi="Times New Roman"/>
          <w:sz w:val="12"/>
          <w:szCs w:val="12"/>
          <w:color w:val="auto"/>
        </w:rPr>
        <w:t>” means, collectively, the Company and its Subsidiaries.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Hazardous Substance</w:t>
      </w:r>
      <w:r>
        <w:rPr>
          <w:rFonts w:ascii="Times New Roman" w:cs="Times New Roman" w:eastAsia="Times New Roman" w:hAnsi="Times New Roman"/>
          <w:sz w:val="12"/>
          <w:szCs w:val="12"/>
          <w:color w:val="auto"/>
        </w:rPr>
        <w:t>” means any pollutant, contaminant or toxic or hazardous material, substance or waste or petroleum, or any fraction thereof.</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HSR Act</w:t>
      </w:r>
      <w:r>
        <w:rPr>
          <w:rFonts w:ascii="Times New Roman" w:cs="Times New Roman" w:eastAsia="Times New Roman" w:hAnsi="Times New Roman"/>
          <w:sz w:val="12"/>
          <w:szCs w:val="12"/>
          <w:color w:val="auto"/>
        </w:rPr>
        <w:t>” means the Hart-Scott-Rodino Antitrust Improvements Act of 1976 and the rules and regulations promulgated thereunder.</w:t>
      </w:r>
    </w:p>
    <w:p>
      <w:pPr>
        <w:spacing w:after="0" w:line="15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Indebtedness</w:t>
      </w:r>
      <w:r>
        <w:rPr>
          <w:rFonts w:ascii="Times New Roman" w:cs="Times New Roman" w:eastAsia="Times New Roman" w:hAnsi="Times New Roman"/>
          <w:sz w:val="12"/>
          <w:szCs w:val="12"/>
          <w:color w:val="auto"/>
        </w:rPr>
        <w:t>” means, as of any time, without duplication, with respect to any Person, the outstanding principal amount of, accrued and unpaid interest on, fees and expenses arising under or in respect of (a) indebtedness for borrowed money, (b) other obligations evidenced by any note, bond, debenture or other debt security (including, for the avoidance of doubt, the Company Convertible Notes), (c) obligations for the deferred purchase price of property or assets, including “</w:t>
      </w:r>
      <w:r>
        <w:rPr>
          <w:rFonts w:ascii="Times New Roman" w:cs="Times New Roman" w:eastAsia="Times New Roman" w:hAnsi="Times New Roman"/>
          <w:sz w:val="12"/>
          <w:szCs w:val="12"/>
          <w:b w:val="1"/>
          <w:bCs w:val="1"/>
          <w:i w:val="1"/>
          <w:iCs w:val="1"/>
          <w:color w:val="auto"/>
        </w:rPr>
        <w:t>earn-outs</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b w:val="1"/>
          <w:bCs w:val="1"/>
          <w:i w:val="1"/>
          <w:iCs w:val="1"/>
          <w:color w:val="auto"/>
        </w:rPr>
        <w:t>seller notes</w:t>
      </w:r>
      <w:r>
        <w:rPr>
          <w:rFonts w:ascii="Times New Roman" w:cs="Times New Roman" w:eastAsia="Times New Roman" w:hAnsi="Times New Roman"/>
          <w:sz w:val="12"/>
          <w:szCs w:val="12"/>
          <w:color w:val="auto"/>
        </w:rPr>
        <w:t>” (but excluding any trade payables arising in the ordinary course of business), (d) reimbursement and other obligations with respect to letters of credit, bank guarantees, bankers’ acceptances or other similar instruments, in each case, solely to the extent drawn, (e) leases required to be capitalized under GAAP, (f) derivative, hedging, swap, foreign exchange or similar arrangements, including swaps, caps, collars, hedges or similar arrangements, and (g) any of the obligations of any other Person of the type referred to in clauses (a) through (f) above directly or indirectly guaranteed by such Person or secured by any assets of such Person, whether or not such Indebtedness has been assumed by such Person.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Initial Company Designee</w:t>
      </w:r>
      <w:r>
        <w:rPr>
          <w:rFonts w:ascii="Times New Roman" w:cs="Times New Roman" w:eastAsia="Times New Roman" w:hAnsi="Times New Roman"/>
          <w:sz w:val="12"/>
          <w:szCs w:val="12"/>
          <w:color w:val="auto"/>
        </w:rPr>
        <w:t>” has the meaning set forth in Section 5.16(b).</w:t>
      </w:r>
    </w:p>
    <w:p>
      <w:pPr>
        <w:spacing w:after="0" w:line="150"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Intellectual Property Rights</w:t>
      </w:r>
      <w:r>
        <w:rPr>
          <w:rFonts w:ascii="Times New Roman" w:cs="Times New Roman" w:eastAsia="Times New Roman" w:hAnsi="Times New Roman"/>
          <w:sz w:val="12"/>
          <w:szCs w:val="12"/>
          <w:color w:val="auto"/>
        </w:rPr>
        <w:t>” means all intellectual property rights and related priority rights protected, created or arising under the Laws of the United States or any other jurisdiction or under any international convention, including all (a) patents and patent applications, industrial designs and design patent rights, including any continuations, divisionals, continuations-in-part and provisional applications and statutory invention registrations, and any patents issuing on any of the foregoing and any reissues, reexaminations, substitutes, supplementary protection certificates, extensions of any of the foregoing; (b) trademarks, service marks, trade names, service names, brand names, trade dress rights, logos, Internet domain names, corporate names and other source or business identifiers, together with the goodwill associated with any of the foregoing, and all applications, registrations, extensions and renewals of any of the foregoing; (c) copyrights and works of authorship, database and design rights, mask work rights and moral rights, whether or not registered or published, and all registrations, applications, renewals, extensions and reversions of any of any of the foregoing; (d) trade secrets, know-how and confidential and proprietary information, including invention disclosures, inventions and formulae, whether patentable or not; and (e) rights in or to Software or other technology.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7" w:name="page28"/>
    <w:bookmarkEnd w:id="27"/>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Intended Tax Treatment</w:t>
      </w:r>
      <w:r>
        <w:rPr>
          <w:rFonts w:ascii="Times New Roman" w:cs="Times New Roman" w:eastAsia="Times New Roman" w:hAnsi="Times New Roman"/>
          <w:sz w:val="12"/>
          <w:szCs w:val="12"/>
          <w:color w:val="auto"/>
        </w:rPr>
        <w:t>” has the meaning set forth in the recitals to this Agreement.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Investment Company Act</w:t>
      </w:r>
      <w:r>
        <w:rPr>
          <w:rFonts w:ascii="Times New Roman" w:cs="Times New Roman" w:eastAsia="Times New Roman" w:hAnsi="Times New Roman"/>
          <w:sz w:val="12"/>
          <w:szCs w:val="12"/>
          <w:color w:val="auto"/>
        </w:rPr>
        <w:t>” means the Investment Company Act of 1940.</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Investor Stock Purchase Agreements</w:t>
      </w:r>
      <w:r>
        <w:rPr>
          <w:rFonts w:ascii="Times New Roman" w:cs="Times New Roman" w:eastAsia="Times New Roman" w:hAnsi="Times New Roman"/>
          <w:sz w:val="12"/>
          <w:szCs w:val="12"/>
          <w:color w:val="auto"/>
        </w:rPr>
        <w:t>” has the meaning set forth in the recitals to this Agreement.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IPO</w:t>
      </w:r>
      <w:r>
        <w:rPr>
          <w:rFonts w:ascii="Times New Roman" w:cs="Times New Roman" w:eastAsia="Times New Roman" w:hAnsi="Times New Roman"/>
          <w:sz w:val="12"/>
          <w:szCs w:val="12"/>
          <w:color w:val="auto"/>
        </w:rPr>
        <w:t>” has the meaning set forth in Section 8.18.</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JOBS Act</w:t>
      </w:r>
      <w:r>
        <w:rPr>
          <w:rFonts w:ascii="Times New Roman" w:cs="Times New Roman" w:eastAsia="Times New Roman" w:hAnsi="Times New Roman"/>
          <w:sz w:val="12"/>
          <w:szCs w:val="12"/>
          <w:color w:val="auto"/>
        </w:rPr>
        <w:t>” means the Jumpstart Our Business Startups Act of 2012.</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Key Supporting Company Stockholders</w:t>
      </w:r>
      <w:r>
        <w:rPr>
          <w:rFonts w:ascii="Times New Roman" w:cs="Times New Roman" w:eastAsia="Times New Roman" w:hAnsi="Times New Roman"/>
          <w:sz w:val="12"/>
          <w:szCs w:val="12"/>
          <w:color w:val="auto"/>
        </w:rPr>
        <w:t>” has the meaning set forth in the recitals to this Agreement.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Latest Balance Sheet</w:t>
      </w:r>
      <w:r>
        <w:rPr>
          <w:rFonts w:ascii="Times New Roman" w:cs="Times New Roman" w:eastAsia="Times New Roman" w:hAnsi="Times New Roman"/>
          <w:sz w:val="12"/>
          <w:szCs w:val="12"/>
          <w:color w:val="auto"/>
        </w:rPr>
        <w:t>” has the meaning set forth in Section 3.4(a).</w:t>
      </w:r>
    </w:p>
    <w:p>
      <w:pPr>
        <w:spacing w:after="0" w:line="150"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Law</w:t>
      </w:r>
      <w:r>
        <w:rPr>
          <w:rFonts w:ascii="Times New Roman" w:cs="Times New Roman" w:eastAsia="Times New Roman" w:hAnsi="Times New Roman"/>
          <w:sz w:val="12"/>
          <w:szCs w:val="12"/>
          <w:color w:val="auto"/>
        </w:rPr>
        <w:t>” means any federal, state, local, foreign, national or supranational statute, law (including common law), act, statute, ordinance, treaty, rule, code, regulation or other legally binding directive or guidance issued, promulgated or enforced by a Governmental Entity having jurisdiction over a given matter.</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Leased Real Property</w:t>
      </w:r>
      <w:r>
        <w:rPr>
          <w:rFonts w:ascii="Times New Roman" w:cs="Times New Roman" w:eastAsia="Times New Roman" w:hAnsi="Times New Roman"/>
          <w:sz w:val="12"/>
          <w:szCs w:val="12"/>
          <w:color w:val="auto"/>
        </w:rPr>
        <w:t>” has the meaning set forth in Section 3.18(b).</w:t>
      </w:r>
    </w:p>
    <w:p>
      <w:pPr>
        <w:spacing w:after="0" w:line="150"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Liability</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i w:val="1"/>
          <w:iCs w:val="1"/>
          <w:color w:val="auto"/>
        </w:rPr>
        <w:t>liability</w:t>
      </w:r>
      <w:r>
        <w:rPr>
          <w:rFonts w:ascii="Times New Roman" w:cs="Times New Roman" w:eastAsia="Times New Roman" w:hAnsi="Times New Roman"/>
          <w:sz w:val="12"/>
          <w:szCs w:val="12"/>
          <w:color w:val="auto"/>
        </w:rPr>
        <w:t>” means any and all debts, liabilities and obligations, whether accrued or fixed, absolute or contingent, known or unknown, matured or unmatured or determined or determinable, including those arising under any Law (including any Environmental Law), Proceeding or Order and those arising under any Contract, agreement, arrangement, commitment or undertaking.</w:t>
      </w:r>
    </w:p>
    <w:p>
      <w:pPr>
        <w:spacing w:after="0" w:line="103"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Lien</w:t>
      </w:r>
      <w:r>
        <w:rPr>
          <w:rFonts w:ascii="Times New Roman" w:cs="Times New Roman" w:eastAsia="Times New Roman" w:hAnsi="Times New Roman"/>
          <w:sz w:val="12"/>
          <w:szCs w:val="12"/>
          <w:color w:val="auto"/>
        </w:rPr>
        <w:t>” means any mortgage, pledge, security interest, encumbrance, lien, license or sub-license, charge, or other similar encumbrance or interest (including, in the case of any Equity Securities, any voting, transfer or similar restrictions).</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Lookback Date</w:t>
      </w:r>
      <w:r>
        <w:rPr>
          <w:rFonts w:ascii="Times New Roman" w:cs="Times New Roman" w:eastAsia="Times New Roman" w:hAnsi="Times New Roman"/>
          <w:sz w:val="12"/>
          <w:szCs w:val="12"/>
          <w:color w:val="auto"/>
        </w:rPr>
        <w:t>” means January 1, 2023.</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Material Contracts</w:t>
      </w:r>
      <w:r>
        <w:rPr>
          <w:rFonts w:ascii="Times New Roman" w:cs="Times New Roman" w:eastAsia="Times New Roman" w:hAnsi="Times New Roman"/>
          <w:sz w:val="12"/>
          <w:szCs w:val="12"/>
          <w:color w:val="auto"/>
        </w:rPr>
        <w:t>” has the meaning set forth in Section 3.7(a).</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Material Permits</w:t>
      </w:r>
      <w:r>
        <w:rPr>
          <w:rFonts w:ascii="Times New Roman" w:cs="Times New Roman" w:eastAsia="Times New Roman" w:hAnsi="Times New Roman"/>
          <w:sz w:val="12"/>
          <w:szCs w:val="12"/>
          <w:color w:val="auto"/>
        </w:rPr>
        <w:t>” has the meaning set forth in Section 3.6.</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Merger</w:t>
      </w:r>
      <w:r>
        <w:rPr>
          <w:rFonts w:ascii="Times New Roman" w:cs="Times New Roman" w:eastAsia="Times New Roman" w:hAnsi="Times New Roman"/>
          <w:sz w:val="12"/>
          <w:szCs w:val="12"/>
          <w:color w:val="auto"/>
        </w:rPr>
        <w:t>” has the meaning set forth in the recitals to this Agreement.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Merger Sub</w:t>
      </w:r>
      <w:r>
        <w:rPr>
          <w:rFonts w:ascii="Times New Roman" w:cs="Times New Roman" w:eastAsia="Times New Roman" w:hAnsi="Times New Roman"/>
          <w:sz w:val="12"/>
          <w:szCs w:val="12"/>
          <w:color w:val="auto"/>
        </w:rPr>
        <w:t>” has the meaning set forth in the introductory paragraph to this Agreement.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Multiemployer Plan</w:t>
      </w:r>
      <w:r>
        <w:rPr>
          <w:rFonts w:ascii="Times New Roman" w:cs="Times New Roman" w:eastAsia="Times New Roman" w:hAnsi="Times New Roman"/>
          <w:sz w:val="12"/>
          <w:szCs w:val="12"/>
          <w:color w:val="auto"/>
        </w:rPr>
        <w:t>” has the meaning set forth in Section (3)37 or Section 4001(a)(3) of ERISA.</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Nasdaq</w:t>
      </w:r>
      <w:r>
        <w:rPr>
          <w:rFonts w:ascii="Times New Roman" w:cs="Times New Roman" w:eastAsia="Times New Roman" w:hAnsi="Times New Roman"/>
          <w:sz w:val="12"/>
          <w:szCs w:val="12"/>
          <w:color w:val="auto"/>
        </w:rPr>
        <w:t>” means the Nasdaq Capital Market.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Nasdaq Proposal</w:t>
      </w:r>
      <w:r>
        <w:rPr>
          <w:rFonts w:ascii="Times New Roman" w:cs="Times New Roman" w:eastAsia="Times New Roman" w:hAnsi="Times New Roman"/>
          <w:sz w:val="12"/>
          <w:szCs w:val="12"/>
          <w:color w:val="auto"/>
        </w:rPr>
        <w:t>” has the meaning set forth in Section 5.8.</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Non-Party Affiliate</w:t>
      </w:r>
      <w:r>
        <w:rPr>
          <w:rFonts w:ascii="Times New Roman" w:cs="Times New Roman" w:eastAsia="Times New Roman" w:hAnsi="Times New Roman"/>
          <w:sz w:val="12"/>
          <w:szCs w:val="12"/>
          <w:color w:val="auto"/>
        </w:rPr>
        <w:t>” has the meaning set forth in Section 8.13.</w:t>
      </w:r>
    </w:p>
    <w:p>
      <w:pPr>
        <w:spacing w:after="0" w:line="150" w:lineRule="exact"/>
        <w:rPr>
          <w:sz w:val="20"/>
          <w:szCs w:val="20"/>
          <w:color w:val="auto"/>
        </w:rPr>
      </w:pPr>
    </w:p>
    <w:p>
      <w:pPr>
        <w:ind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Off-the-Shelf Software</w:t>
      </w:r>
      <w:r>
        <w:rPr>
          <w:rFonts w:ascii="Times New Roman" w:cs="Times New Roman" w:eastAsia="Times New Roman" w:hAnsi="Times New Roman"/>
          <w:sz w:val="12"/>
          <w:szCs w:val="12"/>
          <w:color w:val="auto"/>
        </w:rPr>
        <w:t>” means any Software that is made generally and widely available to the public on a commercial basis and is licensed to any of the Group Companies on a non-exclusive basis under standard terms and conditions.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8" w:name="page29"/>
    <w:bookmarkEnd w:id="28"/>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Officers</w:t>
      </w:r>
      <w:r>
        <w:rPr>
          <w:rFonts w:ascii="Times New Roman" w:cs="Times New Roman" w:eastAsia="Times New Roman" w:hAnsi="Times New Roman"/>
          <w:sz w:val="12"/>
          <w:szCs w:val="12"/>
          <w:color w:val="auto"/>
        </w:rPr>
        <w:t>” has the meaning set forth in Section 5.16(a).</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Order</w:t>
      </w:r>
      <w:r>
        <w:rPr>
          <w:rFonts w:ascii="Times New Roman" w:cs="Times New Roman" w:eastAsia="Times New Roman" w:hAnsi="Times New Roman"/>
          <w:sz w:val="12"/>
          <w:szCs w:val="12"/>
          <w:color w:val="auto"/>
        </w:rPr>
        <w:t>” means any outstanding writ, order, judgment, injunction, decision, determination, award, ruling, subpoena, verdict or decree entered, issued or rendered by any Governmental Entity.</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Other CGC Shareholder Approval</w:t>
      </w:r>
      <w:r>
        <w:rPr>
          <w:rFonts w:ascii="Times New Roman" w:cs="Times New Roman" w:eastAsia="Times New Roman" w:hAnsi="Times New Roman"/>
          <w:sz w:val="12"/>
          <w:szCs w:val="12"/>
          <w:color w:val="auto"/>
        </w:rPr>
        <w:t>” means the approval of each Other Transaction Proposal by the affirmative vote of the holders of the requisite number of CGC Shares entitled to vote thereon, whether in person or by proxy at the CGC Shareholders Meeting (or any adjournment thereof), in accordance with the Governing Documents of CGC and applicable Law.</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Other Transaction Proposal</w:t>
      </w:r>
      <w:r>
        <w:rPr>
          <w:rFonts w:ascii="Times New Roman" w:cs="Times New Roman" w:eastAsia="Times New Roman" w:hAnsi="Times New Roman"/>
          <w:sz w:val="12"/>
          <w:szCs w:val="12"/>
          <w:color w:val="auto"/>
        </w:rPr>
        <w:t>” means each Transaction Proposal, other than the Required Transaction Proposals.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Parties</w:t>
      </w:r>
      <w:r>
        <w:rPr>
          <w:rFonts w:ascii="Times New Roman" w:cs="Times New Roman" w:eastAsia="Times New Roman" w:hAnsi="Times New Roman"/>
          <w:sz w:val="12"/>
          <w:szCs w:val="12"/>
          <w:color w:val="auto"/>
        </w:rPr>
        <w:t>” has the meaning set forth in the introductory paragraph to this Agreement.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PCAOB</w:t>
      </w:r>
      <w:r>
        <w:rPr>
          <w:rFonts w:ascii="Times New Roman" w:cs="Times New Roman" w:eastAsia="Times New Roman" w:hAnsi="Times New Roman"/>
          <w:sz w:val="12"/>
          <w:szCs w:val="12"/>
          <w:color w:val="auto"/>
        </w:rPr>
        <w:t>” means the Public Company Accounting Oversight Board.</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Permits</w:t>
      </w:r>
      <w:r>
        <w:rPr>
          <w:rFonts w:ascii="Times New Roman" w:cs="Times New Roman" w:eastAsia="Times New Roman" w:hAnsi="Times New Roman"/>
          <w:sz w:val="12"/>
          <w:szCs w:val="12"/>
          <w:color w:val="auto"/>
        </w:rPr>
        <w:t>” means any approvals, authorizations, clearances, declarations of conformity, licenses, registrations, permits or certificates of a Governmental Entity.</w:t>
      </w:r>
    </w:p>
    <w:p>
      <w:pPr>
        <w:spacing w:after="0" w:line="150"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Permitted Liens</w:t>
      </w:r>
      <w:r>
        <w:rPr>
          <w:rFonts w:ascii="Times New Roman" w:cs="Times New Roman" w:eastAsia="Times New Roman" w:hAnsi="Times New Roman"/>
          <w:sz w:val="12"/>
          <w:szCs w:val="12"/>
          <w:color w:val="auto"/>
        </w:rPr>
        <w:t>” means (a) mechanic’s, materialmen’s, carriers’, repairers’ and other similar statutory Liens arising or incurred in the ordinary course of business for amounts that are not yet due and payable or are being contested in good faith by appropriate proceedings and for which sufficient reserves have been established in accordance with GAAP, (b) Liens for Taxes, assessments or other governmental charges not yet due and payable as of the Closing Date or which are being contested in good faith by appropriate proceedings and for which sufficient reserves have been established in accordance with GAAP, (c) encumbrances and restrictions on real property (including easements, covenants, conditions, rights of way and similar restrictions) that do not prohibit or materially interfere with any of the Group Companies’ use or occupancy of such real property, (d) zoning, building codes and other land use Laws regulating the use or occupancy of real property or the activities conducted thereon which are imposed by any Governmental Entity having jurisdiction over such real property and which are not violated by the use or occupancy of such real property or the operation of the businesses of the Group Company and do not prohibit or materially interfere with any of the Group Companies’ use or occupancy of such real property, (e) cash deposits or cash pledges to secure the payment of workers’ compensation, unemployment insurance, social security benefits or obligations arising under similar Laws or to secure the performance of public or statutory obligations, surety or appeal bonds, and other obligations of a like nature, in each case in the ordinary course of business and which are not yet due and payable, (f) grants by any Group Company of non-exclusive rights in Intellectual Property Rights in the ordinary course of business consistent with past practice and (g) other Liens that do not materially and adversely affect the value, use or operation of the asset subject thereto.</w:t>
      </w:r>
    </w:p>
    <w:p>
      <w:pPr>
        <w:spacing w:after="0" w:line="126"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Person</w:t>
      </w:r>
      <w:r>
        <w:rPr>
          <w:rFonts w:ascii="Times New Roman" w:cs="Times New Roman" w:eastAsia="Times New Roman" w:hAnsi="Times New Roman"/>
          <w:sz w:val="12"/>
          <w:szCs w:val="12"/>
          <w:color w:val="auto"/>
        </w:rPr>
        <w:t>” means an individual, partnership, corporation, limited liability company, joint stock company, unincorporated organization or association, trust, joint venture or other similar entity, whether or not a legal entity or Governmental Entity.</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Personal Data</w:t>
      </w:r>
      <w:r>
        <w:rPr>
          <w:rFonts w:ascii="Times New Roman" w:cs="Times New Roman" w:eastAsia="Times New Roman" w:hAnsi="Times New Roman"/>
          <w:sz w:val="12"/>
          <w:szCs w:val="12"/>
          <w:color w:val="auto"/>
        </w:rPr>
        <w:t>” means any data or information relating to an identified natural person that is regulated by the Privacy Laws.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PIPE Financing</w:t>
      </w:r>
      <w:r>
        <w:rPr>
          <w:rFonts w:ascii="Times New Roman" w:cs="Times New Roman" w:eastAsia="Times New Roman" w:hAnsi="Times New Roman"/>
          <w:sz w:val="12"/>
          <w:szCs w:val="12"/>
          <w:color w:val="auto"/>
        </w:rPr>
        <w:t>” has the meaning set forth in the recitals to this Agreement.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PIPE Financing Amount</w:t>
      </w:r>
      <w:r>
        <w:rPr>
          <w:rFonts w:ascii="Times New Roman" w:cs="Times New Roman" w:eastAsia="Times New Roman" w:hAnsi="Times New Roman"/>
          <w:sz w:val="12"/>
          <w:szCs w:val="12"/>
          <w:color w:val="auto"/>
        </w:rPr>
        <w:t>” has the meaning set forth in the recitals to this Agreement.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PIPE Investors</w:t>
      </w:r>
      <w:r>
        <w:rPr>
          <w:rFonts w:ascii="Times New Roman" w:cs="Times New Roman" w:eastAsia="Times New Roman" w:hAnsi="Times New Roman"/>
          <w:sz w:val="12"/>
          <w:szCs w:val="12"/>
          <w:color w:val="auto"/>
        </w:rPr>
        <w:t>” has the meaning set forth in the recitals to this Agreement.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Pre-Closing CGC Holders</w:t>
      </w:r>
      <w:r>
        <w:rPr>
          <w:rFonts w:ascii="Times New Roman" w:cs="Times New Roman" w:eastAsia="Times New Roman" w:hAnsi="Times New Roman"/>
          <w:sz w:val="12"/>
          <w:szCs w:val="12"/>
          <w:color w:val="auto"/>
        </w:rPr>
        <w:t>” means the holders of CGC Shares at any time prior to the Effective Time, together with their successors and assigns.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9" w:name="page30"/>
    <w:bookmarkEnd w:id="29"/>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Privacy and Data Security Policies</w:t>
      </w:r>
      <w:r>
        <w:rPr>
          <w:rFonts w:ascii="Times New Roman" w:cs="Times New Roman" w:eastAsia="Times New Roman" w:hAnsi="Times New Roman"/>
          <w:sz w:val="12"/>
          <w:szCs w:val="12"/>
          <w:color w:val="auto"/>
        </w:rPr>
        <w:t>” has the meaning set forth in Section 3.20(a).</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Privacy Laws</w:t>
      </w:r>
      <w:r>
        <w:rPr>
          <w:rFonts w:ascii="Times New Roman" w:cs="Times New Roman" w:eastAsia="Times New Roman" w:hAnsi="Times New Roman"/>
          <w:sz w:val="12"/>
          <w:szCs w:val="12"/>
          <w:color w:val="auto"/>
        </w:rPr>
        <w:t>” means Laws relating to the Processing or protection of Personal Data that apply to the Group Companies.</w:t>
      </w:r>
    </w:p>
    <w:p>
      <w:pPr>
        <w:spacing w:after="0" w:line="150"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Pro Rata Share</w:t>
      </w:r>
      <w:r>
        <w:rPr>
          <w:rFonts w:ascii="Times New Roman" w:cs="Times New Roman" w:eastAsia="Times New Roman" w:hAnsi="Times New Roman"/>
          <w:sz w:val="12"/>
          <w:szCs w:val="12"/>
          <w:color w:val="auto"/>
        </w:rPr>
        <w:t xml:space="preserve">” means with respect to each Company Stockholder, a fraction expressed as a percentage equal to (i) the total number of shares of Company Shares beneficially owned by such Company Stockholder immediately prior to the Effective Time, </w:t>
      </w:r>
      <w:r>
        <w:rPr>
          <w:rFonts w:ascii="Times New Roman" w:cs="Times New Roman" w:eastAsia="Times New Roman" w:hAnsi="Times New Roman"/>
          <w:sz w:val="12"/>
          <w:szCs w:val="12"/>
          <w:i w:val="1"/>
          <w:iCs w:val="1"/>
          <w:color w:val="auto"/>
        </w:rPr>
        <w:t>divided by</w:t>
      </w:r>
      <w:r>
        <w:rPr>
          <w:rFonts w:ascii="Times New Roman" w:cs="Times New Roman" w:eastAsia="Times New Roman" w:hAnsi="Times New Roman"/>
          <w:sz w:val="12"/>
          <w:szCs w:val="12"/>
          <w:color w:val="auto"/>
        </w:rPr>
        <w:t xml:space="preserve"> (ii) the Fully-Diluted Shares.</w:t>
      </w:r>
    </w:p>
    <w:p>
      <w:pPr>
        <w:spacing w:after="0" w:line="103"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Proceeding</w:t>
      </w:r>
      <w:r>
        <w:rPr>
          <w:rFonts w:ascii="Times New Roman" w:cs="Times New Roman" w:eastAsia="Times New Roman" w:hAnsi="Times New Roman"/>
          <w:sz w:val="12"/>
          <w:szCs w:val="12"/>
          <w:color w:val="auto"/>
        </w:rPr>
        <w:t>” means any lawsuit, litigation, action, audit, examination, claim, complaint, charge, proceeding, suit or arbitration (in each case, whether civil, criminal or administrative and whether public or private) pending by or before or otherwise involving any Governmental Entity.</w:t>
      </w:r>
    </w:p>
    <w:p>
      <w:pPr>
        <w:spacing w:after="0" w:line="103"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Process</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i w:val="1"/>
          <w:iCs w:val="1"/>
          <w:color w:val="auto"/>
        </w:rPr>
        <w:t>Processing</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i w:val="1"/>
          <w:iCs w:val="1"/>
          <w:color w:val="auto"/>
        </w:rPr>
        <w:t>Processes</w:t>
      </w:r>
      <w:r>
        <w:rPr>
          <w:rFonts w:ascii="Times New Roman" w:cs="Times New Roman" w:eastAsia="Times New Roman" w:hAnsi="Times New Roman"/>
          <w:sz w:val="12"/>
          <w:szCs w:val="12"/>
          <w:color w:val="auto"/>
        </w:rPr>
        <w:t>”) means the collection, use, storage, processing, recording, distribution, transfer, import, export, protection (including security measures), disposal or disclosure or other activity regarding data (whether electronically or in any other form or medium).</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Prospectus</w:t>
      </w:r>
      <w:r>
        <w:rPr>
          <w:rFonts w:ascii="Times New Roman" w:cs="Times New Roman" w:eastAsia="Times New Roman" w:hAnsi="Times New Roman"/>
          <w:sz w:val="12"/>
          <w:szCs w:val="12"/>
          <w:color w:val="auto"/>
        </w:rPr>
        <w:t>” has the meaning set forth in Section 8.18.</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Public Shareholders</w:t>
      </w:r>
      <w:r>
        <w:rPr>
          <w:rFonts w:ascii="Times New Roman" w:cs="Times New Roman" w:eastAsia="Times New Roman" w:hAnsi="Times New Roman"/>
          <w:sz w:val="12"/>
          <w:szCs w:val="12"/>
          <w:color w:val="auto"/>
        </w:rPr>
        <w:t>” has the meaning set forth in Section 8.18.</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Real Property Leases</w:t>
      </w:r>
      <w:r>
        <w:rPr>
          <w:rFonts w:ascii="Times New Roman" w:cs="Times New Roman" w:eastAsia="Times New Roman" w:hAnsi="Times New Roman"/>
          <w:sz w:val="12"/>
          <w:szCs w:val="12"/>
          <w:color w:val="auto"/>
        </w:rPr>
        <w:t>” means all leases, sub-leases, licenses or other agreements, in each case, pursuant to which any Group Company leases or sub-leases any real property.</w:t>
      </w:r>
    </w:p>
    <w:p>
      <w:pPr>
        <w:spacing w:after="0" w:line="150" w:lineRule="exact"/>
        <w:rPr>
          <w:sz w:val="20"/>
          <w:szCs w:val="20"/>
          <w:color w:val="auto"/>
        </w:rPr>
      </w:pPr>
    </w:p>
    <w:p>
      <w:pPr>
        <w:ind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Registration Statement / Proxy Statement</w:t>
      </w:r>
      <w:r>
        <w:rPr>
          <w:rFonts w:ascii="Times New Roman" w:cs="Times New Roman" w:eastAsia="Times New Roman" w:hAnsi="Times New Roman"/>
          <w:sz w:val="12"/>
          <w:szCs w:val="12"/>
          <w:color w:val="auto"/>
        </w:rPr>
        <w:t>” means a registration statement on Form S-4 relating to the transactions contemplated by this Agreement and the Ancillary Documents and containing a prospectus and proxy statement of CGC.</w:t>
      </w:r>
    </w:p>
    <w:p>
      <w:pPr>
        <w:spacing w:after="0" w:line="103"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Representatives</w:t>
      </w:r>
      <w:r>
        <w:rPr>
          <w:rFonts w:ascii="Times New Roman" w:cs="Times New Roman" w:eastAsia="Times New Roman" w:hAnsi="Times New Roman"/>
          <w:sz w:val="12"/>
          <w:szCs w:val="12"/>
          <w:color w:val="auto"/>
        </w:rPr>
        <w:t>” means with respect to any Person, such Person’s Affiliates and its and such Affiliates’ respective directors, managers, officers, employees, accountants, consultants, advisors, attorneys, agents and other representatives.</w:t>
      </w:r>
    </w:p>
    <w:p>
      <w:pPr>
        <w:spacing w:after="0" w:line="103"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Required CGC Shareholder Approval</w:t>
      </w:r>
      <w:r>
        <w:rPr>
          <w:rFonts w:ascii="Times New Roman" w:cs="Times New Roman" w:eastAsia="Times New Roman" w:hAnsi="Times New Roman"/>
          <w:sz w:val="12"/>
          <w:szCs w:val="12"/>
          <w:color w:val="auto"/>
        </w:rPr>
        <w:t>” means the approval of each Required Transaction Proposal by the affirmative vote of the holders of the requisite number of CGC Shares entitled to vote thereon, whether in person or by proxy at the CGC Shareholders Meeting (or any adjournment thereof), in accordance with the Governing Documents of CGC and applicable Law.</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Required Governing Document Proposals</w:t>
      </w:r>
      <w:r>
        <w:rPr>
          <w:rFonts w:ascii="Times New Roman" w:cs="Times New Roman" w:eastAsia="Times New Roman" w:hAnsi="Times New Roman"/>
          <w:sz w:val="12"/>
          <w:szCs w:val="12"/>
          <w:color w:val="auto"/>
        </w:rPr>
        <w:t>” means the Governing Document Proposals solely to the extent related to the amendments to the Governing Documents of CGC.</w:t>
      </w:r>
    </w:p>
    <w:p>
      <w:pPr>
        <w:spacing w:after="0" w:line="150"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Required Transaction Proposals</w:t>
      </w:r>
      <w:r>
        <w:rPr>
          <w:rFonts w:ascii="Times New Roman" w:cs="Times New Roman" w:eastAsia="Times New Roman" w:hAnsi="Times New Roman"/>
          <w:sz w:val="12"/>
          <w:szCs w:val="12"/>
          <w:color w:val="auto"/>
        </w:rPr>
        <w:t>” means, collectively, the Business Combination Proposal, the Domestication Proposal, the Nasdaq Proposal, the Equity Incentive Plan Proposal and the Required Governing Document Proposals.</w:t>
      </w:r>
    </w:p>
    <w:p>
      <w:pPr>
        <w:spacing w:after="0" w:line="103"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Requisite Company Preferred Majority</w:t>
      </w:r>
      <w:r>
        <w:rPr>
          <w:rFonts w:ascii="Times New Roman" w:cs="Times New Roman" w:eastAsia="Times New Roman" w:hAnsi="Times New Roman"/>
          <w:sz w:val="12"/>
          <w:szCs w:val="12"/>
          <w:color w:val="auto"/>
        </w:rPr>
        <w:t>” means the holders of a majority of the outstanding Company Preferred Shares, whose vote or prior written consent is required for the automatic conversion of the Company Preferred Shares into Company Common Shares pursuant to Section 5.1 of the Company Certificate of Incorporation.</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Rollover Option</w:t>
      </w:r>
      <w:r>
        <w:rPr>
          <w:rFonts w:ascii="Times New Roman" w:cs="Times New Roman" w:eastAsia="Times New Roman" w:hAnsi="Times New Roman"/>
          <w:sz w:val="12"/>
          <w:szCs w:val="12"/>
          <w:color w:val="auto"/>
        </w:rPr>
        <w:t>” has the meaning set forth in Section 2.4(a).</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Rollover RSU Award</w:t>
      </w:r>
      <w:r>
        <w:rPr>
          <w:rFonts w:ascii="Times New Roman" w:cs="Times New Roman" w:eastAsia="Times New Roman" w:hAnsi="Times New Roman"/>
          <w:sz w:val="12"/>
          <w:szCs w:val="12"/>
          <w:color w:val="auto"/>
        </w:rPr>
        <w:t>” has the meaning set forth in Section 2.4(b).</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Sanctioned Countries</w:t>
      </w:r>
      <w:r>
        <w:rPr>
          <w:rFonts w:ascii="Times New Roman" w:cs="Times New Roman" w:eastAsia="Times New Roman" w:hAnsi="Times New Roman"/>
          <w:sz w:val="12"/>
          <w:szCs w:val="12"/>
          <w:color w:val="auto"/>
        </w:rPr>
        <w:t>” has the meaning set forth in Section 4.17(a).</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30" w:name="page31"/>
    <w:bookmarkEnd w:id="30"/>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Sanctions and Export Control Laws</w:t>
      </w:r>
      <w:r>
        <w:rPr>
          <w:rFonts w:ascii="Times New Roman" w:cs="Times New Roman" w:eastAsia="Times New Roman" w:hAnsi="Times New Roman"/>
          <w:sz w:val="12"/>
          <w:szCs w:val="12"/>
          <w:color w:val="auto"/>
        </w:rPr>
        <w:t>” means any applicable Law related to (a) import and export controls, including the U.S. Export Administration Regulations, (b) economic sanctions, including those administered by the Office of Foreign Assets Control of the U.S. Department of the Treasury, the U.S. Department of State, the European Union, any European Union Member State, the United Nations, and His Majesty’s Treasury of the United Kingdom or (c) anti-boycott measures.</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Sarbanes-Oxley Act</w:t>
      </w:r>
      <w:r>
        <w:rPr>
          <w:rFonts w:ascii="Times New Roman" w:cs="Times New Roman" w:eastAsia="Times New Roman" w:hAnsi="Times New Roman"/>
          <w:sz w:val="12"/>
          <w:szCs w:val="12"/>
          <w:color w:val="auto"/>
        </w:rPr>
        <w:t>” means the Sarbanes-Oxley Act of 2002.</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Schedules</w:t>
      </w:r>
      <w:r>
        <w:rPr>
          <w:rFonts w:ascii="Times New Roman" w:cs="Times New Roman" w:eastAsia="Times New Roman" w:hAnsi="Times New Roman"/>
          <w:sz w:val="12"/>
          <w:szCs w:val="12"/>
          <w:color w:val="auto"/>
        </w:rPr>
        <w:t>” means, collectively, the Company Disclosure Schedules and the CGC Disclosure Schedules.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SEC</w:t>
      </w:r>
      <w:r>
        <w:rPr>
          <w:rFonts w:ascii="Times New Roman" w:cs="Times New Roman" w:eastAsia="Times New Roman" w:hAnsi="Times New Roman"/>
          <w:sz w:val="12"/>
          <w:szCs w:val="12"/>
          <w:color w:val="auto"/>
        </w:rPr>
        <w:t>” means the U.S. Securities and Exchange Commission.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Securities Act</w:t>
      </w:r>
      <w:r>
        <w:rPr>
          <w:rFonts w:ascii="Times New Roman" w:cs="Times New Roman" w:eastAsia="Times New Roman" w:hAnsi="Times New Roman"/>
          <w:sz w:val="12"/>
          <w:szCs w:val="12"/>
          <w:color w:val="auto"/>
        </w:rPr>
        <w:t>” means the U.S. Securities Act of 1933.</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Securities Laws</w:t>
      </w:r>
      <w:r>
        <w:rPr>
          <w:rFonts w:ascii="Times New Roman" w:cs="Times New Roman" w:eastAsia="Times New Roman" w:hAnsi="Times New Roman"/>
          <w:sz w:val="12"/>
          <w:szCs w:val="12"/>
          <w:color w:val="auto"/>
        </w:rPr>
        <w:t>” means Federal Securities Laws and other applicable foreign and domestic securities or similar Laws.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Signing Filing</w:t>
      </w:r>
      <w:r>
        <w:rPr>
          <w:rFonts w:ascii="Times New Roman" w:cs="Times New Roman" w:eastAsia="Times New Roman" w:hAnsi="Times New Roman"/>
          <w:sz w:val="12"/>
          <w:szCs w:val="12"/>
          <w:color w:val="auto"/>
        </w:rPr>
        <w:t>” has the meaning set forth in Section 5.4(b).</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Signing Press Release</w:t>
      </w:r>
      <w:r>
        <w:rPr>
          <w:rFonts w:ascii="Times New Roman" w:cs="Times New Roman" w:eastAsia="Times New Roman" w:hAnsi="Times New Roman"/>
          <w:sz w:val="12"/>
          <w:szCs w:val="12"/>
          <w:color w:val="auto"/>
        </w:rPr>
        <w:t>” has the meaning set forth in Section 5.4(b).</w:t>
      </w:r>
    </w:p>
    <w:p>
      <w:pPr>
        <w:spacing w:after="0" w:line="15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Software</w:t>
      </w:r>
      <w:r>
        <w:rPr>
          <w:rFonts w:ascii="Times New Roman" w:cs="Times New Roman" w:eastAsia="Times New Roman" w:hAnsi="Times New Roman"/>
          <w:sz w:val="12"/>
          <w:szCs w:val="12"/>
          <w:color w:val="auto"/>
        </w:rPr>
        <w:t>” shall mean any and all (a) computer programs, including any and all software implementations of algorithms, models and methodologies, whether in source code or object code; (b) databases and compilations, including any and all data and collections of data, whether machine readable or otherwise; (c) descriptions, flowcharts and other work product used to design, plan, organize and develop any of the foregoing, screens, user interfaces, report formats, firmware, development tools, templates, menus, buttons and icons; and (d) all documentation, including user manuals and other training documentation, related to any of the foregoing.</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Sponsor</w:t>
      </w:r>
      <w:r>
        <w:rPr>
          <w:rFonts w:ascii="Times New Roman" w:cs="Times New Roman" w:eastAsia="Times New Roman" w:hAnsi="Times New Roman"/>
          <w:sz w:val="12"/>
          <w:szCs w:val="12"/>
          <w:color w:val="auto"/>
        </w:rPr>
        <w:t>” has the meaning set forth in the recitals to this Agreement.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Sponsor Support Agreement</w:t>
      </w:r>
      <w:r>
        <w:rPr>
          <w:rFonts w:ascii="Times New Roman" w:cs="Times New Roman" w:eastAsia="Times New Roman" w:hAnsi="Times New Roman"/>
          <w:sz w:val="12"/>
          <w:szCs w:val="12"/>
          <w:color w:val="auto"/>
        </w:rPr>
        <w:t>” has the meaning set forth in the recitals to this Agreement.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Stockholder Support Agreements</w:t>
      </w:r>
      <w:r>
        <w:rPr>
          <w:rFonts w:ascii="Times New Roman" w:cs="Times New Roman" w:eastAsia="Times New Roman" w:hAnsi="Times New Roman"/>
          <w:sz w:val="12"/>
          <w:szCs w:val="12"/>
          <w:color w:val="auto"/>
        </w:rPr>
        <w:t>” has the meaning set forth in the recitals to this Agreement.</w:t>
      </w:r>
    </w:p>
    <w:p>
      <w:pPr>
        <w:spacing w:after="0" w:line="15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Subsidiary</w:t>
      </w:r>
      <w:r>
        <w:rPr>
          <w:rFonts w:ascii="Times New Roman" w:cs="Times New Roman" w:eastAsia="Times New Roman" w:hAnsi="Times New Roman"/>
          <w:sz w:val="12"/>
          <w:szCs w:val="12"/>
          <w:color w:val="auto"/>
        </w:rPr>
        <w:t>” means, with respect to any Person, any corporation, limited liability company, partnership or other legal entity of which (a) if a corporation, a majority of the total voting power of Equity Securities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or (b) if a limited liability company, partnership, association or other business entity (other than a corporation), a majority of the partnership or other similar ownership interests thereof is at the time owned or controlled, directly or indirectly, by such Person or one or more Subsidiaries of such Person or a combination thereof and for this purpose, a Person or Persons own a majority ownership interest in such a business entity (other than a corporation) if such Person or Persons shall be allocated a majority of such business entity’s gains or losses or shall be a, or control any, managing director or general partner of such business entity (other than a corporation). The term “</w:t>
      </w:r>
      <w:r>
        <w:rPr>
          <w:rFonts w:ascii="Times New Roman" w:cs="Times New Roman" w:eastAsia="Times New Roman" w:hAnsi="Times New Roman"/>
          <w:sz w:val="12"/>
          <w:szCs w:val="12"/>
          <w:b w:val="1"/>
          <w:bCs w:val="1"/>
          <w:i w:val="1"/>
          <w:iCs w:val="1"/>
          <w:color w:val="auto"/>
        </w:rPr>
        <w:t>Subsidiary</w:t>
      </w:r>
      <w:r>
        <w:rPr>
          <w:rFonts w:ascii="Times New Roman" w:cs="Times New Roman" w:eastAsia="Times New Roman" w:hAnsi="Times New Roman"/>
          <w:sz w:val="12"/>
          <w:szCs w:val="12"/>
          <w:color w:val="auto"/>
        </w:rPr>
        <w:t>” shall include all Subsidiaries of such Subsidiary.</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Surviving Company</w:t>
      </w:r>
      <w:r>
        <w:rPr>
          <w:rFonts w:ascii="Times New Roman" w:cs="Times New Roman" w:eastAsia="Times New Roman" w:hAnsi="Times New Roman"/>
          <w:sz w:val="12"/>
          <w:szCs w:val="12"/>
          <w:color w:val="auto"/>
        </w:rPr>
        <w:t>” has the meaning set forth in Section 2.1(b)(i).</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Surviving Company Share</w:t>
      </w:r>
      <w:r>
        <w:rPr>
          <w:rFonts w:ascii="Times New Roman" w:cs="Times New Roman" w:eastAsia="Times New Roman" w:hAnsi="Times New Roman"/>
          <w:sz w:val="12"/>
          <w:szCs w:val="12"/>
          <w:color w:val="auto"/>
        </w:rPr>
        <w:t>” has the meaning set forth in Section 2.1(b)(v).</w:t>
      </w:r>
    </w:p>
    <w:p>
      <w:pPr>
        <w:spacing w:after="0" w:line="150"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Tax</w:t>
      </w:r>
      <w:r>
        <w:rPr>
          <w:rFonts w:ascii="Times New Roman" w:cs="Times New Roman" w:eastAsia="Times New Roman" w:hAnsi="Times New Roman"/>
          <w:sz w:val="12"/>
          <w:szCs w:val="12"/>
          <w:color w:val="auto"/>
        </w:rPr>
        <w:t>” means any federal, state, local or non-United States income, gross receipts, franchise, estimated, alternative minimum, sales, use, transfer, value added, excise, stamp, customs, duties, ad valorem, real property, personal property (tangible and intangible), capital stock, social security, unemployment, payroll, wage, employment, severance, occupation, registration, environmental, communication, mortgage, profits, license, lease, service, goods and services, withholding, premium, turnover, windfall profits or other taxes of any kind whatever, whether computed on a separate or combined, unitary or consolidated basis or in any other manner, together with any interest, deficiencies, penalties, additions to tax, or additional amounts imposed by any Governmental Entity with respect thereto, whether disputed or not, and including any secondary Liability for any of the aforementioned.</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31" w:name="page32"/>
    <w:bookmarkEnd w:id="31"/>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Tax Authority</w:t>
      </w:r>
      <w:r>
        <w:rPr>
          <w:rFonts w:ascii="Times New Roman" w:cs="Times New Roman" w:eastAsia="Times New Roman" w:hAnsi="Times New Roman"/>
          <w:sz w:val="12"/>
          <w:szCs w:val="12"/>
          <w:color w:val="auto"/>
        </w:rPr>
        <w:t>” means any Governmental Entity responsible for the collection or administration of Taxes or Tax Returns.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Tax Return</w:t>
      </w:r>
      <w:r>
        <w:rPr>
          <w:rFonts w:ascii="Times New Roman" w:cs="Times New Roman" w:eastAsia="Times New Roman" w:hAnsi="Times New Roman"/>
          <w:sz w:val="12"/>
          <w:szCs w:val="12"/>
          <w:color w:val="auto"/>
        </w:rPr>
        <w:t>” means returns, information returns, statements, declarations, claims for refund, schedules, attachments and reports relating to Taxes required to be filed with any Governmental Entity.</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Termination Date</w:t>
      </w:r>
      <w:r>
        <w:rPr>
          <w:rFonts w:ascii="Times New Roman" w:cs="Times New Roman" w:eastAsia="Times New Roman" w:hAnsi="Times New Roman"/>
          <w:sz w:val="12"/>
          <w:szCs w:val="12"/>
          <w:color w:val="auto"/>
        </w:rPr>
        <w:t>” has the meaning set forth in Section 7.1(d).</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Transaction Litigation</w:t>
      </w:r>
      <w:r>
        <w:rPr>
          <w:rFonts w:ascii="Times New Roman" w:cs="Times New Roman" w:eastAsia="Times New Roman" w:hAnsi="Times New Roman"/>
          <w:sz w:val="12"/>
          <w:szCs w:val="12"/>
          <w:color w:val="auto"/>
        </w:rPr>
        <w:t>” has the meaning set forth in Section 5.2(c).</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Transaction Proposals</w:t>
      </w:r>
      <w:r>
        <w:rPr>
          <w:rFonts w:ascii="Times New Roman" w:cs="Times New Roman" w:eastAsia="Times New Roman" w:hAnsi="Times New Roman"/>
          <w:sz w:val="12"/>
          <w:szCs w:val="12"/>
          <w:color w:val="auto"/>
        </w:rPr>
        <w:t>” has the meaning set forth in Section 5.8.</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Transaction Share Consideration</w:t>
      </w:r>
      <w:r>
        <w:rPr>
          <w:rFonts w:ascii="Times New Roman" w:cs="Times New Roman" w:eastAsia="Times New Roman" w:hAnsi="Times New Roman"/>
          <w:sz w:val="12"/>
          <w:szCs w:val="12"/>
          <w:color w:val="auto"/>
        </w:rPr>
        <w:t>” means an aggregate number of CGC Shares equal to (a) the Equity Value, divided by (b) the CGC Share Value.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Trust Account</w:t>
      </w:r>
      <w:r>
        <w:rPr>
          <w:rFonts w:ascii="Times New Roman" w:cs="Times New Roman" w:eastAsia="Times New Roman" w:hAnsi="Times New Roman"/>
          <w:sz w:val="12"/>
          <w:szCs w:val="12"/>
          <w:color w:val="auto"/>
        </w:rPr>
        <w:t>” has the meaning set forth in Section 8.18.</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Trust Account Released Claims</w:t>
      </w:r>
      <w:r>
        <w:rPr>
          <w:rFonts w:ascii="Times New Roman" w:cs="Times New Roman" w:eastAsia="Times New Roman" w:hAnsi="Times New Roman"/>
          <w:sz w:val="12"/>
          <w:szCs w:val="12"/>
          <w:color w:val="auto"/>
        </w:rPr>
        <w:t>” has the meaning set forth in Section 8.18.</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Trust Agreement</w:t>
      </w:r>
      <w:r>
        <w:rPr>
          <w:rFonts w:ascii="Times New Roman" w:cs="Times New Roman" w:eastAsia="Times New Roman" w:hAnsi="Times New Roman"/>
          <w:sz w:val="12"/>
          <w:szCs w:val="12"/>
          <w:color w:val="auto"/>
        </w:rPr>
        <w:t>” has the meaning set forth in Section 4.8.</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Trustee</w:t>
      </w:r>
      <w:r>
        <w:rPr>
          <w:rFonts w:ascii="Times New Roman" w:cs="Times New Roman" w:eastAsia="Times New Roman" w:hAnsi="Times New Roman"/>
          <w:sz w:val="12"/>
          <w:szCs w:val="12"/>
          <w:color w:val="auto"/>
        </w:rPr>
        <w:t>” has the meaning set forth in Section 4.8.</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Unpaid CGC Expenses</w:t>
      </w:r>
      <w:r>
        <w:rPr>
          <w:rFonts w:ascii="Times New Roman" w:cs="Times New Roman" w:eastAsia="Times New Roman" w:hAnsi="Times New Roman"/>
          <w:sz w:val="12"/>
          <w:szCs w:val="12"/>
          <w:color w:val="auto"/>
        </w:rPr>
        <w:t>” means the CGC Expenses that are unpaid as of immediately prior to the Closing.</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Unpaid Company Expenses</w:t>
      </w:r>
      <w:r>
        <w:rPr>
          <w:rFonts w:ascii="Times New Roman" w:cs="Times New Roman" w:eastAsia="Times New Roman" w:hAnsi="Times New Roman"/>
          <w:sz w:val="12"/>
          <w:szCs w:val="12"/>
          <w:color w:val="auto"/>
        </w:rPr>
        <w:t>” means the Company Expenses that are unpaid as of immediately prior to the Closing.</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Unvested Company Equity Awards</w:t>
      </w:r>
      <w:r>
        <w:rPr>
          <w:rFonts w:ascii="Times New Roman" w:cs="Times New Roman" w:eastAsia="Times New Roman" w:hAnsi="Times New Roman"/>
          <w:sz w:val="12"/>
          <w:szCs w:val="12"/>
          <w:color w:val="auto"/>
        </w:rPr>
        <w:t>” means, collectively, the Unvested Company Options and the Unvested Company RSU Awards.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Unvested Company Option</w:t>
      </w:r>
      <w:r>
        <w:rPr>
          <w:rFonts w:ascii="Times New Roman" w:cs="Times New Roman" w:eastAsia="Times New Roman" w:hAnsi="Times New Roman"/>
          <w:sz w:val="12"/>
          <w:szCs w:val="12"/>
          <w:color w:val="auto"/>
        </w:rPr>
        <w:t>” means each Company Option outstanding as of immediately prior to the Effective Time that is not a Vested Company Option.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Unvested Company RSU Award</w:t>
      </w:r>
      <w:r>
        <w:rPr>
          <w:rFonts w:ascii="Times New Roman" w:cs="Times New Roman" w:eastAsia="Times New Roman" w:hAnsi="Times New Roman"/>
          <w:sz w:val="12"/>
          <w:szCs w:val="12"/>
          <w:color w:val="auto"/>
        </w:rPr>
        <w:t>” means each Company RSU Award outstanding as of immediately prior to the Effective Time that is not a Vested Company RSU Award.</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Vested Company Equity Awards</w:t>
      </w:r>
      <w:r>
        <w:rPr>
          <w:rFonts w:ascii="Times New Roman" w:cs="Times New Roman" w:eastAsia="Times New Roman" w:hAnsi="Times New Roman"/>
          <w:sz w:val="12"/>
          <w:szCs w:val="12"/>
          <w:color w:val="auto"/>
        </w:rPr>
        <w:t>” means, collectively, the Vested Company Options and the Vested Company RSU Awards.</w:t>
      </w:r>
    </w:p>
    <w:p>
      <w:pPr>
        <w:spacing w:after="0" w:line="150" w:lineRule="exact"/>
        <w:rPr>
          <w:sz w:val="20"/>
          <w:szCs w:val="20"/>
          <w:color w:val="auto"/>
        </w:rPr>
      </w:pPr>
    </w:p>
    <w:p>
      <w:pPr>
        <w:ind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Vested Company Option</w:t>
      </w:r>
      <w:r>
        <w:rPr>
          <w:rFonts w:ascii="Times New Roman" w:cs="Times New Roman" w:eastAsia="Times New Roman" w:hAnsi="Times New Roman"/>
          <w:sz w:val="12"/>
          <w:szCs w:val="12"/>
          <w:color w:val="auto"/>
        </w:rPr>
        <w:t>” means each Company Option outstanding as of immediately prior to the Effective Time that is vested as of immediately prior to the Effective Time or will vest solely as a result of the consummation of the Merger.</w:t>
      </w:r>
    </w:p>
    <w:p>
      <w:pPr>
        <w:spacing w:after="0" w:line="103"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Vested Company RSU Award</w:t>
      </w:r>
      <w:r>
        <w:rPr>
          <w:rFonts w:ascii="Times New Roman" w:cs="Times New Roman" w:eastAsia="Times New Roman" w:hAnsi="Times New Roman"/>
          <w:sz w:val="12"/>
          <w:szCs w:val="12"/>
          <w:color w:val="auto"/>
        </w:rPr>
        <w:t>” means each Company RSU Award outstanding as of immediately prior to the Effective Time that is vested as of immediately prior to the Effective Time or will vest solely as a result of the consummation of the Merger.</w:t>
      </w:r>
    </w:p>
    <w:p>
      <w:pPr>
        <w:spacing w:after="0" w:line="103"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Willful Breach</w:t>
      </w:r>
      <w:r>
        <w:rPr>
          <w:rFonts w:ascii="Times New Roman" w:cs="Times New Roman" w:eastAsia="Times New Roman" w:hAnsi="Times New Roman"/>
          <w:sz w:val="12"/>
          <w:szCs w:val="12"/>
          <w:color w:val="auto"/>
        </w:rPr>
        <w:t>” means a material breach of this Agreement by a Party that is a consequence of an act undertaken or a failure to act by the breaching Party with the knowledge that the taking of such act or such failure to act would, or would reasonably be expected to, constitute or result in a breach of this Agreement.</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2"/>
          <w:szCs w:val="12"/>
          <w:b w:val="1"/>
          <w:bCs w:val="1"/>
          <w:color w:val="auto"/>
        </w:rPr>
        <w:t>ARTICLE 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MERGER</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2.1        Closing Transactions</w:t>
      </w:r>
      <w:r>
        <w:rPr>
          <w:rFonts w:ascii="Times New Roman" w:cs="Times New Roman" w:eastAsia="Times New Roman" w:hAnsi="Times New Roman"/>
          <w:sz w:val="12"/>
          <w:szCs w:val="12"/>
          <w:color w:val="auto"/>
        </w:rPr>
        <w:t>. On the terms and subject to the conditions set forth in this Agreement, the following transactions shall occur in the order set forth in this Section 2.1:</w:t>
      </w:r>
    </w:p>
    <w:p>
      <w:pPr>
        <w:spacing w:after="0" w:line="150"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b w:val="1"/>
          <w:bCs w:val="1"/>
          <w:color w:val="auto"/>
        </w:rPr>
        <w:t>(a)            Domestication</w:t>
      </w:r>
      <w:r>
        <w:rPr>
          <w:rFonts w:ascii="Times New Roman" w:cs="Times New Roman" w:eastAsia="Times New Roman" w:hAnsi="Times New Roman"/>
          <w:sz w:val="12"/>
          <w:szCs w:val="12"/>
          <w:color w:val="auto"/>
        </w:rPr>
        <w:t>. At least one day prior to the Closing Date, CGC shall cause the Domestication to occur in accordance with Section 388 of the DGCL and Part Twelve of the Cayman Islands Companies Act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(2025 Revision), including by filing with the Delaware Secretary of State a Certificate of Domestication with respect to the Domestication, in form and substance reasonably acceptable to CGC and the Company, together with the CGC Certificate of Incorporation and completing and making all filings required to be made with the Cayman Registrar to effect the Domestication. In connection with (and as part of) the Domestication, CGC shall cause (i) each CGC Class A Share and CGC Class B Share that is issued and outstanding immediately prior to the Domestication to be converted into one share of CGC Series A Common Stock, par value $0.00001 per share of CGC, (ii) the Governing Documents of CGC to become the certificate of incorporation, substantially in the form attached hereto as </w:t>
      </w:r>
      <w:r>
        <w:rPr>
          <w:rFonts w:ascii="Times New Roman" w:cs="Times New Roman" w:eastAsia="Times New Roman" w:hAnsi="Times New Roman"/>
          <w:sz w:val="12"/>
          <w:szCs w:val="12"/>
          <w:b w:val="1"/>
          <w:bCs w:val="1"/>
          <w:color w:val="auto"/>
        </w:rPr>
        <w:t>Exhibit E</w:t>
      </w:r>
      <w:r>
        <w:rPr>
          <w:rFonts w:ascii="Times New Roman" w:cs="Times New Roman" w:eastAsia="Times New Roman" w:hAnsi="Times New Roman"/>
          <w:sz w:val="12"/>
          <w:szCs w:val="12"/>
          <w:color w:val="auto"/>
        </w:rPr>
        <w:t xml:space="preserve"> (with such changes as may be agreed in writing by CGC and the Company, the “</w:t>
      </w:r>
      <w:r>
        <w:rPr>
          <w:rFonts w:ascii="Times New Roman" w:cs="Times New Roman" w:eastAsia="Times New Roman" w:hAnsi="Times New Roman"/>
          <w:sz w:val="12"/>
          <w:szCs w:val="12"/>
          <w:b w:val="1"/>
          <w:bCs w:val="1"/>
          <w:i w:val="1"/>
          <w:iCs w:val="1"/>
          <w:color w:val="auto"/>
        </w:rPr>
        <w:t>CGC Certificate of Incorporation</w:t>
      </w:r>
      <w:r>
        <w:rPr>
          <w:rFonts w:ascii="Times New Roman" w:cs="Times New Roman" w:eastAsia="Times New Roman" w:hAnsi="Times New Roman"/>
          <w:sz w:val="12"/>
          <w:szCs w:val="12"/>
          <w:color w:val="auto"/>
        </w:rPr>
        <w:t xml:space="preserve">”), and the bylaws, substantially in the form attached hereto as </w:t>
      </w:r>
      <w:r>
        <w:rPr>
          <w:rFonts w:ascii="Times New Roman" w:cs="Times New Roman" w:eastAsia="Times New Roman" w:hAnsi="Times New Roman"/>
          <w:sz w:val="12"/>
          <w:szCs w:val="12"/>
          <w:b w:val="1"/>
          <w:bCs w:val="1"/>
          <w:color w:val="auto"/>
        </w:rPr>
        <w:t>Exhibit F</w:t>
      </w:r>
      <w:r>
        <w:rPr>
          <w:rFonts w:ascii="Times New Roman" w:cs="Times New Roman" w:eastAsia="Times New Roman" w:hAnsi="Times New Roman"/>
          <w:sz w:val="12"/>
          <w:szCs w:val="12"/>
          <w:color w:val="auto"/>
        </w:rPr>
        <w:t xml:space="preserve"> (with such changes as may be agreed in writing by CGC and the Company, the “</w:t>
      </w:r>
      <w:r>
        <w:rPr>
          <w:rFonts w:ascii="Times New Roman" w:cs="Times New Roman" w:eastAsia="Times New Roman" w:hAnsi="Times New Roman"/>
          <w:sz w:val="12"/>
          <w:szCs w:val="12"/>
          <w:b w:val="1"/>
          <w:bCs w:val="1"/>
          <w:i w:val="1"/>
          <w:iCs w:val="1"/>
          <w:color w:val="auto"/>
        </w:rPr>
        <w:t>CGC Bylaws</w:t>
      </w:r>
      <w:r>
        <w:rPr>
          <w:rFonts w:ascii="Times New Roman" w:cs="Times New Roman" w:eastAsia="Times New Roman" w:hAnsi="Times New Roman"/>
          <w:sz w:val="12"/>
          <w:szCs w:val="12"/>
          <w:color w:val="auto"/>
        </w:rPr>
        <w:t>”) and (iii) CGC’s name to be changed to “</w:t>
      </w:r>
      <w:r>
        <w:rPr>
          <w:rFonts w:ascii="Times New Roman" w:cs="Times New Roman" w:eastAsia="Times New Roman" w:hAnsi="Times New Roman"/>
          <w:sz w:val="12"/>
          <w:szCs w:val="12"/>
          <w:b w:val="1"/>
          <w:bCs w:val="1"/>
          <w:i w:val="1"/>
          <w:iCs w:val="1"/>
          <w:color w:val="auto"/>
        </w:rPr>
        <w:t>Factorial Holdings, Inc.</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however, </w:t>
      </w:r>
      <w:r>
        <w:rPr>
          <w:rFonts w:ascii="Times New Roman" w:cs="Times New Roman" w:eastAsia="Times New Roman" w:hAnsi="Times New Roman"/>
          <w:sz w:val="12"/>
          <w:szCs w:val="12"/>
          <w:color w:val="auto"/>
        </w:rPr>
        <w:t>that in the case of clause (iii), each of the Parties acknowledges and agrees that each of the CGC Certificate of Incorporation and the CGC Bylaws shall be appropriately adjusted to give effect to any amendments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Governing Documents of CGC contemplated by the CGC Certificate of Incorporation and the CGC Bylaws that are not adopted and approved by the Pre-Closing CGC Holders at the CGC Shareholders Meeting (other than, for the avoidance of doubt, the amendments to the Governing Documents of CGC that are contemplated by the Required Governing Document Proposals). CGC and its Representatives shall give the Company and its pertinent Representatives a reasonable opportunity to review any applicable documents, certificates or filings in connection with the Domestication and will consider, in good faith, any comments thereto. Following the consummation of the Domestication and prior to the Closing, the board of directors of CGC will resolve to ratify and approve such matters as may be required to effect the transactions contemplated by this Agreement and any such other matters as the Company and CGC may mutually agree.</w:t>
      </w:r>
    </w:p>
    <w:p>
      <w:pPr>
        <w:spacing w:after="0" w:line="1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b w:val="1"/>
          <w:bCs w:val="1"/>
          <w:color w:val="auto"/>
        </w:rPr>
        <w:t>(b)            The Merger</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2"/>
          <w:szCs w:val="12"/>
          <w:b w:val="1"/>
          <w:bCs w:val="1"/>
          <w:color w:val="auto"/>
        </w:rPr>
        <w:t>(i)            </w:t>
      </w:r>
      <w:r>
        <w:rPr>
          <w:rFonts w:ascii="Times New Roman" w:cs="Times New Roman" w:eastAsia="Times New Roman" w:hAnsi="Times New Roman"/>
          <w:sz w:val="12"/>
          <w:szCs w:val="12"/>
          <w:color w:val="auto"/>
        </w:rPr>
        <w:t>On the terms and subject to the conditions set forth in this Agreement and in accordance with the DGCL, on the Closing Date promptly following the consummation of the Domestication, Merger Sub</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shall merge with and into the Company at the Effective Time. Following the Effective Time, and as a result of the Merger, the separate existence of Merger Sub shall cease and the Company shall continue as the surviving company of the Merger (the “</w:t>
      </w:r>
      <w:r>
        <w:rPr>
          <w:rFonts w:ascii="Times New Roman" w:cs="Times New Roman" w:eastAsia="Times New Roman" w:hAnsi="Times New Roman"/>
          <w:sz w:val="12"/>
          <w:szCs w:val="12"/>
          <w:b w:val="1"/>
          <w:bCs w:val="1"/>
          <w:i w:val="1"/>
          <w:iCs w:val="1"/>
          <w:color w:val="auto"/>
        </w:rPr>
        <w:t>Surviving Company</w:t>
      </w:r>
      <w:r>
        <w:rPr>
          <w:rFonts w:ascii="Times New Roman" w:cs="Times New Roman" w:eastAsia="Times New Roman" w:hAnsi="Times New Roman"/>
          <w:sz w:val="12"/>
          <w:szCs w:val="12"/>
          <w:color w:val="auto"/>
        </w:rPr>
        <w:t>”).</w:t>
      </w:r>
    </w:p>
    <w:p>
      <w:pPr>
        <w:spacing w:after="0" w:line="114"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2"/>
          <w:szCs w:val="12"/>
          <w:b w:val="1"/>
          <w:bCs w:val="1"/>
          <w:color w:val="auto"/>
        </w:rPr>
        <w:t>(ii)            </w:t>
      </w:r>
      <w:r>
        <w:rPr>
          <w:rFonts w:ascii="Times New Roman" w:cs="Times New Roman" w:eastAsia="Times New Roman" w:hAnsi="Times New Roman"/>
          <w:sz w:val="12"/>
          <w:szCs w:val="12"/>
          <w:color w:val="auto"/>
        </w:rPr>
        <w:t>At the Closing, the Parties hereto shall cause the Merger to be consummated by filing with the Secretary of State of the State of Delaware a certificate of merger, in a form reasonably satisfactory to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Company and CGC (the “</w:t>
      </w:r>
      <w:r>
        <w:rPr>
          <w:rFonts w:ascii="Times New Roman" w:cs="Times New Roman" w:eastAsia="Times New Roman" w:hAnsi="Times New Roman"/>
          <w:sz w:val="12"/>
          <w:szCs w:val="12"/>
          <w:b w:val="1"/>
          <w:bCs w:val="1"/>
          <w:i w:val="1"/>
          <w:iCs w:val="1"/>
          <w:color w:val="auto"/>
        </w:rPr>
        <w:t>Certificate of Merger</w:t>
      </w:r>
      <w:r>
        <w:rPr>
          <w:rFonts w:ascii="Times New Roman" w:cs="Times New Roman" w:eastAsia="Times New Roman" w:hAnsi="Times New Roman"/>
          <w:sz w:val="12"/>
          <w:szCs w:val="12"/>
          <w:color w:val="auto"/>
        </w:rPr>
        <w:t>”), to be executed and filed in accordance with the relevant provisions of the DGCL. The Merger shall become effective on the date and time at which the Certificate of Merger is accepted for filing by the Secretary of State of the State of Delaware or at such later date and/or time as is agreed by CGC and the Company and specified in the Certificate of Merger (the time the Merger becomes effective being referred to herein as the “</w:t>
      </w:r>
      <w:r>
        <w:rPr>
          <w:rFonts w:ascii="Times New Roman" w:cs="Times New Roman" w:eastAsia="Times New Roman" w:hAnsi="Times New Roman"/>
          <w:sz w:val="12"/>
          <w:szCs w:val="12"/>
          <w:b w:val="1"/>
          <w:bCs w:val="1"/>
          <w:i w:val="1"/>
          <w:iCs w:val="1"/>
          <w:color w:val="auto"/>
        </w:rPr>
        <w:t>Effective Time</w:t>
      </w:r>
      <w:r>
        <w:rPr>
          <w:rFonts w:ascii="Times New Roman" w:cs="Times New Roman" w:eastAsia="Times New Roman" w:hAnsi="Times New Roman"/>
          <w:sz w:val="12"/>
          <w:szCs w:val="12"/>
          <w:color w:val="auto"/>
        </w:rPr>
        <w:t>”).</w:t>
      </w:r>
    </w:p>
    <w:p>
      <w:pPr>
        <w:spacing w:after="0" w:line="117"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2"/>
          <w:szCs w:val="12"/>
          <w:b w:val="1"/>
          <w:bCs w:val="1"/>
          <w:color w:val="auto"/>
        </w:rPr>
        <w:t>(iii)           </w:t>
      </w:r>
      <w:r>
        <w:rPr>
          <w:rFonts w:ascii="Times New Roman" w:cs="Times New Roman" w:eastAsia="Times New Roman" w:hAnsi="Times New Roman"/>
          <w:sz w:val="12"/>
          <w:szCs w:val="12"/>
          <w:color w:val="auto"/>
        </w:rPr>
        <w:t>The Merger shall have the effects set forth in Section 251 of the DGCL. Without limiting the generality of the foregoing, and subject thereto, at the Effective Time, all of the assets, properties, rights,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privileges, powers and franchises of the Company and Merger Sub shall vest in the Surviving Company and all debts, liabilities, obligations, restrictions, disabilities and duties of each of the Company and Merger Sub shall become the debts, liabilities, obligations and duties of the Surviving Company, in each case, in accordance with the DGCL.</w:t>
      </w:r>
    </w:p>
    <w:p>
      <w:pPr>
        <w:spacing w:after="0" w:line="1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(iv)            </w:t>
      </w:r>
      <w:r>
        <w:rPr>
          <w:rFonts w:ascii="Times New Roman" w:cs="Times New Roman" w:eastAsia="Times New Roman" w:hAnsi="Times New Roman"/>
          <w:sz w:val="12"/>
          <w:szCs w:val="12"/>
          <w:color w:val="auto"/>
        </w:rPr>
        <w:t>At the Effective Time, the Governing Documents of Merger Sub shall be the Governing Documents of the Surviving Company, in each case, until thereafter changed or amended as provided therein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 applicable Law.</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33" w:name="page34"/>
    <w:bookmarkEnd w:id="33"/>
    <w:p>
      <w:pPr>
        <w:jc w:val="both"/>
        <w:ind w:firstLine="1296"/>
        <w:spacing w:after="0" w:line="286" w:lineRule="auto"/>
        <w:rPr>
          <w:sz w:val="20"/>
          <w:szCs w:val="20"/>
          <w:color w:val="auto"/>
        </w:rPr>
      </w:pPr>
      <w:r>
        <w:rPr>
          <w:rFonts w:ascii="Times New Roman" w:cs="Times New Roman" w:eastAsia="Times New Roman" w:hAnsi="Times New Roman"/>
          <w:sz w:val="12"/>
          <w:szCs w:val="12"/>
          <w:b w:val="1"/>
          <w:bCs w:val="1"/>
          <w:color w:val="auto"/>
        </w:rPr>
        <w:t>(v)            </w:t>
      </w:r>
      <w:r>
        <w:rPr>
          <w:rFonts w:ascii="Times New Roman" w:cs="Times New Roman" w:eastAsia="Times New Roman" w:hAnsi="Times New Roman"/>
          <w:sz w:val="12"/>
          <w:szCs w:val="12"/>
          <w:color w:val="auto"/>
        </w:rPr>
        <w:t>At the Effective Time, the directors and officers of the Company immediately prior to the Effective Time shall be the initial directors and officers of the Surviving Company, each to hold office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accordance with the Governing Documents of the Surviving Company until such director’s or officer’s successor is duly elected or appointed and qualified, or until the earlier of their death, resignation or removal.</w:t>
      </w:r>
    </w:p>
    <w:p>
      <w:pPr>
        <w:spacing w:after="0" w:line="103"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2"/>
          <w:szCs w:val="12"/>
          <w:b w:val="1"/>
          <w:bCs w:val="1"/>
          <w:color w:val="auto"/>
        </w:rPr>
        <w:t>(vi)           </w:t>
      </w:r>
      <w:r>
        <w:rPr>
          <w:rFonts w:ascii="Times New Roman" w:cs="Times New Roman" w:eastAsia="Times New Roman" w:hAnsi="Times New Roman"/>
          <w:sz w:val="12"/>
          <w:szCs w:val="12"/>
          <w:color w:val="auto"/>
        </w:rPr>
        <w:t>At the Effective Time, by virtue of the Merger and without any action on the part of any Party or any other Person, each share of capital stock of Merger Sub issued and outstanding immediately prior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Effective Time shall be automatically cancelled and extinguished and converted into one share of common stock, par value $0.0001, of the Surviving Company (each such share, a “</w:t>
      </w:r>
      <w:r>
        <w:rPr>
          <w:rFonts w:ascii="Times New Roman" w:cs="Times New Roman" w:eastAsia="Times New Roman" w:hAnsi="Times New Roman"/>
          <w:sz w:val="12"/>
          <w:szCs w:val="12"/>
          <w:b w:val="1"/>
          <w:bCs w:val="1"/>
          <w:i w:val="1"/>
          <w:iCs w:val="1"/>
          <w:color w:val="auto"/>
        </w:rPr>
        <w:t>Surviving Company Share</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2"/>
          <w:szCs w:val="12"/>
          <w:b w:val="1"/>
          <w:bCs w:val="1"/>
          <w:color w:val="auto"/>
        </w:rPr>
        <w:t>(vii)          </w:t>
      </w:r>
      <w:r>
        <w:rPr>
          <w:rFonts w:ascii="Times New Roman" w:cs="Times New Roman" w:eastAsia="Times New Roman" w:hAnsi="Times New Roman"/>
          <w:sz w:val="12"/>
          <w:szCs w:val="12"/>
          <w:color w:val="auto"/>
        </w:rPr>
        <w:t>At the Effective Time, by virtue of the Merger and without any action on the part of any Party or any other Person, each Company Share (other than the Company Shares (A) cancelled and extinguished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pursuant to Section 2.1(b)(x) or (B) held by the Founders, and any Company Dissenting Shares) issued and outstanding as of immediately prior to the Effective Time shall be automatically canceled and extinguished and converted into the right to receive a number of shares of CGC Series A Common Stock equal to the Exchange Ratio.</w:t>
      </w:r>
    </w:p>
    <w:p>
      <w:pPr>
        <w:spacing w:after="0" w:line="114"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2"/>
          <w:szCs w:val="12"/>
          <w:b w:val="1"/>
          <w:bCs w:val="1"/>
          <w:color w:val="auto"/>
        </w:rPr>
        <w:t>(viii)        </w:t>
      </w:r>
      <w:r>
        <w:rPr>
          <w:rFonts w:ascii="Times New Roman" w:cs="Times New Roman" w:eastAsia="Times New Roman" w:hAnsi="Times New Roman"/>
          <w:sz w:val="12"/>
          <w:szCs w:val="12"/>
          <w:color w:val="auto"/>
        </w:rPr>
        <w:t>At the Effective Time, by virtue of the Merger and without any action on the part of any Party or any other Person, each Company Share held by the Founders issued and outstanding as of immediately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prior to the Effective Time shall be automatically canceled and extinguished and converted into the right to receive a number of shares of CGC Series B Common Stock equal to the Exchange Ratio. Pursuant to, and in accordance with, the CGC Certificate of Incorporation, each share of CGC Series B Common Stock shall have ten (10) votes per share and the shares of CGC Series B Common Stock shall not be publicly listed or traded, shall be freely convertible into shares of CGC Series A Common Stock on a one-to-one basis, and will automatically be converted into shares of Class A Common Stock on that basis upon the earliest to occur of (A) the date specified by affirmative vote of the holders of at least 66-2/3% of the outstanding shares of Series B Common Stock, voting as a single series, (B) a Transfer (as defined in the CGC Certificate of Incorporation), (C) the date that is nine months following the death or Incapacity (as defined in the CGC Certificate of Incorporation) of a Founder, (C) with respect to each Founder, upon such Founder, together with its Permitted Transferees (as defined in the CGC Certificate of Incorporation) collectively owning a number of shares of Series A Common Stock and Series B Common Stock equal to less than half of the number of shares of Series B Common Stock held thereby as of the Effective Date, and (D) the seven (7) year anniversary of the Closing Date.</w:t>
      </w:r>
    </w:p>
    <w:p>
      <w:pPr>
        <w:spacing w:after="0" w:line="123"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2"/>
          <w:szCs w:val="12"/>
          <w:b w:val="1"/>
          <w:bCs w:val="1"/>
          <w:color w:val="auto"/>
        </w:rPr>
        <w:t>(ix)           </w:t>
      </w:r>
      <w:r>
        <w:rPr>
          <w:rFonts w:ascii="Times New Roman" w:cs="Times New Roman" w:eastAsia="Times New Roman" w:hAnsi="Times New Roman"/>
          <w:sz w:val="12"/>
          <w:szCs w:val="12"/>
          <w:color w:val="auto"/>
        </w:rPr>
        <w:t>From and after the Effective Time, each Company Stockholder’s certificates (the “</w:t>
      </w:r>
      <w:r>
        <w:rPr>
          <w:rFonts w:ascii="Times New Roman" w:cs="Times New Roman" w:eastAsia="Times New Roman" w:hAnsi="Times New Roman"/>
          <w:sz w:val="12"/>
          <w:szCs w:val="12"/>
          <w:b w:val="1"/>
          <w:bCs w:val="1"/>
          <w:i w:val="1"/>
          <w:iCs w:val="1"/>
          <w:color w:val="auto"/>
        </w:rPr>
        <w:t>Certificates</w:t>
      </w:r>
      <w:r>
        <w:rPr>
          <w:rFonts w:ascii="Times New Roman" w:cs="Times New Roman" w:eastAsia="Times New Roman" w:hAnsi="Times New Roman"/>
          <w:sz w:val="12"/>
          <w:szCs w:val="12"/>
          <w:color w:val="auto"/>
        </w:rPr>
        <w:t>”), if any, evidencing ownership of the Company Shares and the Company Shares held in book-entry form</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issued and outstanding immediately prior to the Effective Time shall each cease to have any rights with respect to such Company Shares except as otherwise expressly provided for herein or under applicable Law.</w:t>
      </w:r>
    </w:p>
    <w:p>
      <w:pPr>
        <w:spacing w:after="0" w:line="103"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2"/>
          <w:szCs w:val="12"/>
          <w:b w:val="1"/>
          <w:bCs w:val="1"/>
          <w:color w:val="auto"/>
        </w:rPr>
        <w:t>(x)            </w:t>
      </w:r>
      <w:r>
        <w:rPr>
          <w:rFonts w:ascii="Times New Roman" w:cs="Times New Roman" w:eastAsia="Times New Roman" w:hAnsi="Times New Roman"/>
          <w:sz w:val="12"/>
          <w:szCs w:val="12"/>
          <w:color w:val="auto"/>
        </w:rPr>
        <w:t>At the Effective Time, by virtue of the Merger and without any action on the part of any Party or any other Person, each Company Share held immediately prior to the Effective Time by the Company 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treasury stock shall be automatically canceled and extinguished, and no consideration shall be paid with respect thereto.</w:t>
      </w:r>
    </w:p>
    <w:p>
      <w:pPr>
        <w:spacing w:after="0" w:line="10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2"/>
          <w:szCs w:val="12"/>
          <w:b w:val="1"/>
          <w:bCs w:val="1"/>
          <w:color w:val="auto"/>
        </w:rPr>
        <w:t>(xi)           </w:t>
      </w:r>
      <w:r>
        <w:rPr>
          <w:rFonts w:ascii="Times New Roman" w:cs="Times New Roman" w:eastAsia="Times New Roman" w:hAnsi="Times New Roman"/>
          <w:sz w:val="12"/>
          <w:szCs w:val="12"/>
          <w:color w:val="auto"/>
        </w:rPr>
        <w:t>For purposes of calculating the aggregate number of CGC Shares issuable to each Company Stockholder pursuant to the terms of Section 2.1(b)(vii) and Section 2.1(b)(vii), all Company Shares held by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such holder shall be aggregated, and the Exchange Ratio shall be applied to that aggregate number of shares held by such holder, and not on a share-by-share basis, and the number of CGC Shares to be issued shall be rounded down to the nearest whole share.</w:t>
      </w:r>
    </w:p>
    <w:p>
      <w:pPr>
        <w:spacing w:after="0" w:line="114"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2"/>
          <w:szCs w:val="12"/>
          <w:b w:val="1"/>
          <w:bCs w:val="1"/>
          <w:color w:val="auto"/>
        </w:rPr>
        <w:t>(xii)          </w:t>
      </w:r>
      <w:r>
        <w:rPr>
          <w:rFonts w:ascii="Times New Roman" w:cs="Times New Roman" w:eastAsia="Times New Roman" w:hAnsi="Times New Roman"/>
          <w:sz w:val="12"/>
          <w:szCs w:val="12"/>
          <w:color w:val="auto"/>
        </w:rPr>
        <w:t>If, between the date of this Agreement and the Closing, the outstanding CGC Shares shall have been changed into a different number of shares or a different class, by reason of any stock dividend,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subdivision, reclassification, recapitalization, split, combination or exchange of shares, or any similar event shall have occurred, then any number, value (including dollar value) or amount contained herein which is based upon the number of CGC Shares will be appropriately adjusted to provide to the holders of Company Shares the same economic effect as contemplated by this Agreement;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this Section 2.1(b)(xii) shall not (A) be construed to permit CGC, Merger Sub or the Company to take any action with respect to their respective securities that is prohibited by the terms and conditions of this Agreement, or (B) apply to the Domestication or any other transactions expressly contemplated by this Agreement or any Ancillary Document to the extent consummated in accordance with the terms contemplated by this Agreement and/or such Ancillary Document, as applicable.</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34" w:name="page35"/>
    <w:bookmarkEnd w:id="34"/>
    <w:p>
      <w:pPr>
        <w:jc w:val="both"/>
        <w:ind w:left="8"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Section 2.2        Closing of the Transactions Contemplated by this Agreement</w:t>
      </w:r>
      <w:r>
        <w:rPr>
          <w:rFonts w:ascii="Times New Roman" w:cs="Times New Roman" w:eastAsia="Times New Roman" w:hAnsi="Times New Roman"/>
          <w:sz w:val="12"/>
          <w:szCs w:val="12"/>
          <w:color w:val="auto"/>
        </w:rPr>
        <w:t>. The closing of the transactions contemplated by this Agreement (the “</w:t>
      </w:r>
      <w:r>
        <w:rPr>
          <w:rFonts w:ascii="Times New Roman" w:cs="Times New Roman" w:eastAsia="Times New Roman" w:hAnsi="Times New Roman"/>
          <w:sz w:val="12"/>
          <w:szCs w:val="12"/>
          <w:b w:val="1"/>
          <w:bCs w:val="1"/>
          <w:i w:val="1"/>
          <w:iCs w:val="1"/>
          <w:color w:val="auto"/>
        </w:rPr>
        <w:t>Closing</w:t>
      </w:r>
      <w:r>
        <w:rPr>
          <w:rFonts w:ascii="Times New Roman" w:cs="Times New Roman" w:eastAsia="Times New Roman" w:hAnsi="Times New Roman"/>
          <w:sz w:val="12"/>
          <w:szCs w:val="12"/>
          <w:color w:val="auto"/>
        </w:rPr>
        <w:t>”) shall take place electronically by exchange of the closing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deliverables by the means provided in Section 8.11 as promptly as reasonably practicable, but in no event later than the fifth (5th) Business Day, following the satisfaction (or, to the extent permitted by applicable Law, waiver) of the conditions set forth in Article 6 (other than those conditions that by their nature are to be satisfied at the Closing, but subject to satisfaction or waiver of such conditions) (the date upon which the Closing actually occurs is referred to herein as “</w:t>
      </w:r>
      <w:r>
        <w:rPr>
          <w:rFonts w:ascii="Times New Roman" w:cs="Times New Roman" w:eastAsia="Times New Roman" w:hAnsi="Times New Roman"/>
          <w:sz w:val="12"/>
          <w:szCs w:val="12"/>
          <w:b w:val="1"/>
          <w:bCs w:val="1"/>
          <w:i w:val="1"/>
          <w:iCs w:val="1"/>
          <w:color w:val="auto"/>
        </w:rPr>
        <w:t>Closing Date</w:t>
      </w:r>
      <w:r>
        <w:rPr>
          <w:rFonts w:ascii="Times New Roman" w:cs="Times New Roman" w:eastAsia="Times New Roman" w:hAnsi="Times New Roman"/>
          <w:sz w:val="12"/>
          <w:szCs w:val="12"/>
          <w:color w:val="auto"/>
        </w:rPr>
        <w:t>”) or at such other place, date and/or time as CGC and the Company may agree in writing.</w:t>
      </w:r>
    </w:p>
    <w:p>
      <w:pPr>
        <w:spacing w:after="0" w:line="117" w:lineRule="exact"/>
        <w:rPr>
          <w:sz w:val="20"/>
          <w:szCs w:val="20"/>
          <w:color w:val="auto"/>
        </w:rPr>
      </w:pPr>
    </w:p>
    <w:p>
      <w:pPr>
        <w:jc w:val="both"/>
        <w:ind w:left="8" w:firstLine="432"/>
        <w:spacing w:after="0" w:line="255" w:lineRule="auto"/>
        <w:rPr>
          <w:sz w:val="20"/>
          <w:szCs w:val="20"/>
          <w:color w:val="auto"/>
        </w:rPr>
      </w:pPr>
      <w:r>
        <w:rPr>
          <w:rFonts w:ascii="Times New Roman" w:cs="Times New Roman" w:eastAsia="Times New Roman" w:hAnsi="Times New Roman"/>
          <w:sz w:val="12"/>
          <w:szCs w:val="12"/>
          <w:b w:val="1"/>
          <w:bCs w:val="1"/>
          <w:color w:val="auto"/>
        </w:rPr>
        <w:t>Section 2.3        Allocation Schedule</w:t>
      </w:r>
      <w:r>
        <w:rPr>
          <w:rFonts w:ascii="Times New Roman" w:cs="Times New Roman" w:eastAsia="Times New Roman" w:hAnsi="Times New Roman"/>
          <w:sz w:val="12"/>
          <w:szCs w:val="12"/>
          <w:color w:val="auto"/>
        </w:rPr>
        <w:t>. At least five (5) Business Days prior to the Closing Date, the Company shall deliver to CGC an allocation schedule (the “</w:t>
      </w:r>
      <w:r>
        <w:rPr>
          <w:rFonts w:ascii="Times New Roman" w:cs="Times New Roman" w:eastAsia="Times New Roman" w:hAnsi="Times New Roman"/>
          <w:sz w:val="12"/>
          <w:szCs w:val="12"/>
          <w:b w:val="1"/>
          <w:bCs w:val="1"/>
          <w:i w:val="1"/>
          <w:iCs w:val="1"/>
          <w:color w:val="auto"/>
        </w:rPr>
        <w:t>Allocation Schedule</w:t>
      </w:r>
      <w:r>
        <w:rPr>
          <w:rFonts w:ascii="Times New Roman" w:cs="Times New Roman" w:eastAsia="Times New Roman" w:hAnsi="Times New Roman"/>
          <w:sz w:val="12"/>
          <w:szCs w:val="12"/>
          <w:color w:val="auto"/>
        </w:rPr>
        <w:t>”) setting forth (i) the number of Company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Shares held by each Company Stockholder (including the number of Company Common Shares subject to the Company Warrants that will be exercised for Company Common Shares pursuant to Section 2.4(c) held by each holder thereof, and after giving effect to the conversion of the Company Convertible Notes and the Company Preferred Share Conversion pursuant to Section 2.4(d)), (ii) the number of Company Common Shares subject to each Company Equity Award held by each holder thereof, as well as whether each such Company Equity Award will be a Vested Company Equity Award or an Unvested Company Equity Award as of immediately prior to the Effective Time, and, in each case, the exercise price thereof, (iii) the number of CGC Shares that will be subject to each Rollover Option and each Rollover RSU Award, and, in the case of each Rollover Option, the exercise price thereof at the Effective Time,</w:t>
      </w:r>
    </w:p>
    <w:p>
      <w:pPr>
        <w:spacing w:after="0" w:line="2" w:lineRule="exact"/>
        <w:rPr>
          <w:sz w:val="20"/>
          <w:szCs w:val="20"/>
          <w:color w:val="auto"/>
        </w:rPr>
      </w:pPr>
    </w:p>
    <w:p>
      <w:pPr>
        <w:jc w:val="both"/>
        <w:ind w:left="8" w:hanging="8"/>
        <w:spacing w:after="0" w:line="251" w:lineRule="auto"/>
        <w:tabs>
          <w:tab w:leader="none" w:pos="216"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Transaction Share Consideration, the Fully-Diluted Shares and the Exchange Ratio, (v) each Company Stockholder’s Pro Rata Share of the Transaction Share Consideration (including, for the avoidance of doubt, in respect of any Company Shares that are issued upon exercise of the Company Warrants immediately prior to the Closing pursuant to Section 2.4(c), the conversion of the Company Convertible Notes and after giving effect to the Company Preferred Share Conversion pursuant to Section 2.4(d)), and (vi) a certification, duly executed by an authorized officer of the Company, that (a) the information and calculations delivered pursuant to clauses (i), (ii), (iii), (iv), and (v) is, and will be as of immediately prior to the Effective Time, true and correct in all respects and in accordance with the last sentence of this Section 2.3 and (b) the Company has performed, or otherwise complied with, as applicable, its covenants and agreements set forth in Section 2.4(f) and Section 5.13(d). The Company will review any comments to the Allocation Schedule provided by CGC or any of its Representatives and consider in good faith and incorporate any reasonable comments proposed by CGC or any of its Representatives. Notwithstanding the foregoing or anything to the contrary herein, (A) the aggregate number of CGC Shares that each Company Stockholder will have a right to receive pursuant to Section 2.1(b)(vii) and 2.1(b)(viii) will be rounded down to the nearest whole share, (B) in no event shall the aggregate number of CGC Shares set forth on the Allocation Schedule that are allocated in respect of the Equity Securities of the Company exceed the Transaction Share Consideration, (C) in no event shall the Allocation Schedule (or the calculations or determinations therein) breach, as applicable, any applicable Law, the Governing Documents of the Company, the Company Stockholder Agreements, the Company Equity Plan or any other Contract to which the Company is a party or bound (taking into account, for the avoidance of doubt, any actions taken by the Company pursuant to Section 2.4(f) and Section 5.13(d)) and (D) the CGC Parties and the Exchange Agent will be entitled to rely upon the Allocation Schedule for purposes of allocating the transaction consideration to the Company Stockholders under this Agreement or under the Exchange Agent Agreement, as applicable.</w:t>
      </w:r>
    </w:p>
    <w:p>
      <w:pPr>
        <w:spacing w:after="0" w:line="12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color w:val="auto"/>
        </w:rPr>
        <w:t>Section 2.4        Treatment of Company Equity Awards, Company Warrants, Company Convertible Notes and Company Preferred Shares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6"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At the Effective Time, by virtue of the Merger and without any action of any Party or any other Person (but subject to, in the case of the Company, Section 2.4(f)), each Company Option (whether a Vested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Company Option or an Unvested Company Option) shall cease to represent the right to purchase Company Common Shares and shall be canceled in exchange for an option to purchase CGC Shares under the CGC Equity Plan (each, a “</w:t>
      </w:r>
      <w:r>
        <w:rPr>
          <w:rFonts w:ascii="Times New Roman" w:cs="Times New Roman" w:eastAsia="Times New Roman" w:hAnsi="Times New Roman"/>
          <w:sz w:val="12"/>
          <w:szCs w:val="12"/>
          <w:b w:val="1"/>
          <w:bCs w:val="1"/>
          <w:i w:val="1"/>
          <w:iCs w:val="1"/>
          <w:color w:val="auto"/>
        </w:rPr>
        <w:t>Rollover Option</w:t>
      </w:r>
      <w:r>
        <w:rPr>
          <w:rFonts w:ascii="Times New Roman" w:cs="Times New Roman" w:eastAsia="Times New Roman" w:hAnsi="Times New Roman"/>
          <w:sz w:val="12"/>
          <w:szCs w:val="12"/>
          <w:color w:val="auto"/>
        </w:rPr>
        <w:t>”) in an amount equal to the product (rounded down to the nearest whole number) of (x) the number of Company Common Shares subject to such Company Option immediately prior to the Effective Time, multiplied by (y) the Exchange Ratio, at an exercise price per share (rounded up to the nearest whole cent) equal to the quotient of (i) the exercise price per share of such Company Option immediately prior to the Effective Time, divided by</w:t>
      </w:r>
    </w:p>
    <w:p>
      <w:pPr>
        <w:spacing w:after="0" w:line="2" w:lineRule="exact"/>
        <w:rPr>
          <w:sz w:val="20"/>
          <w:szCs w:val="20"/>
          <w:color w:val="auto"/>
        </w:rPr>
      </w:pPr>
    </w:p>
    <w:p>
      <w:pPr>
        <w:jc w:val="both"/>
        <w:ind w:left="8" w:hanging="8"/>
        <w:spacing w:after="0" w:line="253" w:lineRule="auto"/>
        <w:tabs>
          <w:tab w:leader="none" w:pos="187"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Exchange Ratio;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such conversion shall occur in a manner intended to comply with (A) the requirements of Section 409A of the Code and (B) in the case of any Rollover Option that is an incentive stock option, the requirements of Section 424 of the Code. Each Rollover Option shall be subject to the same terms and conditions (including applicable vesting, expiration and forfeiture provisions) that applied to the corresponding Company Option immediately prior to the Effective Time, except for (i) as provided above in this Section 2.4(a), or (ii) terms (A) rendered inoperative by reason of the transactions contemplated by this Agreement (including any anti-dilution or other similar provisions that adjust the number of underlying shares that could become exercisable subject to the options) or (B) to the extent they conflict with the CGC Equity Incentive Plan and (iii) such other immaterial administrative or ministerial changes as the CGC Board (or the compensation committee of the CGC Board) may determine in good faith are appropriate to effectuate the administration of the Rollover Options.</w:t>
      </w:r>
    </w:p>
    <w:p>
      <w:pPr>
        <w:spacing w:after="0" w:line="2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35" w:name="page36"/>
    <w:bookmarkEnd w:id="35"/>
    <w:p>
      <w:pPr>
        <w:jc w:val="both"/>
        <w:ind w:firstLine="864"/>
        <w:spacing w:after="0" w:line="256"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At the Effective Time, by virtue of the Merger and without any action of any Party or any other Person (but subject to, in the case of the Company, Section 2.4(f)), each Company RSU Award (whether a Vested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Company RSU Award or an Unvested Company RSU Award) shall cease to have any rights in respect of the Company Common Shares and shall be canceled in exchange for a restricted stock unit award under the CGC Equity Incentive Plan (each, a “</w:t>
      </w:r>
      <w:r>
        <w:rPr>
          <w:rFonts w:ascii="Times New Roman" w:cs="Times New Roman" w:eastAsia="Times New Roman" w:hAnsi="Times New Roman"/>
          <w:sz w:val="12"/>
          <w:szCs w:val="12"/>
          <w:b w:val="1"/>
          <w:bCs w:val="1"/>
          <w:i w:val="1"/>
          <w:iCs w:val="1"/>
          <w:color w:val="auto"/>
        </w:rPr>
        <w:t>Rollover RSU Award</w:t>
      </w:r>
      <w:r>
        <w:rPr>
          <w:rFonts w:ascii="Times New Roman" w:cs="Times New Roman" w:eastAsia="Times New Roman" w:hAnsi="Times New Roman"/>
          <w:sz w:val="12"/>
          <w:szCs w:val="12"/>
          <w:color w:val="auto"/>
        </w:rPr>
        <w:t>”) that settles in a number of CGC Shares (rounded down to the nearest whole share) in an amount and subject to such terms and conditions, in each case, as set forth on the Allocation Schedule. Each Rollover RSU Award shall be subject to the same terms and conditions (including applicable vesting, expiration and forfeiture provisions) that applied to the corresponding Company RSU Award immediately prior to the Effective Time, except for (i) terms (A) rendered inoperative by reason of the transactions contemplated by this Agreement (including any anti-dilution or other similar provisions that adjust the number of underlying shares that could vest subject to the restricted stock unit award) or (B) to the extent they conflict with the CGC Equity Incentive Plan and (ii) such other immaterial administrative or ministerial changes as the CGC Board (or the compensation committee of the CGC Board) may determine in good faith are appropriate to effectuate the administration of the Rollover RSU Awards.</w:t>
      </w:r>
    </w:p>
    <w:p>
      <w:pPr>
        <w:spacing w:after="0" w:line="122"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Immediately prior to the Effective Time, the Company Convertible Notes shall be converted into Company Common Shares pursuant to their terms (the “</w:t>
      </w:r>
      <w:r>
        <w:rPr>
          <w:rFonts w:ascii="Times New Roman" w:cs="Times New Roman" w:eastAsia="Times New Roman" w:hAnsi="Times New Roman"/>
          <w:sz w:val="12"/>
          <w:szCs w:val="12"/>
          <w:b w:val="1"/>
          <w:bCs w:val="1"/>
          <w:i w:val="1"/>
          <w:iCs w:val="1"/>
          <w:color w:val="auto"/>
        </w:rPr>
        <w:t>Company Convertible Notes Conversion</w:t>
      </w:r>
      <w:r>
        <w:rPr>
          <w:rFonts w:ascii="Times New Roman" w:cs="Times New Roman" w:eastAsia="Times New Roman" w:hAnsi="Times New Roman"/>
          <w:sz w:val="12"/>
          <w:szCs w:val="12"/>
          <w:color w:val="auto"/>
        </w:rPr>
        <w:t>”) and each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such Company Convertible Note shall no longer be issued or outstanding and shall instead automatically be canceled, extinguished, retired and shall cease to exist, and each holder of the Company Convertible Notes shall thereafter cease to have any rights with respect to such Company Convertible Notes, other than, for the avoidance of doubt, with respect to the Company Common Shares into which such Company Convertible Notes have been converted and then as expressly provided herein.</w:t>
      </w:r>
    </w:p>
    <w:p>
      <w:pPr>
        <w:spacing w:after="0" w:line="117"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b w:val="1"/>
          <w:bCs w:val="1"/>
          <w:color w:val="auto"/>
        </w:rPr>
        <w:t>(d)            </w:t>
      </w:r>
      <w:r>
        <w:rPr>
          <w:rFonts w:ascii="Times New Roman" w:cs="Times New Roman" w:eastAsia="Times New Roman" w:hAnsi="Times New Roman"/>
          <w:sz w:val="12"/>
          <w:szCs w:val="12"/>
          <w:color w:val="auto"/>
        </w:rPr>
        <w:t>On the Closing Date, prior to the Effective Time, the Company shall cause each Company Preferred Share that is issued and outstanding immediately prior to the Effective Time to be automatically converted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into and become a number of Company Common Shares in accordance with the terms of Section 5.1 of the Company Certificate of Incorporation (the “</w:t>
      </w:r>
      <w:r>
        <w:rPr>
          <w:rFonts w:ascii="Times New Roman" w:cs="Times New Roman" w:eastAsia="Times New Roman" w:hAnsi="Times New Roman"/>
          <w:sz w:val="12"/>
          <w:szCs w:val="12"/>
          <w:b w:val="1"/>
          <w:bCs w:val="1"/>
          <w:i w:val="1"/>
          <w:iCs w:val="1"/>
          <w:color w:val="auto"/>
        </w:rPr>
        <w:t>Company Preferred Share Conversion</w:t>
      </w:r>
      <w:r>
        <w:rPr>
          <w:rFonts w:ascii="Times New Roman" w:cs="Times New Roman" w:eastAsia="Times New Roman" w:hAnsi="Times New Roman"/>
          <w:sz w:val="12"/>
          <w:szCs w:val="12"/>
          <w:color w:val="auto"/>
        </w:rPr>
        <w:t>”), and each such Company Preferred Share shall no longer be issued and outstanding and shall automatically be canceled, extinguished, retired and shall cease to exist, and each holder of Company Preferred Shares shall thereafter cease to have any rights with respect to such Company Preferred Share, other than, for the avoidance of doubt, with respect to the Company Common Shares into which such Company Preferred Shares have been converted and then as expressly provided herein.</w:t>
      </w:r>
    </w:p>
    <w:p>
      <w:pPr>
        <w:spacing w:after="0" w:line="117"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b w:val="1"/>
          <w:bCs w:val="1"/>
          <w:color w:val="auto"/>
        </w:rPr>
        <w:t>(e)            </w:t>
      </w:r>
      <w:r>
        <w:rPr>
          <w:rFonts w:ascii="Times New Roman" w:cs="Times New Roman" w:eastAsia="Times New Roman" w:hAnsi="Times New Roman"/>
          <w:sz w:val="12"/>
          <w:szCs w:val="12"/>
          <w:color w:val="auto"/>
        </w:rPr>
        <w:t>On the Closing Date, prior to the Effective Time, the Company shall cause each Company Warrant that is issued and outstanding immediately prior to the Effective Time to be automatically converted into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become a number of Company Common Shares in accordance with the terms of Company Warrant Agreements, and each such Company Warrant shall no longer be issued and outstanding and shall automatically be canceled, extinguished, retired and shall cease to exist, and each holder of Company Warrant shall thereafter cease to have any rights with respect to such Company Warrant, other than, for the avoidance of doubt, with respect to the Company Common Shares into which such Company Warrants have been converted and then as expressly provided herein.</w:t>
      </w:r>
    </w:p>
    <w:p>
      <w:pPr>
        <w:spacing w:after="0" w:line="117" w:lineRule="exact"/>
        <w:rPr>
          <w:sz w:val="20"/>
          <w:szCs w:val="20"/>
          <w:color w:val="auto"/>
        </w:rPr>
      </w:pPr>
    </w:p>
    <w:p>
      <w:pPr>
        <w:jc w:val="both"/>
        <w:ind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(f)            </w:t>
      </w:r>
      <w:r>
        <w:rPr>
          <w:rFonts w:ascii="Times New Roman" w:cs="Times New Roman" w:eastAsia="Times New Roman" w:hAnsi="Times New Roman"/>
          <w:sz w:val="12"/>
          <w:szCs w:val="12"/>
          <w:color w:val="auto"/>
        </w:rPr>
        <w:t>Prior to the Closing, the Company shall take, or cause to be taken, all necessary or appropriate actions under the Company Equity Plans, under the underlying grant, award or similar agreement, if required by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holders of Company Warrants, under the Company Warrant Agreements, Company Convertible Note and otherwise to give effect to the provisions of this Section 2.4.</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36" w:name="page37"/>
    <w:bookmarkEnd w:id="36"/>
    <w:p>
      <w:pPr>
        <w:ind w:left="428"/>
        <w:spacing w:after="0"/>
        <w:rPr>
          <w:sz w:val="20"/>
          <w:szCs w:val="20"/>
          <w:color w:val="auto"/>
        </w:rPr>
      </w:pPr>
      <w:r>
        <w:rPr>
          <w:rFonts w:ascii="Times New Roman" w:cs="Times New Roman" w:eastAsia="Times New Roman" w:hAnsi="Times New Roman"/>
          <w:sz w:val="12"/>
          <w:szCs w:val="12"/>
          <w:b w:val="1"/>
          <w:bCs w:val="1"/>
          <w:color w:val="auto"/>
        </w:rPr>
        <w:t>Section 2.5        Treatment of CGC Securities</w:t>
      </w:r>
      <w:r>
        <w:rPr>
          <w:rFonts w:ascii="Times New Roman" w:cs="Times New Roman" w:eastAsia="Times New Roman" w:hAnsi="Times New Roman"/>
          <w:sz w:val="12"/>
          <w:szCs w:val="12"/>
          <w:color w:val="auto"/>
        </w:rPr>
        <w:t>. On the Closing Date and prior to the Effective Time:</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Each CGC Class B Share issued and outstanding immediately prior to the Effective Time shall, in accordance with CGC’s Governing Documents, automatically convert into one (1) CGC Class A Share.</w:t>
      </w:r>
    </w:p>
    <w:p>
      <w:pPr>
        <w:spacing w:after="0" w:line="150" w:lineRule="exact"/>
        <w:rPr>
          <w:sz w:val="20"/>
          <w:szCs w:val="20"/>
          <w:color w:val="auto"/>
        </w:rPr>
      </w:pPr>
    </w:p>
    <w:p>
      <w:pPr>
        <w:jc w:val="both"/>
        <w:ind w:left="8" w:firstLine="864"/>
        <w:spacing w:after="0" w:line="268"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To the extent any CGC Units remain outstanding and unseparated, immediately prior to the Effective Time, the CGC Class A Shares and the CGC Public Warrants comprising each such issued and outstanding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CGC Unit immediately prior to the Effective Time shall be automatically separated, and the holder of each CGC Unit shall be deemed to hold one (1) CGC Class A Share and one-half (1/2) of one (1) CGC Public Warrant; and all CGC Units shall cease to be outstanding and shall automatically be canceled and retired and shall cease to exist.</w:t>
      </w:r>
    </w:p>
    <w:p>
      <w:pPr>
        <w:spacing w:after="0" w:line="114" w:lineRule="exact"/>
        <w:rPr>
          <w:sz w:val="20"/>
          <w:szCs w:val="20"/>
          <w:color w:val="auto"/>
        </w:rPr>
      </w:pPr>
    </w:p>
    <w:p>
      <w:pPr>
        <w:jc w:val="both"/>
        <w:ind w:left="8" w:right="20"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At the Effective Time, each CGC Public Warrant shall remain outstanding, but shall no longer be exercisable for CGC Units and shall instead be exercisable for CGC Class A Common Stock; provided, however,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that if the Warrant Amendment is approved by the holders of CGC Public Warrants prior to the Closing, each CGC Public Warrant shall instead be treated in accordance with the terms of such Warrant Amendment.</w:t>
      </w:r>
    </w:p>
    <w:p>
      <w:pPr>
        <w:spacing w:after="0" w:line="10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color w:val="auto"/>
        </w:rPr>
        <w:t>Section 2.6        Deliverables</w:t>
      </w:r>
    </w:p>
    <w:p>
      <w:pPr>
        <w:spacing w:after="0" w:line="150" w:lineRule="exact"/>
        <w:rPr>
          <w:sz w:val="20"/>
          <w:szCs w:val="20"/>
          <w:color w:val="auto"/>
        </w:rPr>
      </w:pPr>
    </w:p>
    <w:p>
      <w:pPr>
        <w:jc w:val="both"/>
        <w:ind w:left="8" w:firstLine="864"/>
        <w:spacing w:after="0" w:line="256"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As promptly as reasonably practicable following the date of this Agreement, but in no event later than ten (10) Business Days prior to the Closing Date, CGC shall appoint an exchange agent reasonably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acceptable to the Company (the “</w:t>
      </w:r>
      <w:r>
        <w:rPr>
          <w:rFonts w:ascii="Times New Roman" w:cs="Times New Roman" w:eastAsia="Times New Roman" w:hAnsi="Times New Roman"/>
          <w:sz w:val="12"/>
          <w:szCs w:val="12"/>
          <w:b w:val="1"/>
          <w:bCs w:val="1"/>
          <w:i w:val="1"/>
          <w:iCs w:val="1"/>
          <w:color w:val="auto"/>
        </w:rPr>
        <w:t>Exchange Agent</w:t>
      </w:r>
      <w:r>
        <w:rPr>
          <w:rFonts w:ascii="Times New Roman" w:cs="Times New Roman" w:eastAsia="Times New Roman" w:hAnsi="Times New Roman"/>
          <w:sz w:val="12"/>
          <w:szCs w:val="12"/>
          <w:color w:val="auto"/>
        </w:rPr>
        <w:t>”) (it being understood and agreed that Continental (or any of its Affiliates) shall be deemed to be acceptable to the Company) and enter into an exchange agent agreement (the “</w:t>
      </w:r>
      <w:r>
        <w:rPr>
          <w:rFonts w:ascii="Times New Roman" w:cs="Times New Roman" w:eastAsia="Times New Roman" w:hAnsi="Times New Roman"/>
          <w:sz w:val="12"/>
          <w:szCs w:val="12"/>
          <w:b w:val="1"/>
          <w:bCs w:val="1"/>
          <w:i w:val="1"/>
          <w:iCs w:val="1"/>
          <w:color w:val="auto"/>
        </w:rPr>
        <w:t>Exchange Agent Agreement</w:t>
      </w:r>
      <w:r>
        <w:rPr>
          <w:rFonts w:ascii="Times New Roman" w:cs="Times New Roman" w:eastAsia="Times New Roman" w:hAnsi="Times New Roman"/>
          <w:sz w:val="12"/>
          <w:szCs w:val="12"/>
          <w:color w:val="auto"/>
        </w:rPr>
        <w:t>”) with the Exchange Agent for the purpose of exchanging Certificates, if any, representing the Company Common Shares and each Company Share held in book-entry form on the stock transfer books of the Company immediately prior to the Effective Time, which shall be converted into the right to receive the portion of the Transaction Share Consideration issuable in respect of such Company Shares pursuant to Section 2.1(b)(vii) and</w:t>
      </w:r>
    </w:p>
    <w:p>
      <w:pPr>
        <w:spacing w:after="0" w:line="2" w:lineRule="exact"/>
        <w:rPr>
          <w:sz w:val="20"/>
          <w:szCs w:val="20"/>
          <w:color w:val="auto"/>
        </w:rPr>
      </w:pPr>
    </w:p>
    <w:p>
      <w:pPr>
        <w:jc w:val="both"/>
        <w:ind w:left="8" w:hanging="8"/>
        <w:spacing w:after="0" w:line="252" w:lineRule="auto"/>
        <w:tabs>
          <w:tab w:leader="none" w:pos="27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and on the terms and subject to the other conditions set forth in this Agreement. Notwithstanding the foregoing or anything to the contrary herein, in the event that Continental is unable or unwilling to serve as the Exchange Agent, then CGC and the Company shall, as promptly as reasonably practicable thereafter, but in no event later than the Closing Date, mutually agree upon an exchange agent (in either case, such agreement not to be unreasonably withheld, conditioned or delayed), CGC shall appoint and enter into an exchange agent agreement with such exchange agent, who shall for all purposes under this Agreement constitute the Exchange Agent and each of CGC and the Company shall mutually agree to any changes to the Exchange Agent Agreement in order to satisfy any requirements of such exchange agent (in either case, such agreement not to be unreasonably withheld, conditioned or delayed). The Company shall reasonably cooperate with CGC and the Exchange Agent in connection with the appointment of the Exchange Agent, the entry into the Exchange Agent Agreement and the covenants and agreements set forth in this Section 2.6 (including the provision of any information, or the entry into any agreements or documentation, necessary or advisable in connection with any of the foregoing or otherwise required by the Exchange Agent Agreement for the Exchange Agent to fulfill its duties as the Exchange Agent in connection with the transactions contemplated hereby).</w:t>
      </w:r>
    </w:p>
    <w:p>
      <w:pPr>
        <w:spacing w:after="0" w:line="123" w:lineRule="exact"/>
        <w:rPr>
          <w:sz w:val="20"/>
          <w:szCs w:val="20"/>
          <w:color w:val="auto"/>
        </w:rPr>
      </w:pPr>
    </w:p>
    <w:p>
      <w:pPr>
        <w:jc w:val="both"/>
        <w:ind w:left="8" w:firstLine="864"/>
        <w:spacing w:after="0" w:line="262"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At the Effective Time, CGC shall deposit, or cause to be deposited, with the Exchange Agent, for the benefit of the Company Stockholders and for exchange in accordance with this Section 2.6 through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Exchange Agent, evidence of CGC Shares in book-entry form representing the Transaction Share Consideration issuable pursuant to Section 2.1(b)(vii) and (viii), in exchange for the Company Shares outstanding immediately prior to the Effective Time. All shares in book-entry form representing the portion of the Transaction Share Consideration issuable pursuant to Section 2.1(b)(vii) and (viii) deposited with the Exchange Agent shall be referred to in this Agreement as the “</w:t>
      </w:r>
      <w:r>
        <w:rPr>
          <w:rFonts w:ascii="Times New Roman" w:cs="Times New Roman" w:eastAsia="Times New Roman" w:hAnsi="Times New Roman"/>
          <w:sz w:val="12"/>
          <w:szCs w:val="12"/>
          <w:b w:val="1"/>
          <w:bCs w:val="1"/>
          <w:i w:val="1"/>
          <w:iCs w:val="1"/>
          <w:color w:val="auto"/>
        </w:rPr>
        <w:t>Exchange Fund</w:t>
      </w:r>
      <w:r>
        <w:rPr>
          <w:rFonts w:ascii="Times New Roman" w:cs="Times New Roman" w:eastAsia="Times New Roman" w:hAnsi="Times New Roman"/>
          <w:sz w:val="12"/>
          <w:szCs w:val="12"/>
          <w:color w:val="auto"/>
        </w:rPr>
        <w:t>”.</w:t>
      </w:r>
    </w:p>
    <w:p>
      <w:pPr>
        <w:spacing w:after="0" w:line="117"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1"/>
          <w:szCs w:val="11"/>
          <w:b w:val="1"/>
          <w:bCs w:val="1"/>
          <w:color w:val="auto"/>
        </w:rPr>
        <w:t>(c)            </w:t>
      </w:r>
      <w:r>
        <w:rPr>
          <w:rFonts w:ascii="Times New Roman" w:cs="Times New Roman" w:eastAsia="Times New Roman" w:hAnsi="Times New Roman"/>
          <w:sz w:val="11"/>
          <w:szCs w:val="11"/>
          <w:color w:val="auto"/>
        </w:rPr>
        <w:t>Each Company Stockholder holding a Certificate whose Company Shares have been converted into the right to receive a portion of the Transaction Share Consideration pursuant to Section 2.1(b)(vii) and 2.1(b)</w:t>
      </w:r>
    </w:p>
    <w:p>
      <w:pPr>
        <w:spacing w:after="0" w:line="32" w:lineRule="exact"/>
        <w:rPr>
          <w:sz w:val="20"/>
          <w:szCs w:val="20"/>
          <w:color w:val="auto"/>
        </w:rPr>
      </w:pPr>
    </w:p>
    <w:p>
      <w:pPr>
        <w:jc w:val="both"/>
        <w:ind w:left="8" w:right="20" w:hanging="8"/>
        <w:spacing w:after="0" w:line="253" w:lineRule="auto"/>
        <w:tabs>
          <w:tab w:leader="none" w:pos="286"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be entitled to receive the portion of the Transaction Share Consideration to which he, she or it is entitled upon the surrender to the Exchange Agent of such Certificate (or affidavit of loss in lieu thereof). Each Company Stockholder holding Company Shares in book-entry form whose Company Shares have been converted into the right to receive a portion of the Transaction Share Consideration pursuant to Section 2.1(b)(vii) and 2.1(b)(vii) (including each Company Share issued in connection with or as a result of the conversions and rollovers pursuant to Section 2.4(d)) shall automatically be entitled to receive the portion of the Transaction Share Consideration to which he, she or it is entitled.</w:t>
      </w:r>
    </w:p>
    <w:p>
      <w:pPr>
        <w:spacing w:after="0" w:line="2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37" w:name="page38"/>
    <w:bookmarkEnd w:id="37"/>
    <w:p>
      <w:pPr>
        <w:jc w:val="both"/>
        <w:ind w:left="8"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(d)            </w:t>
      </w:r>
      <w:r>
        <w:rPr>
          <w:rFonts w:ascii="Times New Roman" w:cs="Times New Roman" w:eastAsia="Times New Roman" w:hAnsi="Times New Roman"/>
          <w:sz w:val="12"/>
          <w:szCs w:val="12"/>
          <w:color w:val="auto"/>
        </w:rPr>
        <w:t>On the Closing Date, CGC shall cause the applicable portion of the Transaction Share Consideration to be issued to the applicable Company Stockholder in book-entry form;</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provided, however, that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 the case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any Company Shares represented by a Certificate, the Exchange Agent shall not issue such consideration until the surrender of such Certificate (or affidavit of loss in lieu thereof) in accordance with Section 2.6(a).</w:t>
      </w:r>
    </w:p>
    <w:p>
      <w:pPr>
        <w:spacing w:after="0" w:line="103" w:lineRule="exact"/>
        <w:rPr>
          <w:sz w:val="20"/>
          <w:szCs w:val="20"/>
          <w:color w:val="auto"/>
        </w:rPr>
      </w:pPr>
    </w:p>
    <w:p>
      <w:pPr>
        <w:jc w:val="both"/>
        <w:ind w:left="8" w:firstLine="864"/>
        <w:spacing w:after="0" w:line="262" w:lineRule="auto"/>
        <w:rPr>
          <w:sz w:val="20"/>
          <w:szCs w:val="20"/>
          <w:color w:val="auto"/>
        </w:rPr>
      </w:pPr>
      <w:r>
        <w:rPr>
          <w:rFonts w:ascii="Times New Roman" w:cs="Times New Roman" w:eastAsia="Times New Roman" w:hAnsi="Times New Roman"/>
          <w:sz w:val="12"/>
          <w:szCs w:val="12"/>
          <w:b w:val="1"/>
          <w:bCs w:val="1"/>
          <w:color w:val="auto"/>
        </w:rPr>
        <w:t>(e)            </w:t>
      </w:r>
      <w:r>
        <w:rPr>
          <w:rFonts w:ascii="Times New Roman" w:cs="Times New Roman" w:eastAsia="Times New Roman" w:hAnsi="Times New Roman"/>
          <w:sz w:val="12"/>
          <w:szCs w:val="12"/>
          <w:color w:val="auto"/>
        </w:rPr>
        <w:t>If any portion of the Transaction Share Consideration is to be issued to a Person other than the Company Stockholder in whose name the surrendered Certificate or the transferred Company Share in book-entry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form is registered, it shall be a condition to the issuance of the applicable portion of the Transaction Share Consideration that (i) either such Certificate shall be properly endorsed or shall otherwise be in proper form for transfer or such Company Share in book-entry form shall be properly transferred and (ii) the Person requesting such consideration pay to the Exchange Agent any Transfer Taxes required as a result of such consideration being issued to a Person other than the registered holder of such Certificate or Company Share in book-entry form or establish to the satisfaction of the Exchange Agent that such Transfer Taxes have been paid or are not payable.</w:t>
      </w:r>
    </w:p>
    <w:p>
      <w:pPr>
        <w:spacing w:after="0" w:line="117" w:lineRule="exact"/>
        <w:rPr>
          <w:sz w:val="20"/>
          <w:szCs w:val="20"/>
          <w:color w:val="auto"/>
        </w:rPr>
      </w:pPr>
    </w:p>
    <w:p>
      <w:pPr>
        <w:jc w:val="both"/>
        <w:ind w:left="8" w:right="20" w:firstLine="864"/>
        <w:spacing w:after="0" w:line="268" w:lineRule="auto"/>
        <w:rPr>
          <w:sz w:val="20"/>
          <w:szCs w:val="20"/>
          <w:color w:val="auto"/>
        </w:rPr>
      </w:pPr>
      <w:r>
        <w:rPr>
          <w:rFonts w:ascii="Times New Roman" w:cs="Times New Roman" w:eastAsia="Times New Roman" w:hAnsi="Times New Roman"/>
          <w:sz w:val="12"/>
          <w:szCs w:val="12"/>
          <w:b w:val="1"/>
          <w:bCs w:val="1"/>
          <w:color w:val="auto"/>
        </w:rPr>
        <w:t>(f)            </w:t>
      </w:r>
      <w:r>
        <w:rPr>
          <w:rFonts w:ascii="Times New Roman" w:cs="Times New Roman" w:eastAsia="Times New Roman" w:hAnsi="Times New Roman"/>
          <w:sz w:val="12"/>
          <w:szCs w:val="12"/>
          <w:color w:val="auto"/>
        </w:rPr>
        <w:t>No interest will be paid or accrued on the Transaction Share Consideration (or any portion thereof). From and after the Effective Time, until surrendered or transferred, as applicable, in accordance with this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Section 2.6, each Company Share (other than, for the avoidance of doubt, the Company Shares cancelled and extinguished pursuant to Section 2.1(b)(x) or any Company Dissenting Shares) shall solely represent the right to receive a portion of the Transaction Share Consideration to which such Company Share is entitled to receive pursuant to Section 2.1(b)(vii) and 2.1(b)(viii).</w:t>
      </w:r>
    </w:p>
    <w:p>
      <w:pPr>
        <w:spacing w:after="0" w:line="114"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b w:val="1"/>
          <w:bCs w:val="1"/>
          <w:color w:val="auto"/>
        </w:rPr>
        <w:t>(g)            </w:t>
      </w:r>
      <w:r>
        <w:rPr>
          <w:rFonts w:ascii="Times New Roman" w:cs="Times New Roman" w:eastAsia="Times New Roman" w:hAnsi="Times New Roman"/>
          <w:sz w:val="12"/>
          <w:szCs w:val="12"/>
          <w:color w:val="auto"/>
        </w:rPr>
        <w:t>At the Effective Time, the stock transfer books of the Company shall be closed and there shall be no transfers of Company Shares that were outstanding immediately prior to the Effective Time.</w:t>
      </w:r>
    </w:p>
    <w:p>
      <w:pPr>
        <w:spacing w:after="0" w:line="150" w:lineRule="exact"/>
        <w:rPr>
          <w:sz w:val="20"/>
          <w:szCs w:val="20"/>
          <w:color w:val="auto"/>
        </w:rPr>
      </w:pPr>
    </w:p>
    <w:p>
      <w:pPr>
        <w:jc w:val="both"/>
        <w:ind w:left="8" w:firstLine="864"/>
        <w:spacing w:after="0" w:line="257" w:lineRule="auto"/>
        <w:rPr>
          <w:sz w:val="20"/>
          <w:szCs w:val="20"/>
          <w:color w:val="auto"/>
        </w:rPr>
      </w:pPr>
      <w:r>
        <w:rPr>
          <w:rFonts w:ascii="Times New Roman" w:cs="Times New Roman" w:eastAsia="Times New Roman" w:hAnsi="Times New Roman"/>
          <w:sz w:val="12"/>
          <w:szCs w:val="12"/>
          <w:b w:val="1"/>
          <w:bCs w:val="1"/>
          <w:color w:val="auto"/>
        </w:rPr>
        <w:t>(h)            </w:t>
      </w:r>
      <w:r>
        <w:rPr>
          <w:rFonts w:ascii="Times New Roman" w:cs="Times New Roman" w:eastAsia="Times New Roman" w:hAnsi="Times New Roman"/>
          <w:sz w:val="12"/>
          <w:szCs w:val="12"/>
          <w:color w:val="auto"/>
        </w:rPr>
        <w:t>Any portion of the Exchange Fund that remains unclaimed by the Company Stockholder twelve (12) months following the Closing Date shall be delivered to CGC or as otherwise instructed by CGC, and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Company Stockholder who has not exchanged his, her or its Company Shares for the applicable portion of the Transaction Share Consideration in accordance with this Section 2.6 prior to that time shall thereafter look only to CGC for the issuance of the applicable portion of the Transaction Share Consideration, without any interest thereon. None of CGC, the Surviving Company or any of their respective Affiliates shall be liable to any Person in respect of any consideration delivered to a public official pursuant to any applicable abandoned property, unclaimed property, escheat, or similar Law. Any portion of the Transaction Share Consideration remaining unclaimed by the Company Stockholder immediately prior to such time when the amounts would otherwise escheat to or become property of any Governmental Entity shall become, to the extent permitted by applicable Law, the property of CGC free and clear of any claims or interest of any Person previously entitled thereto.</w:t>
      </w:r>
    </w:p>
    <w:p>
      <w:pPr>
        <w:spacing w:after="0" w:line="12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color w:val="auto"/>
        </w:rPr>
        <w:t>Section 2.7        Company Dissenting Shares</w:t>
      </w:r>
      <w:r>
        <w:rPr>
          <w:rFonts w:ascii="Times New Roman" w:cs="Times New Roman" w:eastAsia="Times New Roman" w:hAnsi="Times New Roman"/>
          <w:sz w:val="12"/>
          <w:szCs w:val="12"/>
          <w:color w:val="auto"/>
        </w:rPr>
        <w:t>. Notwithstanding anything to the contrary herein, any Company Shares for which a Company Stockholder (a) has not voted in favor of the Merger or consented to it in writing and</w:t>
      </w:r>
    </w:p>
    <w:p>
      <w:pPr>
        <w:spacing w:after="0" w:line="21" w:lineRule="exact"/>
        <w:rPr>
          <w:sz w:val="20"/>
          <w:szCs w:val="20"/>
          <w:color w:val="auto"/>
        </w:rPr>
      </w:pPr>
    </w:p>
    <w:p>
      <w:pPr>
        <w:jc w:val="both"/>
        <w:ind w:left="8" w:hanging="8"/>
        <w:spacing w:after="0" w:line="251" w:lineRule="auto"/>
        <w:tabs>
          <w:tab w:leader="none" w:pos="181"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has demanded the appraisal of such Company Shares in accordance with, and has complied in all respects with, Section 262 of the DGCL (collectively, such stockholders, the “</w:t>
      </w:r>
      <w:r>
        <w:rPr>
          <w:rFonts w:ascii="Times New Roman" w:cs="Times New Roman" w:eastAsia="Times New Roman" w:hAnsi="Times New Roman"/>
          <w:sz w:val="12"/>
          <w:szCs w:val="12"/>
          <w:b w:val="1"/>
          <w:bCs w:val="1"/>
          <w:i w:val="1"/>
          <w:iCs w:val="1"/>
          <w:color w:val="auto"/>
        </w:rPr>
        <w:t>Company Dissenting Stockholders</w:t>
      </w:r>
      <w:r>
        <w:rPr>
          <w:rFonts w:ascii="Times New Roman" w:cs="Times New Roman" w:eastAsia="Times New Roman" w:hAnsi="Times New Roman"/>
          <w:sz w:val="12"/>
          <w:szCs w:val="12"/>
          <w:color w:val="auto"/>
        </w:rPr>
        <w:t>”, and such shares, the “</w:t>
      </w:r>
      <w:r>
        <w:rPr>
          <w:rFonts w:ascii="Times New Roman" w:cs="Times New Roman" w:eastAsia="Times New Roman" w:hAnsi="Times New Roman"/>
          <w:sz w:val="12"/>
          <w:szCs w:val="12"/>
          <w:b w:val="1"/>
          <w:bCs w:val="1"/>
          <w:i w:val="1"/>
          <w:iCs w:val="1"/>
          <w:color w:val="auto"/>
        </w:rPr>
        <w:t>Company Dissenting Shares</w:t>
      </w:r>
      <w:r>
        <w:rPr>
          <w:rFonts w:ascii="Times New Roman" w:cs="Times New Roman" w:eastAsia="Times New Roman" w:hAnsi="Times New Roman"/>
          <w:sz w:val="12"/>
          <w:szCs w:val="12"/>
          <w:color w:val="auto"/>
        </w:rPr>
        <w:t xml:space="preserve">”) shall not be converted into the right to receive the Transaction Share Consideration pursuant to Section 2.1(b)(vii). From and after the Effective Time, (i) the Company Dissenting Shares shall be cancelled and extinguished and shall cease to exist and (ii) the Company Dissenting Stockholders shall be entitled only to such rights as may be granted to them under Section 262 of the DGCL and shall not be entitled to exercise any of the voting rights or other rights of a stockholder of CGC, the Surviving Company or any of its Affiliates (including CGC);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if any Company Dissenting Stockholder effectively withdraws or loses such appraisal rights (whether through failure to perfect such appraisal rights or otherwise), then the Company Shares held by such Company Dissenting Stockholder (A) shall no longer be deemed to be Company Dissenting Shares and (B) shall be treated as if they had been converted automatically at the Effective Time into the right to receive the Transaction Share Consideration pursuant to Section 2.1(b)(vii) (subject, in the case of Company Shares represented by Certificates, to the surrender of such Certificates or affidavits of loss in lieu thereof). Each Company Dissenting Stockholder who becomes entitled to payment for his, her or its Company Dissenting Shares pursuant to the DGCL shall receive payment thereof from the Company in accordance with the DGCL. The Company shall give CGC prompt notice of any written demands for appraisal of any Company Share, attempted withdrawals of such demands and any other documents or instruments served pursuant to the DGCL and received by the Company relating to stockholders’ rights of appraisal in accordance with the provisions of Section 262 of the DGCL, and CGC shall, at its sole cost and expense, have the opportunity to participate in, but not control, all negotiations and proceedings with respect to all such demands. The Company shall not, except with the prior written consent of CGC (which consent shall not be unreasonably withheld, conditioned, or delayed), settle, or make any payment, or deliver any consideration, with respect to, any such demand.</w:t>
      </w:r>
    </w:p>
    <w:p>
      <w:pPr>
        <w:spacing w:after="0" w:line="27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38" w:name="page39"/>
    <w:bookmarkEnd w:id="38"/>
    <w:p>
      <w:pPr>
        <w:jc w:val="both"/>
        <w:ind w:left="8"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Section 2.8        Withholding</w:t>
      </w:r>
      <w:r>
        <w:rPr>
          <w:rFonts w:ascii="Times New Roman" w:cs="Times New Roman" w:eastAsia="Times New Roman" w:hAnsi="Times New Roman"/>
          <w:sz w:val="12"/>
          <w:szCs w:val="12"/>
          <w:color w:val="auto"/>
        </w:rPr>
        <w:t>. CGC, the Group Companies and the Exchange Agent shall be entitled to deduct and withhold (or cause to be deducted and withheld) from any consideration payable pursuant to this Agreement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such amounts as are required to be deducted and withheld under applicable Tax Law. To the extent that amounts are so withheld and timely remitted to the applicable Governmental Entity, such withheld amounts shall be treated for all purposes of this Agreement as having been paid to the Person in respect of which such deduction and withholding was made. The Parties shall cooperate in good faith to eliminate or reduce any such deduction or withholding (including through the request and provision of any statements, forms or other documents to reduce or eliminate any such deduction or withholding).</w:t>
      </w:r>
    </w:p>
    <w:p>
      <w:pPr>
        <w:spacing w:after="0" w:line="1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ARTICLE 3</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REPRESENTATIONS AND WARRANTIES RELATING TO THE GROUP COMPANIES</w:t>
      </w:r>
    </w:p>
    <w:p>
      <w:pPr>
        <w:spacing w:after="0" w:line="13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Subject to Section 8.8, except as set forth in the Company Disclosure Schedules, the Company hereby represents and warrants to the CGC Parties, in each case, as of the date of this Agreement and as of the Closing Date, as</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follows:</w:t>
      </w:r>
    </w:p>
    <w:p>
      <w:pPr>
        <w:spacing w:after="0" w:line="13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color w:val="auto"/>
        </w:rPr>
        <w:t>Section 3.1        Organization and Qualification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7"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Each Group Company is a corporation, limited liability company or other applicable business entity duly organized, incorporated or formed, as applicable, validly existing and in good standing (or the equivalent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thereof, if applicable, in each case, with respect to the jurisdictions that recognize the concept of good standing or any equivalent thereof) under the Laws of its jurisdiction of organization, incorporation or formation (as applicable) and in each jurisdiction in which the property and assets owned, leased or operated by it, or the nature of the business conducted by it, makes such qualification or licensing necessary, except where the failure to be so duly qualified or licensed and in good standing would not have a Company Material Adverse Effect. Section 3.1(a) of the Company Disclosure Schedules sets forth the jurisdiction of organization, incorporation or formation (as applicable) for each Group Company. Each Group Company has the requisite corporate, limited liability company or other applicable business entity power and authority to own, lease and operate its properties and to carry on its businesses as presently conducted, except where the failure to have such power or authority would not have a Company Material Adverse Effect.</w:t>
      </w:r>
    </w:p>
    <w:p>
      <w:pPr>
        <w:spacing w:after="0" w:line="121" w:lineRule="exact"/>
        <w:rPr>
          <w:sz w:val="20"/>
          <w:szCs w:val="20"/>
          <w:color w:val="auto"/>
        </w:rPr>
      </w:pPr>
    </w:p>
    <w:p>
      <w:pPr>
        <w:jc w:val="both"/>
        <w:ind w:left="8" w:firstLine="864"/>
        <w:spacing w:after="0" w:line="268"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True and complete copies of the Governing Documents of the Group Companies and each of the Company Stockholder Agreements has been made available to CGC, in each case, as amended and in effect as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date of this Agreement. The Governing Documents of the Group Companies and the Company Stockholder Agreements are in full force and effect, and the Group Companies are not in breach or violation of any provision set forth in its Governing Documents or the Company Stockholder Agreements, as applicable.</w:t>
      </w:r>
    </w:p>
    <w:p>
      <w:pPr>
        <w:spacing w:after="0" w:line="11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color w:val="auto"/>
        </w:rPr>
        <w:t>Section 3.2        Capitalization of the Group Companies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87" w:lineRule="auto"/>
        <w:rPr>
          <w:sz w:val="20"/>
          <w:szCs w:val="20"/>
          <w:color w:val="auto"/>
        </w:rPr>
      </w:pPr>
      <w:r>
        <w:rPr>
          <w:rFonts w:ascii="Times New Roman" w:cs="Times New Roman" w:eastAsia="Times New Roman" w:hAnsi="Times New Roman"/>
          <w:sz w:val="11"/>
          <w:szCs w:val="11"/>
          <w:b w:val="1"/>
          <w:bCs w:val="1"/>
          <w:color w:val="auto"/>
        </w:rPr>
        <w:t>(a)            </w:t>
      </w:r>
      <w:r>
        <w:rPr>
          <w:rFonts w:ascii="Times New Roman" w:cs="Times New Roman" w:eastAsia="Times New Roman" w:hAnsi="Times New Roman"/>
          <w:sz w:val="11"/>
          <w:szCs w:val="11"/>
          <w:color w:val="auto"/>
        </w:rPr>
        <w:t>Section 3.2(a) of the Company Disclosure Schedules sets forth a true and complete statement as of the date of this Agreement of (i) the number and class or series (as applicable) of all of the Equity Securities of</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the Company issued and outstanding, (ii) the identity of the Persons that are the record and beneficial owners thereof, (iii) with respect to each Company Equity Award, (A) the date of grant, (B) any applicable exercise (or similar) price,</w:t>
      </w:r>
    </w:p>
    <w:p>
      <w:pPr>
        <w:jc w:val="both"/>
        <w:ind w:left="8" w:hanging="8"/>
        <w:spacing w:after="0" w:line="251" w:lineRule="auto"/>
        <w:tabs>
          <w:tab w:leader="none" w:pos="20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expiration date, and (D) any applicable vesting schedule (including acceleration provisions), (iv) with respect to each Company Warrant, (A) the date of grant and (B) any applicable exercise or similar price and (v) with respect to the Company Convertible Notes, (A) the original principal amount, (B) the applicable interest rate, (C) the maturity date, and (D) the current outstanding balance. All of the Equity Securities of the Company (including each Company Share issued or issuable in connection with or as a result of the Company Preferred Share Conversion) have been duly authorized and validly issued. All of the outstanding Company Shares are fully paid and non-assessable. The Equity Securities of the Company (including each Company Share issued or issuable in connection with or as a result of the Company Preferred Share Conversion) (1) were not issued in violation of the Governing Documents of the Company, the Company Stockholder Agreements or any other Contract to which the Company is party or bound, (2) were not issued in violation of any preemptive rights, call option, right of first refusal or first offer, subscription rights, transfer restrictions or similar rights of any Person and (3) have been offered, sold and issued in all material respects in compliance with applicable Law, including Securities Laws. Except for the Company Options, Company RSU Awards, Company Warrants and Company Convertible Notes set forth on Section 3.2(a) of the Company Disclosure Schedules or the Company Options or Company RSU Awards either permitted by Section 5.1(b) or issued, granted or entered into in accordance with Section 5.1(b), the Company has no outstanding (x) equity appreciation, phantom equity or profit participation rights or (y) options, restricted stock units, phantom stock, warrants, purchase rights, subscription rights, conversion rights, exchange rights, calls, puts, rights of first refusal or first offer or other Contracts that could require the Company to issue, sell or otherwise cause to become outstanding or to acquire, repurchase or redeem any Equity Securities or securities convertible into or exchangeable for Equity Securities of the Company.</w:t>
      </w:r>
    </w:p>
    <w:p>
      <w:pPr>
        <w:spacing w:after="0" w:line="27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39" w:name="page40"/>
    <w:bookmarkEnd w:id="39"/>
    <w:p>
      <w:pPr>
        <w:jc w:val="both"/>
        <w:ind w:right="20"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The Equity Securities of the Company are free and clear of all Liens (other than transfer restrictions under applicable Securities Law or under the Company Stockholder Agreements). Except for the Company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Stockholder Agreements, there are no voting trusts, proxies or other Contracts to which the Company is a party with respect to the voting or transfer of the Company’s Equity Securities.</w:t>
      </w:r>
    </w:p>
    <w:p>
      <w:pPr>
        <w:spacing w:after="0" w:line="103"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Section 3.2(c) of the Company Disclosure Schedules sets forth a true and complete statement of (i) the number and class or series (as applicable) of all of the Equity Securities of each Subsidiary of the Company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issued and outstanding and (ii) the identity of the Persons that are the record and beneficial owners thereof. There are no outstanding (A) equity appreciation, phantom equity or profit participation rights or (B) options, restricted stock, restricted stock units, phantom stock, warrants, purchase rights, subscription rights, conversion rights, exchange rights, calls, puts, rights of first refusal or first offer or other Contracts that could require any Subsidiary of the Company to issue, sell or otherwise cause to become outstanding or to acquire, repurchase or redeem any Equity Securities or securities convertible into or exchangeable for Equity Securities of the Subsidiaries of the Company. There are no voting trusts, proxies or other Contracts with respect to the voting or transfer of any Equity Securities of any Subsidiary of the Company. There are no outstanding bonds, debentures, notes or other indebtedness of the Company having the right to vote (or convertible into, or exchangeable for, securities having the right to vote) on any matter for which holders of Company Shares may vote.</w:t>
      </w:r>
    </w:p>
    <w:p>
      <w:pPr>
        <w:spacing w:after="0" w:line="121" w:lineRule="exact"/>
        <w:rPr>
          <w:sz w:val="20"/>
          <w:szCs w:val="20"/>
          <w:color w:val="auto"/>
        </w:rPr>
      </w:pPr>
    </w:p>
    <w:p>
      <w:pPr>
        <w:jc w:val="both"/>
        <w:ind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(d)            </w:t>
      </w:r>
      <w:r>
        <w:rPr>
          <w:rFonts w:ascii="Times New Roman" w:cs="Times New Roman" w:eastAsia="Times New Roman" w:hAnsi="Times New Roman"/>
          <w:sz w:val="12"/>
          <w:szCs w:val="12"/>
          <w:color w:val="auto"/>
        </w:rPr>
        <w:t>Except as set forth (i) on Section 3.2(d) of the Company Disclosure Schedules and (ii) in the Company Stockholder Agreements, there are no voting trusts, proxies or other Contracts with respect to the voting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transfer of the Company’s Equity Securities between the Company and any other Person.</w:t>
      </w:r>
    </w:p>
    <w:p>
      <w:pPr>
        <w:spacing w:after="0" w:line="103" w:lineRule="exact"/>
        <w:rPr>
          <w:sz w:val="20"/>
          <w:szCs w:val="20"/>
          <w:color w:val="auto"/>
        </w:rPr>
      </w:pPr>
    </w:p>
    <w:p>
      <w:pPr>
        <w:jc w:val="both"/>
        <w:ind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(e)            </w:t>
      </w:r>
      <w:r>
        <w:rPr>
          <w:rFonts w:ascii="Times New Roman" w:cs="Times New Roman" w:eastAsia="Times New Roman" w:hAnsi="Times New Roman"/>
          <w:sz w:val="12"/>
          <w:szCs w:val="12"/>
          <w:color w:val="auto"/>
        </w:rPr>
        <w:t>None of the Group Companies owns or holds (of record, beneficially, legally or otherwise), directly or indirectly, any Equity Securities in any other Person or the right to acquire any such Equity Security,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none of the Group Companies are a partner or member of any partnership, limited liability company or joint venture.</w:t>
      </w:r>
    </w:p>
    <w:p>
      <w:pPr>
        <w:spacing w:after="0" w:line="103" w:lineRule="exact"/>
        <w:rPr>
          <w:sz w:val="20"/>
          <w:szCs w:val="20"/>
          <w:color w:val="auto"/>
        </w:rPr>
      </w:pPr>
    </w:p>
    <w:p>
      <w:pPr>
        <w:jc w:val="both"/>
        <w:ind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(f)            </w:t>
      </w:r>
      <w:r>
        <w:rPr>
          <w:rFonts w:ascii="Times New Roman" w:cs="Times New Roman" w:eastAsia="Times New Roman" w:hAnsi="Times New Roman"/>
          <w:sz w:val="12"/>
          <w:szCs w:val="12"/>
          <w:color w:val="auto"/>
        </w:rPr>
        <w:t>Section 3.2(f) of the Company Disclosure Schedules sets forth a list of all Indebtedness of the Group Companies as of the date of this Agreement, including the principal amount of such Indebtedness,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outstanding balance as of the date of this Agreement, and the debtor and the creditor thereof.</w:t>
      </w:r>
    </w:p>
    <w:p>
      <w:pPr>
        <w:spacing w:after="0" w:line="10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b w:val="1"/>
          <w:bCs w:val="1"/>
          <w:color w:val="auto"/>
        </w:rPr>
        <w:t>(g)            </w:t>
      </w:r>
      <w:r>
        <w:rPr>
          <w:rFonts w:ascii="Times New Roman" w:cs="Times New Roman" w:eastAsia="Times New Roman" w:hAnsi="Times New Roman"/>
          <w:sz w:val="12"/>
          <w:szCs w:val="12"/>
          <w:color w:val="auto"/>
        </w:rPr>
        <w:t>Section 3.2(g) of the Company Disclosure Schedules sets forth a list of all Change of Control Payments of the Group Companies.</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b w:val="1"/>
          <w:bCs w:val="1"/>
          <w:color w:val="auto"/>
        </w:rPr>
        <w:t>(h)            </w:t>
      </w:r>
      <w:r>
        <w:rPr>
          <w:rFonts w:ascii="Times New Roman" w:cs="Times New Roman" w:eastAsia="Times New Roman" w:hAnsi="Times New Roman"/>
          <w:sz w:val="12"/>
          <w:szCs w:val="12"/>
          <w:color w:val="auto"/>
        </w:rPr>
        <w:t>Other than the Company Convertible Notes, there are no debt instruments outstanding convertible into or otherwise entitling the holder thereof to any of the Company’s Equity Securities.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40" w:name="page41"/>
    <w:bookmarkEnd w:id="40"/>
    <w:p>
      <w:pPr>
        <w:ind w:left="420"/>
        <w:spacing w:after="0"/>
        <w:rPr>
          <w:sz w:val="20"/>
          <w:szCs w:val="20"/>
          <w:color w:val="auto"/>
        </w:rPr>
      </w:pPr>
      <w:r>
        <w:rPr>
          <w:rFonts w:ascii="Times New Roman" w:cs="Times New Roman" w:eastAsia="Times New Roman" w:hAnsi="Times New Roman"/>
          <w:sz w:val="12"/>
          <w:szCs w:val="12"/>
          <w:b w:val="1"/>
          <w:bCs w:val="1"/>
          <w:color w:val="auto"/>
        </w:rPr>
        <w:t>Section 3.3        Authority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The Company has the requisite corporate power and authority to execute and deliver this Agreement and each Ancillary Document to which it is or will be a party, to perform its obligations hereunder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thereunder, and to consummate the transactions contemplated hereby and thereby. Subject to the receipt of the Company Stockholder Written Consent (including the approval of the Requisite Company Preferred Majority with respect to the Company Preferred Share Conversion), the execution and delivery of this Agreement, the Ancillary Documents to which the Company is or will be a party, the performance of the Company’s obligations hereby and thereby and the consummation of the transactions contemplated hereby and thereby have been (or, in the case of any Ancillary Document entered into after the date of this Agreement, will be upon execution thereof) duly authorized by all necessary corporate (or other similar) action on the part of the Company. This Agreement and each Ancillary Document to which the Company is or is contemplated to be a party has been or will be, upon execution thereof, as applicable, duly and validly executed and delivered by the Company and constitutes or will constitute, upon execution and delivery thereof, as applicable, a valid, legal and binding agreement of the Company (assuming that this Agreement and the Ancillary Documents to which the Company is or will be a party are or will be upon execution thereof, as applicable, duly authorized, executed and delivered by the other Persons party thereto), enforceable against the Company in accordance with their respective terms (subject to applicable bankruptcy, insolvency, reorganization, moratorium or other Laws affecting generally the enforcement of creditors’ rights and subject to general principles of equity). The Company Stockholder Written Consent, including the Requisite Company Preferred Majority, is the only vote of the holders of any class or series of capital stock of the Company required to approve and adopt this Agreement, the Ancillary Documents to which the Company is or is contemplated to be a party, the performance of the Company’s obligations hereunder and thereunder and the consummation of the transactions contemplated hereby and thereby (including the Merger).</w:t>
      </w:r>
    </w:p>
    <w:p>
      <w:pPr>
        <w:spacing w:after="0" w:line="122"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The Company Board unanimously and duly adopted resolutions (a) determining that entry into this Agreement and the other Ancillary Documents to which the Company is party, and the consummation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transactions contemplated hereby and thereby, including the Merger, are advisable and fair to, and in the best interest of, the Company and its stockholders, (b) approving this Agreement, such other Ancillary Documents and the consummation of the transactions contemplated hereby and thereby, including the Merger, and (c) directing that this Agreement be submitted to the Company Stockholders entitled to vote thereon for adoption thereby and resolving to make the Company Board Recommendation, which resolutions have not been subsequently withdrawn or modified in a manner adverse to CGC or Merger Sub.</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3.4        Financial Statements; Undisclosed Liabilities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The Company has made available to CGC a true and complete copy of the following financial statements, which are attached as Section 3.4(a) of the Company Disclosure Schedules: the unaudited consolidated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balance sheet of the Group Companies as of December 31, 2023 (the “</w:t>
      </w:r>
      <w:r>
        <w:rPr>
          <w:rFonts w:ascii="Times New Roman" w:cs="Times New Roman" w:eastAsia="Times New Roman" w:hAnsi="Times New Roman"/>
          <w:sz w:val="12"/>
          <w:szCs w:val="12"/>
          <w:b w:val="1"/>
          <w:bCs w:val="1"/>
          <w:i w:val="1"/>
          <w:iCs w:val="1"/>
          <w:color w:val="auto"/>
        </w:rPr>
        <w:t>Latest Balance Sheet</w:t>
      </w:r>
      <w:r>
        <w:rPr>
          <w:rFonts w:ascii="Times New Roman" w:cs="Times New Roman" w:eastAsia="Times New Roman" w:hAnsi="Times New Roman"/>
          <w:sz w:val="12"/>
          <w:szCs w:val="12"/>
          <w:color w:val="auto"/>
        </w:rPr>
        <w:t>”) and the related unaudited consolidated statements of operations and comprehensive loss, convertible preferred stock and stockholders’ deficit and cash flows of the Group Companies for the period ended December 31, 2023 (the “</w:t>
      </w:r>
      <w:r>
        <w:rPr>
          <w:rFonts w:ascii="Times New Roman" w:cs="Times New Roman" w:eastAsia="Times New Roman" w:hAnsi="Times New Roman"/>
          <w:sz w:val="12"/>
          <w:szCs w:val="12"/>
          <w:b w:val="1"/>
          <w:bCs w:val="1"/>
          <w:i w:val="1"/>
          <w:iCs w:val="1"/>
          <w:color w:val="auto"/>
        </w:rPr>
        <w:t>Financial Statements</w:t>
      </w:r>
      <w:r>
        <w:rPr>
          <w:rFonts w:ascii="Times New Roman" w:cs="Times New Roman" w:eastAsia="Times New Roman" w:hAnsi="Times New Roman"/>
          <w:sz w:val="12"/>
          <w:szCs w:val="12"/>
          <w:color w:val="auto"/>
        </w:rPr>
        <w:t>”). Each of the Financial Statements (including the notes thereto) (A) was prepared in accordance with GAAP applied on a consistent basis throughout the periods indicated (except as may be indicated in the notes thereto) and (B) fairly presents, in all material respects, the financial position, results of operations and cash flows of the Group Companies as at the date thereof and for the period indicated therein, except as otherwise specifically noted therein.</w:t>
      </w:r>
    </w:p>
    <w:p>
      <w:pPr>
        <w:spacing w:after="0" w:line="119"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The audited consolidated balance sheet of the Group Companies as of December 31, 2024 and the related audited consolidated statements of operations and comprehensive loss, convertible preferred stock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stockholders’ deficit and cash flows of the Group Companies for the period ended December 31, 2024 (the “</w:t>
      </w:r>
      <w:r>
        <w:rPr>
          <w:rFonts w:ascii="Times New Roman" w:cs="Times New Roman" w:eastAsia="Times New Roman" w:hAnsi="Times New Roman"/>
          <w:sz w:val="12"/>
          <w:szCs w:val="12"/>
          <w:b w:val="1"/>
          <w:bCs w:val="1"/>
          <w:i w:val="1"/>
          <w:iCs w:val="1"/>
          <w:color w:val="auto"/>
        </w:rPr>
        <w:t>Closing Company Audited Financial Statements</w:t>
      </w:r>
      <w:r>
        <w:rPr>
          <w:rFonts w:ascii="Times New Roman" w:cs="Times New Roman" w:eastAsia="Times New Roman" w:hAnsi="Times New Roman"/>
          <w:sz w:val="12"/>
          <w:szCs w:val="12"/>
          <w:color w:val="auto"/>
        </w:rPr>
        <w:t>”), when delivered following the date of this Agreement in accordance with Section 5.17, (i) will be prepared in accordance with GAAP applied on a consistent basis throughout the periods indicated (except as may be specifically indicated in the notes thereto), (ii) will fairly present, in all material respects, the financial position, results of operations and cash flows of the Group Companies as at the date thereof and for the period indicated therein, except as otherwise specifically noted therein, (iii) will be audited in accordance with the standards of the PCAOB and contain an unqualified report of the Company’s auditors and (iv) will comply in all material respects with the applicable accounting requirements and with the rules and regulations of the SEC, the Exchange Act and the Securities Act in effect as of the respective dates thereof (including Regulation S-X or Regulation S-K, as applicable).</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41" w:name="page42"/>
    <w:bookmarkEnd w:id="41"/>
    <w:p>
      <w:pPr>
        <w:jc w:val="both"/>
        <w:ind w:left="8" w:firstLine="864"/>
        <w:spacing w:after="0" w:line="259" w:lineRule="auto"/>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Except (i) as set forth on the face of the Latest Balance Sheet, (ii) for Liabilities incurred in the ordinary course of business since the date of the Latest Balance Sheet (none of which are Liabilities directly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indirectly related to a breach of Contract, breach of warranty, tort, infringement, Proceeding or violation of, or non-compliance with, Law), (iii) for Liabilities incurred in connection with the negotiation, preparation or execution of this Agreement or any Ancillary Documents, the performance of their respective covenants or agreements in this Agreement or any Ancillary Document or the consummation of the transactions contemplated hereby or thereby and (iv) for Liabilities that are not and would not reasonably be expected to be, individually or in the aggregate, material to the Group Companies, taken as a whole, no Group Company has any Liabilities of the type required to be set forth on a balance sheet in accordance with GAAP.</w:t>
      </w:r>
    </w:p>
    <w:p>
      <w:pPr>
        <w:spacing w:after="0" w:line="119" w:lineRule="exact"/>
        <w:rPr>
          <w:sz w:val="20"/>
          <w:szCs w:val="20"/>
          <w:color w:val="auto"/>
        </w:rPr>
      </w:pPr>
    </w:p>
    <w:p>
      <w:pPr>
        <w:jc w:val="both"/>
        <w:ind w:left="8" w:firstLine="864"/>
        <w:spacing w:after="0" w:line="259" w:lineRule="auto"/>
        <w:rPr>
          <w:sz w:val="20"/>
          <w:szCs w:val="20"/>
          <w:color w:val="auto"/>
        </w:rPr>
      </w:pPr>
      <w:r>
        <w:rPr>
          <w:rFonts w:ascii="Times New Roman" w:cs="Times New Roman" w:eastAsia="Times New Roman" w:hAnsi="Times New Roman"/>
          <w:sz w:val="12"/>
          <w:szCs w:val="12"/>
          <w:b w:val="1"/>
          <w:bCs w:val="1"/>
          <w:color w:val="auto"/>
        </w:rPr>
        <w:t>(d)            </w:t>
      </w:r>
      <w:r>
        <w:rPr>
          <w:rFonts w:ascii="Times New Roman" w:cs="Times New Roman" w:eastAsia="Times New Roman" w:hAnsi="Times New Roman"/>
          <w:sz w:val="12"/>
          <w:szCs w:val="12"/>
          <w:color w:val="auto"/>
        </w:rPr>
        <w:t>The Group Companies have established and maintain systems of internal accounting controls that are designed to provide, in all material respects, reasonable assurance (i) that all transactions are executed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accordance with management’s authorization, (ii) that all transactions are recorded as necessary to permit preparation of proper and accurate financial statements in accordance with GAAP and to maintain accountability for the Group Companies’ assets, and (iii) regarding prevention or timely detection of the unauthorized acquisition, use or disposition of the Group Company’s properties or assets. The Group Companies maintain and, for all periods covered by the Financial Statements, have maintained books and records of the Group Companies in the ordinary course of business that are accurate and complete and reflect the revenues, expenses, assets and liabilities of the Group Companies in all material respects.</w:t>
      </w:r>
    </w:p>
    <w:p>
      <w:pPr>
        <w:spacing w:after="0" w:line="119"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b w:val="1"/>
          <w:bCs w:val="1"/>
          <w:color w:val="auto"/>
        </w:rPr>
        <w:t>(e)            </w:t>
      </w:r>
      <w:r>
        <w:rPr>
          <w:rFonts w:ascii="Times New Roman" w:cs="Times New Roman" w:eastAsia="Times New Roman" w:hAnsi="Times New Roman"/>
          <w:sz w:val="12"/>
          <w:szCs w:val="12"/>
          <w:color w:val="auto"/>
        </w:rPr>
        <w:t>Except as set forth in Section 3.4(e) of the Company Disclosure Schedule, since the Lookback Date, no Group Company has received any written complaint, allegation, assertion or claim that there is</w:t>
      </w:r>
    </w:p>
    <w:p>
      <w:pPr>
        <w:spacing w:after="0" w:line="21" w:lineRule="exact"/>
        <w:rPr>
          <w:sz w:val="20"/>
          <w:szCs w:val="20"/>
          <w:color w:val="auto"/>
        </w:rPr>
      </w:pPr>
    </w:p>
    <w:p>
      <w:pPr>
        <w:ind w:left="8" w:hanging="8"/>
        <w:spacing w:after="0" w:line="260" w:lineRule="auto"/>
        <w:tabs>
          <w:tab w:leader="none" w:pos="162"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deficiency” in the internal controls over financial reporting of the Group Companies, (ii) a “material weakness” in the internal controls over financial reporting of the Group Companies or (iii) fraud, whether or not material, that involves management or other employees of the Group Companies who have a significant role in the internal controls over financial reporting of the Group Companies.</w:t>
      </w:r>
    </w:p>
    <w:p>
      <w:pPr>
        <w:spacing w:after="0" w:line="11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color w:val="auto"/>
        </w:rPr>
        <w:t>Section 3.5        Consents and Requisite Governmental Approvals; No Violations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9"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No consent, approval or authorization of, or designation, declaration or filing with, any Governmental Entity is required on the part of the Company with respect to the Company’s execution, delivery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performance of its obligations under this Agreement or the Ancillary Documents to which the Company is or will be party or the consummation of the transactions contemplated hereby or thereby, except for (i) compliance with and filings under the HSR Act, (ii) the filing with the SEC of (A) the Registration Statement / Proxy Statement and the declaration of the effectiveness thereof by the SEC and (B) such reports under Section 13(a) or 15(d) of the Exchange Act as may be required in connection with this Agreement, the Ancillary Documents or the transactions contemplated hereby or thereby, (iii) the filing of the Certificate of Merger or (iv) any other consents, approvals, authorizations, designations, declarations, waivers or filings, the absence of which would not have a Company Material Adverse Effect.</w:t>
      </w:r>
    </w:p>
    <w:p>
      <w:pPr>
        <w:spacing w:after="0" w:line="119" w:lineRule="exact"/>
        <w:rPr>
          <w:sz w:val="20"/>
          <w:szCs w:val="20"/>
          <w:color w:val="auto"/>
        </w:rPr>
      </w:pPr>
    </w:p>
    <w:p>
      <w:pPr>
        <w:jc w:val="both"/>
        <w:ind w:left="8" w:firstLine="864"/>
        <w:spacing w:after="0" w:line="257"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None of the execution or delivery by the Company of this Agreement or any Ancillary Documents to which it is or will be a party, the performance by the Company of its obligations hereunder or thereunder,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consummation of the transactions contemplated hereby or thereby will, directly or indirectly (with or without due notice or lapse of time or both) (i) result in a violation or breach of any provision of the Company’s Governing Documents, (ii) result in a violation or breach of, or constitute a default or give rise to any right of termination, Consent, cancellation, amendment, modification, suspension, revocation or acceleration under, any of the terms, conditions or provisions of (A) any Material Contract to which any Group Company is a party or (B) any Material Permits, (iii) violate, or constitute a breach under, any Order or applicable Law to which any Group Company or any of its properties or assets are subject or bound or (iv) result in the creation of any Lien upon any of the assets or properties (other than any Permitted Liens) or Equity Securities of any Group Company, except, in the case of any of clauses (ii) through (iv) above, as would not have a Company Material Adverse Effect.</w:t>
      </w:r>
    </w:p>
    <w:p>
      <w:pPr>
        <w:spacing w:after="0" w:line="121" w:lineRule="exact"/>
        <w:rPr>
          <w:sz w:val="20"/>
          <w:szCs w:val="20"/>
          <w:color w:val="auto"/>
        </w:rPr>
      </w:pPr>
    </w:p>
    <w:p>
      <w:pPr>
        <w:jc w:val="both"/>
        <w:ind w:left="8"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Section 3.6        Permits</w:t>
      </w:r>
      <w:r>
        <w:rPr>
          <w:rFonts w:ascii="Times New Roman" w:cs="Times New Roman" w:eastAsia="Times New Roman" w:hAnsi="Times New Roman"/>
          <w:sz w:val="12"/>
          <w:szCs w:val="12"/>
          <w:color w:val="auto"/>
        </w:rPr>
        <w:t>. The Company has all franchises, permits, licenses and any similar authority necessary for the conduct of its business, the lack of which could reasonably be expected to have a Company Material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Adverse Effect. The Company is not in default in any material respect under any of such franchises, permits, licenses or other similar authority.</w:t>
      </w:r>
    </w:p>
    <w:p>
      <w:pPr>
        <w:spacing w:after="0" w:line="25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42" w:name="page43"/>
    <w:bookmarkEnd w:id="42"/>
    <w:p>
      <w:pPr>
        <w:ind w:left="420"/>
        <w:spacing w:after="0"/>
        <w:rPr>
          <w:sz w:val="20"/>
          <w:szCs w:val="20"/>
          <w:color w:val="auto"/>
        </w:rPr>
      </w:pPr>
      <w:r>
        <w:rPr>
          <w:rFonts w:ascii="Times New Roman" w:cs="Times New Roman" w:eastAsia="Times New Roman" w:hAnsi="Times New Roman"/>
          <w:sz w:val="12"/>
          <w:szCs w:val="12"/>
          <w:b w:val="1"/>
          <w:bCs w:val="1"/>
          <w:color w:val="auto"/>
        </w:rPr>
        <w:t>Section 3.7        Material Contracts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8"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Section 3.7(a) of the Company Disclosure Schedules sets forth a list of the following Contracts to which a Group Company is a party as of the date of this Agreement, excluding any Employee Benefit Plan (each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Contract required to be set forth on Section 3.7(a) of the Company Disclosure Schedules, together with each of the Contracts entered into after the date of this Agreement that would be required to be set forth on Section 3.7(a) of the Company Disclosure Schedules if entered into prior to the execution and delivery of this Agreement, collectively, the “</w:t>
      </w:r>
      <w:r>
        <w:rPr>
          <w:rFonts w:ascii="Times New Roman" w:cs="Times New Roman" w:eastAsia="Times New Roman" w:hAnsi="Times New Roman"/>
          <w:sz w:val="12"/>
          <w:szCs w:val="12"/>
          <w:b w:val="1"/>
          <w:bCs w:val="1"/>
          <w:i w:val="1"/>
          <w:iCs w:val="1"/>
          <w:color w:val="auto"/>
        </w:rPr>
        <w:t>Material Contracts</w:t>
      </w:r>
      <w:r>
        <w:rPr>
          <w:rFonts w:ascii="Times New Roman" w:cs="Times New Roman" w:eastAsia="Times New Roman" w:hAnsi="Times New Roman"/>
          <w:sz w:val="12"/>
          <w:szCs w:val="12"/>
          <w:color w:val="auto"/>
        </w:rPr>
        <w:t>”):</w:t>
      </w:r>
    </w:p>
    <w:p>
      <w:pPr>
        <w:spacing w:after="0" w:line="114"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2"/>
          <w:szCs w:val="12"/>
          <w:b w:val="1"/>
          <w:bCs w:val="1"/>
          <w:color w:val="auto"/>
        </w:rPr>
        <w:t>(i)             </w:t>
      </w:r>
      <w:r>
        <w:rPr>
          <w:rFonts w:ascii="Times New Roman" w:cs="Times New Roman" w:eastAsia="Times New Roman" w:hAnsi="Times New Roman"/>
          <w:sz w:val="12"/>
          <w:szCs w:val="12"/>
          <w:color w:val="auto"/>
        </w:rPr>
        <w:t>any Contract relating to Indebtedness for borrowed money of any Group Company in an amount exceeding $1,000,000 or to the placing of a Lien (other than any Permitted Lien) on any material assets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or properties of any Group Company;</w:t>
      </w:r>
    </w:p>
    <w:p>
      <w:pPr>
        <w:spacing w:after="0" w:line="103"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2"/>
          <w:szCs w:val="12"/>
          <w:b w:val="1"/>
          <w:bCs w:val="1"/>
          <w:color w:val="auto"/>
        </w:rPr>
        <w:t>(ii)            </w:t>
      </w:r>
      <w:r>
        <w:rPr>
          <w:rFonts w:ascii="Times New Roman" w:cs="Times New Roman" w:eastAsia="Times New Roman" w:hAnsi="Times New Roman"/>
          <w:sz w:val="12"/>
          <w:szCs w:val="12"/>
          <w:color w:val="auto"/>
        </w:rPr>
        <w:t>any Contract under which any Group Company is lessee of or holds or operates, in each case, any tangible property (other than real property), owned by any other Person, except for any lease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agreement under which the aggregate annual rental payments do not exceed $2,500,000;</w:t>
      </w:r>
    </w:p>
    <w:p>
      <w:pPr>
        <w:spacing w:after="0" w:line="103"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2"/>
          <w:szCs w:val="12"/>
          <w:b w:val="1"/>
          <w:bCs w:val="1"/>
          <w:color w:val="auto"/>
        </w:rPr>
        <w:t>(iii)           </w:t>
      </w:r>
      <w:r>
        <w:rPr>
          <w:rFonts w:ascii="Times New Roman" w:cs="Times New Roman" w:eastAsia="Times New Roman" w:hAnsi="Times New Roman"/>
          <w:sz w:val="12"/>
          <w:szCs w:val="12"/>
          <w:color w:val="auto"/>
        </w:rPr>
        <w:t>any Contract under which any Group Company is lessor of or permits any third party to hold or operate, in each case, any tangible property (other than real property), owned or controlled by such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Group Company, except for any lease or agreement under which the aggregate annual rental payments do not exceed $2,500,000;</w:t>
      </w:r>
    </w:p>
    <w:p>
      <w:pPr>
        <w:spacing w:after="0" w:line="103"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2"/>
          <w:szCs w:val="12"/>
          <w:b w:val="1"/>
          <w:bCs w:val="1"/>
          <w:color w:val="auto"/>
        </w:rPr>
        <w:t>(iv)            </w:t>
      </w:r>
      <w:r>
        <w:rPr>
          <w:rFonts w:ascii="Times New Roman" w:cs="Times New Roman" w:eastAsia="Times New Roman" w:hAnsi="Times New Roman"/>
          <w:sz w:val="12"/>
          <w:szCs w:val="12"/>
          <w:color w:val="auto"/>
        </w:rPr>
        <w:t>any (A) joint venture, profit-sharing, partnership, collaboration, co-promotion, commercialization or research or development Contract, in each case, which requires, or would reasonably be expected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require (based on any occurrence, development, activity or event contemplated by such Contract), aggregate payments to or from any Group Company in excess of $2,500,000 over the life of the Contract and (B) any Contract with respect to material Company Licensed Intellectual Property (other than Contracts for the licensing of Off-the-Shelf Software or Open Source Software, nondisclosure agreements entered into in the ordinary course, trademark or feedback licenses that are incidental to the primary purpose of the contract or Contracts providing licenses to a Group Company for the purpose of enabling such Group Company to provide services to the applicable licensor);</w:t>
      </w:r>
    </w:p>
    <w:p>
      <w:pPr>
        <w:spacing w:after="0" w:line="117"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2"/>
          <w:szCs w:val="12"/>
          <w:b w:val="1"/>
          <w:bCs w:val="1"/>
          <w:color w:val="auto"/>
        </w:rPr>
        <w:t>(v)             </w:t>
      </w:r>
      <w:r>
        <w:rPr>
          <w:rFonts w:ascii="Times New Roman" w:cs="Times New Roman" w:eastAsia="Times New Roman" w:hAnsi="Times New Roman"/>
          <w:sz w:val="12"/>
          <w:szCs w:val="12"/>
          <w:color w:val="auto"/>
        </w:rPr>
        <w:t>any Contract that (A) limits or purports to limit, in any material respect, the freedom of any Group Company to engage or compete in any line of business or with any Person or in any area or that would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so limit or purport to limit, in any material respect, the operations of CGC or any of its Affiliates after the Closing, (B) contains any exclusivity, “most favored nation” or similar provisions, obligations or restrictions or (C) contains any other provisions restricting or purporting to restrict the ability of any Group Company to sell, manufacture, develop, commercialize, test or research products, directly or indirectly through third parties, or to solicit any potential employee or customer, in each case, in any material respect or that would so limit or purports to limit in any material respect, CGC or any of its Affiliates after the Closing;</w:t>
      </w:r>
    </w:p>
    <w:p>
      <w:pPr>
        <w:spacing w:after="0" w:line="117" w:lineRule="exact"/>
        <w:rPr>
          <w:sz w:val="20"/>
          <w:szCs w:val="20"/>
          <w:color w:val="auto"/>
        </w:rPr>
      </w:pPr>
    </w:p>
    <w:p>
      <w:pPr>
        <w:ind w:right="20" w:firstLine="1296"/>
        <w:spacing w:after="0" w:line="286" w:lineRule="auto"/>
        <w:rPr>
          <w:sz w:val="20"/>
          <w:szCs w:val="20"/>
          <w:color w:val="auto"/>
        </w:rPr>
      </w:pPr>
      <w:r>
        <w:rPr>
          <w:rFonts w:ascii="Times New Roman" w:cs="Times New Roman" w:eastAsia="Times New Roman" w:hAnsi="Times New Roman"/>
          <w:sz w:val="12"/>
          <w:szCs w:val="12"/>
          <w:b w:val="1"/>
          <w:bCs w:val="1"/>
          <w:color w:val="auto"/>
        </w:rPr>
        <w:t>(vi)            </w:t>
      </w:r>
      <w:r>
        <w:rPr>
          <w:rFonts w:ascii="Times New Roman" w:cs="Times New Roman" w:eastAsia="Times New Roman" w:hAnsi="Times New Roman"/>
          <w:sz w:val="12"/>
          <w:szCs w:val="12"/>
          <w:color w:val="auto"/>
        </w:rPr>
        <w:t>any Contract requiring any future capital commitment or capital expenditure (or series of capital expenditures) by any Group Company in an amount in excess of (A) $2,500,000 annually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 $5,000,000 over the life of the agreement;</w:t>
      </w:r>
    </w:p>
    <w:p>
      <w:pPr>
        <w:spacing w:after="0" w:line="103"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2"/>
          <w:szCs w:val="12"/>
          <w:b w:val="1"/>
          <w:bCs w:val="1"/>
          <w:color w:val="auto"/>
        </w:rPr>
        <w:t>(vii)           </w:t>
      </w:r>
      <w:r>
        <w:rPr>
          <w:rFonts w:ascii="Times New Roman" w:cs="Times New Roman" w:eastAsia="Times New Roman" w:hAnsi="Times New Roman"/>
          <w:sz w:val="12"/>
          <w:szCs w:val="12"/>
          <w:color w:val="auto"/>
        </w:rPr>
        <w:t>any Contract requiring any Group Company to guarantee the Liabilities of any Person (other than the Company or a Subsidiary) or pursuant to which any Person (other than the Company or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Subsidiary) has guaranteed the Liabilities of a Group Company, in each case in excess of $2,500,000;</w:t>
      </w:r>
    </w:p>
    <w:p>
      <w:pPr>
        <w:spacing w:after="0" w:line="103"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2"/>
          <w:szCs w:val="12"/>
          <w:b w:val="1"/>
          <w:bCs w:val="1"/>
          <w:color w:val="auto"/>
        </w:rPr>
        <w:t>(viii)          </w:t>
      </w:r>
      <w:r>
        <w:rPr>
          <w:rFonts w:ascii="Times New Roman" w:cs="Times New Roman" w:eastAsia="Times New Roman" w:hAnsi="Times New Roman"/>
          <w:sz w:val="12"/>
          <w:szCs w:val="12"/>
          <w:color w:val="auto"/>
        </w:rPr>
        <w:t>any Contract under which any Group Company has, directly or indirectly, made or agreed to make any loan, advance, or assignment of payment to any Person or made any capital contribution to,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other investment in, any Person, in each case, in excess of $500,000;</w:t>
      </w:r>
    </w:p>
    <w:p>
      <w:pPr>
        <w:spacing w:after="0" w:line="10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b w:val="1"/>
          <w:bCs w:val="1"/>
          <w:color w:val="auto"/>
        </w:rPr>
        <w:t>(ix)            </w:t>
      </w:r>
      <w:r>
        <w:rPr>
          <w:rFonts w:ascii="Times New Roman" w:cs="Times New Roman" w:eastAsia="Times New Roman" w:hAnsi="Times New Roman"/>
          <w:sz w:val="12"/>
          <w:szCs w:val="12"/>
          <w:color w:val="auto"/>
        </w:rPr>
        <w:t>any Contract required to be disclosed on Section 3.19 of the Company Disclosure Schedules;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43" w:name="page44"/>
    <w:bookmarkEnd w:id="43"/>
    <w:p>
      <w:pPr>
        <w:jc w:val="both"/>
        <w:ind w:left="8" w:firstLine="1296"/>
        <w:spacing w:after="0" w:line="268" w:lineRule="auto"/>
        <w:rPr>
          <w:sz w:val="20"/>
          <w:szCs w:val="20"/>
          <w:color w:val="auto"/>
        </w:rPr>
      </w:pPr>
      <w:r>
        <w:rPr>
          <w:rFonts w:ascii="Times New Roman" w:cs="Times New Roman" w:eastAsia="Times New Roman" w:hAnsi="Times New Roman"/>
          <w:sz w:val="12"/>
          <w:szCs w:val="12"/>
          <w:b w:val="1"/>
          <w:bCs w:val="1"/>
          <w:color w:val="auto"/>
        </w:rPr>
        <w:t>(x)             </w:t>
      </w:r>
      <w:r>
        <w:rPr>
          <w:rFonts w:ascii="Times New Roman" w:cs="Times New Roman" w:eastAsia="Times New Roman" w:hAnsi="Times New Roman"/>
          <w:sz w:val="12"/>
          <w:szCs w:val="12"/>
          <w:color w:val="auto"/>
        </w:rPr>
        <w:t>any Contract with any Person (A) pursuant to which any Group Company (or CGC or any of its Affiliates after the Closing) may be required to pay milestones, royalties or other contingent payments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based on any research, testing, development, regulatory filings or approval, sale, distribution, commercial manufacture or other similar occurrences, developments, activities or events in relation to Company Products or (B) under which any Group Company grants to any Person any exclusivity, right of first refusal or right of first negotiation with respect to any Company Product or any Company Intellectual Property;</w:t>
      </w:r>
    </w:p>
    <w:p>
      <w:pPr>
        <w:spacing w:after="0" w:line="114" w:lineRule="exact"/>
        <w:rPr>
          <w:sz w:val="20"/>
          <w:szCs w:val="20"/>
          <w:color w:val="auto"/>
        </w:rPr>
      </w:pPr>
    </w:p>
    <w:p>
      <w:pPr>
        <w:jc w:val="both"/>
        <w:ind w:left="8" w:right="20" w:firstLine="1296"/>
        <w:spacing w:after="0" w:line="286" w:lineRule="auto"/>
        <w:rPr>
          <w:sz w:val="20"/>
          <w:szCs w:val="20"/>
          <w:color w:val="auto"/>
        </w:rPr>
      </w:pPr>
      <w:r>
        <w:rPr>
          <w:rFonts w:ascii="Times New Roman" w:cs="Times New Roman" w:eastAsia="Times New Roman" w:hAnsi="Times New Roman"/>
          <w:sz w:val="12"/>
          <w:szCs w:val="12"/>
          <w:b w:val="1"/>
          <w:bCs w:val="1"/>
          <w:color w:val="auto"/>
        </w:rPr>
        <w:t>(xi)           </w:t>
      </w:r>
      <w:r>
        <w:rPr>
          <w:rFonts w:ascii="Times New Roman" w:cs="Times New Roman" w:eastAsia="Times New Roman" w:hAnsi="Times New Roman"/>
          <w:sz w:val="12"/>
          <w:szCs w:val="12"/>
          <w:color w:val="auto"/>
        </w:rPr>
        <w:t>any Contract governing the terms of the employment, engagement or services of any current director, manager, officer, employee, individual independent contractor or other service provider of a Group</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Company that provides for annual cash base compensation in excess of $300,000;</w:t>
      </w:r>
    </w:p>
    <w:p>
      <w:pPr>
        <w:spacing w:after="0" w:line="103" w:lineRule="exact"/>
        <w:rPr>
          <w:sz w:val="20"/>
          <w:szCs w:val="20"/>
          <w:color w:val="auto"/>
        </w:rPr>
      </w:pPr>
    </w:p>
    <w:p>
      <w:pPr>
        <w:jc w:val="both"/>
        <w:ind w:left="8" w:firstLine="1296"/>
        <w:spacing w:after="0" w:line="268" w:lineRule="auto"/>
        <w:rPr>
          <w:sz w:val="20"/>
          <w:szCs w:val="20"/>
          <w:color w:val="auto"/>
        </w:rPr>
      </w:pPr>
      <w:r>
        <w:rPr>
          <w:rFonts w:ascii="Times New Roman" w:cs="Times New Roman" w:eastAsia="Times New Roman" w:hAnsi="Times New Roman"/>
          <w:sz w:val="12"/>
          <w:szCs w:val="12"/>
          <w:b w:val="1"/>
          <w:bCs w:val="1"/>
          <w:color w:val="auto"/>
        </w:rPr>
        <w:t>(xii)          </w:t>
      </w:r>
      <w:r>
        <w:rPr>
          <w:rFonts w:ascii="Times New Roman" w:cs="Times New Roman" w:eastAsia="Times New Roman" w:hAnsi="Times New Roman"/>
          <w:sz w:val="12"/>
          <w:szCs w:val="12"/>
          <w:color w:val="auto"/>
        </w:rPr>
        <w:t>any Contract for the disposition of any portion of the assets or business of any Group Company or for the acquisition by any Group Company of the assets or business of any other Person (other than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acquisitions or dispositions made in the ordinary course of business), or under which any Group Company has any continuing obligation with respect to an “earn-out”, contingent purchase price or other contingent or deferred payment obligation;</w:t>
      </w:r>
    </w:p>
    <w:p>
      <w:pPr>
        <w:spacing w:after="0" w:line="114" w:lineRule="exact"/>
        <w:rPr>
          <w:sz w:val="20"/>
          <w:szCs w:val="20"/>
          <w:color w:val="auto"/>
        </w:rPr>
      </w:pPr>
    </w:p>
    <w:p>
      <w:pPr>
        <w:jc w:val="both"/>
        <w:ind w:left="8" w:firstLine="1296"/>
        <w:spacing w:after="0" w:line="286" w:lineRule="auto"/>
        <w:rPr>
          <w:sz w:val="20"/>
          <w:szCs w:val="20"/>
          <w:color w:val="auto"/>
        </w:rPr>
      </w:pPr>
      <w:r>
        <w:rPr>
          <w:rFonts w:ascii="Times New Roman" w:cs="Times New Roman" w:eastAsia="Times New Roman" w:hAnsi="Times New Roman"/>
          <w:sz w:val="12"/>
          <w:szCs w:val="12"/>
          <w:b w:val="1"/>
          <w:bCs w:val="1"/>
          <w:color w:val="auto"/>
        </w:rPr>
        <w:t>(xiii)         </w:t>
      </w:r>
      <w:r>
        <w:rPr>
          <w:rFonts w:ascii="Times New Roman" w:cs="Times New Roman" w:eastAsia="Times New Roman" w:hAnsi="Times New Roman"/>
          <w:sz w:val="12"/>
          <w:szCs w:val="12"/>
          <w:color w:val="auto"/>
        </w:rPr>
        <w:t>any settlement, conciliation or similar Contract (A) the performance of which would be reasonably likely to involve payments in excess of $2,500,000 after the date of this Agreement, (B) with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Governmental Entity or (C) that imposes or is reasonably likely to impose, at any time in the future, any material, non-monetary obligations on any Group Company (or CGC or any of its Affiliates after the Closing); and</w:t>
      </w:r>
    </w:p>
    <w:p>
      <w:pPr>
        <w:spacing w:after="0" w:line="103" w:lineRule="exact"/>
        <w:rPr>
          <w:sz w:val="20"/>
          <w:szCs w:val="20"/>
          <w:color w:val="auto"/>
        </w:rPr>
      </w:pPr>
    </w:p>
    <w:p>
      <w:pPr>
        <w:jc w:val="both"/>
        <w:ind w:left="8" w:firstLine="1296"/>
        <w:spacing w:after="0" w:line="286" w:lineRule="auto"/>
        <w:rPr>
          <w:sz w:val="20"/>
          <w:szCs w:val="20"/>
          <w:color w:val="auto"/>
        </w:rPr>
      </w:pPr>
      <w:r>
        <w:rPr>
          <w:rFonts w:ascii="Times New Roman" w:cs="Times New Roman" w:eastAsia="Times New Roman" w:hAnsi="Times New Roman"/>
          <w:sz w:val="12"/>
          <w:szCs w:val="12"/>
          <w:b w:val="1"/>
          <w:bCs w:val="1"/>
          <w:color w:val="auto"/>
        </w:rPr>
        <w:t>(xiv)          </w:t>
      </w:r>
      <w:r>
        <w:rPr>
          <w:rFonts w:ascii="Times New Roman" w:cs="Times New Roman" w:eastAsia="Times New Roman" w:hAnsi="Times New Roman"/>
          <w:sz w:val="12"/>
          <w:szCs w:val="12"/>
          <w:color w:val="auto"/>
        </w:rPr>
        <w:t>any other Contract the performance of which requires either (A) annual payments to or from any Group Company in excess of $2,500,000 or (B) aggregate payments to or from any Group Company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excess of $5,000,000 over the life of the agreement and, in each case, that is not terminable by the applicable Group Company without penalty upon less than thirty (30) days’ prior written notice.</w:t>
      </w:r>
    </w:p>
    <w:p>
      <w:pPr>
        <w:spacing w:after="0" w:line="103" w:lineRule="exact"/>
        <w:rPr>
          <w:sz w:val="20"/>
          <w:szCs w:val="20"/>
          <w:color w:val="auto"/>
        </w:rPr>
      </w:pPr>
    </w:p>
    <w:p>
      <w:pPr>
        <w:jc w:val="both"/>
        <w:ind w:left="8" w:firstLine="864"/>
        <w:spacing w:after="0" w:line="257"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(i) Each Material Contract is valid and binding on the applicable Group Company and, to the knowledge of the Company, the counterparties thereto, and is in full force and effect and enforceable in accordance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with its terms against such Group Company and, to the Company’s knowledge, the counterparties thereto, (ii) the applicable Group Company and, to the knowledge of the Company, the counterparties thereto are not in material breach of, or default under, any Material Contract and (iii) no event has occurred that (with or without due notice or lapse of time or both) would result in a material breach of, or default under, any Material Contract by the applicable Group Company or, to the Company’s knowledge, the counterparties thereto. The Company has made available to CGC true and complete copies of all Material Contracts in effect as of the date hereof (other than purchase orders, invoices, and similar confirmatory or administrative documents that are ancillary to the main contractual relationship between the parties to a particular Contract or group of Contracts and that, in each case, do not contain any material executory or continuing terms, conditions, obligations or rights).</w:t>
      </w:r>
    </w:p>
    <w:p>
      <w:pPr>
        <w:spacing w:after="0" w:line="121" w:lineRule="exact"/>
        <w:rPr>
          <w:sz w:val="20"/>
          <w:szCs w:val="20"/>
          <w:color w:val="auto"/>
        </w:rPr>
      </w:pPr>
    </w:p>
    <w:p>
      <w:pPr>
        <w:jc w:val="both"/>
        <w:ind w:left="8"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Section 3.8        Absence of Changes</w:t>
      </w:r>
      <w:r>
        <w:rPr>
          <w:rFonts w:ascii="Times New Roman" w:cs="Times New Roman" w:eastAsia="Times New Roman" w:hAnsi="Times New Roman"/>
          <w:sz w:val="12"/>
          <w:szCs w:val="12"/>
          <w:color w:val="auto"/>
        </w:rPr>
        <w:t>. Except as set forth in Section 3.8 of the Company Disclosure Schedule, during the period beginning on January 1, 2025 and ending on the date of this Agreement, (a) no Company Material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Adverse Effect has occurred and (b) except as expressly contemplated by this Agreement, any Ancillary Document or in connection with the transactions contemplated hereby and thereby, (i) the Company has conducted its business in the ordinary course in all material respects and (ii) no Group Company has taken any action that would require the consent of CGC if taken during the period from the date of this Agreement until the Closing pursuant to Section 5.1(b)</w:t>
      </w:r>
    </w:p>
    <w:p>
      <w:pPr>
        <w:ind w:left="148" w:hanging="148"/>
        <w:spacing w:after="0"/>
        <w:tabs>
          <w:tab w:leader="none" w:pos="148"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(making dividends and distributions), Section 5.1(b)(iv)(A) (sell, license, dispose of material assets), Section 5.1(b)(viii) (increase compensation and bonuses), Section 5.1(b)(xii) (liquidate, restructure, reorganize), Section 5.1(b)</w:t>
      </w:r>
    </w:p>
    <w:p>
      <w:pPr>
        <w:spacing w:after="0" w:line="6" w:lineRule="exact"/>
        <w:rPr>
          <w:rFonts w:ascii="Times New Roman" w:cs="Times New Roman" w:eastAsia="Times New Roman" w:hAnsi="Times New Roman"/>
          <w:sz w:val="12"/>
          <w:szCs w:val="12"/>
          <w:color w:val="auto"/>
        </w:rPr>
      </w:pPr>
    </w:p>
    <w:p>
      <w:pPr>
        <w:ind w:left="8" w:hanging="8"/>
        <w:spacing w:after="0" w:line="260" w:lineRule="auto"/>
        <w:tabs>
          <w:tab w:leader="none" w:pos="2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any change of control payments) or Section 5.1(b)(xvi) (amend, terminate or modify any Material Contracts, waive any material benefit or right under any Material Contract or enter into any Contract that would constitute a Material Contract).</w:t>
      </w:r>
    </w:p>
    <w:p>
      <w:pPr>
        <w:spacing w:after="0" w:line="118" w:lineRule="exact"/>
        <w:rPr>
          <w:sz w:val="20"/>
          <w:szCs w:val="20"/>
          <w:color w:val="auto"/>
        </w:rPr>
      </w:pPr>
    </w:p>
    <w:p>
      <w:pPr>
        <w:jc w:val="both"/>
        <w:ind w:left="8"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Section 3.9        Litigation</w:t>
      </w:r>
      <w:r>
        <w:rPr>
          <w:rFonts w:ascii="Times New Roman" w:cs="Times New Roman" w:eastAsia="Times New Roman" w:hAnsi="Times New Roman"/>
          <w:sz w:val="12"/>
          <w:szCs w:val="12"/>
          <w:color w:val="auto"/>
        </w:rPr>
        <w:t>. Except as set forth in Section 3.9 of the Company Disclosure Schedules, there is no claim, action, suit, proceeding, arbitration, complaint, charge or investigation pending or to the Company’s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knowledge, currently threatened (i) against the Company or, to the Company’s knowledge, any officer, director or Key Persons (in their capacities as such); (ii) that questions the validity of this Agreement and the Ancillary Documents or the right of the Company to enter into them, or to consummate the transactions contemplated by the transactions contemplated by this Agreement; or (iii) that would reasonably be expected to have, either individually or in the aggregate, a Company Material Adverse Effect. Neither the Company nor, to the Company’s knowledge, any of its officers, directors or Key Persons is a party or is named as subject to the provisions of any order, writ, injunction, judgment or decree of any court or government agency or instrumentality (in the case of officers, directors or Key Persons, in their capacities as such and such as would affect the Company).</w:t>
      </w:r>
    </w:p>
    <w:p>
      <w:pPr>
        <w:spacing w:after="0" w:line="26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44" w:name="page45"/>
    <w:bookmarkEnd w:id="44"/>
    <w:p>
      <w:pPr>
        <w:jc w:val="both"/>
        <w:ind w:firstLine="432"/>
        <w:spacing w:after="0" w:line="257" w:lineRule="auto"/>
        <w:rPr>
          <w:sz w:val="20"/>
          <w:szCs w:val="20"/>
          <w:color w:val="auto"/>
        </w:rPr>
      </w:pPr>
      <w:r>
        <w:rPr>
          <w:rFonts w:ascii="Times New Roman" w:cs="Times New Roman" w:eastAsia="Times New Roman" w:hAnsi="Times New Roman"/>
          <w:sz w:val="12"/>
          <w:szCs w:val="12"/>
          <w:b w:val="1"/>
          <w:bCs w:val="1"/>
          <w:color w:val="auto"/>
        </w:rPr>
        <w:t>Section 3.10        Compliance with Applicable Law</w:t>
      </w:r>
      <w:r>
        <w:rPr>
          <w:rFonts w:ascii="Times New Roman" w:cs="Times New Roman" w:eastAsia="Times New Roman" w:hAnsi="Times New Roman"/>
          <w:sz w:val="12"/>
          <w:szCs w:val="12"/>
          <w:color w:val="auto"/>
        </w:rPr>
        <w:t>. During the three (3) years prior to the Closing, the Company has complied in all material respects with all federal, state, local or foreign statutes, rule or regulations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applicable to it. The Company is not in violation or default (i) of any provisions of its Governing Documents, (ii) of any instrument, judgment, order, writ or decree, (iii) under any note, indenture or mortgage, or (iv) under any lease, agreement, contract or purchase order to which it is a party or by which it is bound except, in the case of clauses (iii) and (iv), as would not have a Company Material Adverse Effect. The execution, delivery and performance of this Agreement and the Ancillary Documents and the consummation of the transactions contemplated by this Agreement and the Ancillary Documents will not result in any such violation or be in conflict with or constitute, with or without the passage of time and giving of notice, either (i) a default under any such provision, instrument, judgment, order, writ, decree, contract or agreement; or (ii) an event which results in the creation of any lien, charge or encumbrance upon any assets of the Company or the suspension, revocation, forfeiture, or nonrenewal of any material permit or license applicable to the Company.</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3.11        Employee Plans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Section 3.11(a) of the Company Disclosure Schedules sets forth a true and complete list of all material Employee Benefit Plans (including, for each such Employee Benefit Plan, its jurisdiction). With respect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each material Employee Benefit Plan, the Group Companies have provided CGC with true and complete copies of the material documents pursuant to which the plan is maintained, funded and administered.</w:t>
      </w:r>
    </w:p>
    <w:p>
      <w:pPr>
        <w:spacing w:after="0" w:line="103"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No Employee Benefit Plan is or was within the past six (6) years, nor does any Group Company or any of its ERISA Affiliates have or had within the past six (6) years any Liability with respect to or under: (i)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Multiemployer Plan; (ii) a “defined benefit plan” (as defined in Section 3(35) of ERISA, whether or not subject to ERISA) or a plan that is or was subject to Title IV of ERISA or Section 412 of the Code; (iii) a “multiple employer plan” within the meaning of Section of 413(c) of the Code or Section 210 of ERISA; or (iv) a “multiple employer welfare arrangement” as defined in Section 3(40) of ERISA. No Group Company has any material Liabilities to provide any retiree or post-termination health or life insurance or other welfare-type benefits to any Person other than health continuation coverage pursuant to COBRA or similar Law and for which the recipient pays the full cost of coverage or for a limited period of time following a termination of employment pursuant to the terms of an Employee Benefit Plan in effect as of the date hereof and set forth in Section 3.11(a) of the Company Disclosure Schedules. No Group Company has any material Liabilities by reason of at any time being considered a single employer under Section 414 of the Code with any other Person.</w:t>
      </w:r>
    </w:p>
    <w:p>
      <w:pPr>
        <w:spacing w:after="0" w:line="121"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Each Employee Benefit Plan is in compliance, in all material respects, with its terms and the requirements of all applicable Laws including, without limitation, ERISA and the Code. Each Employee Benefit Plan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that is intended to be qualified under Section 401(a) of the Code has timely received a favorable determination or opinion or advisory letter from the Internal Revenue Service that the Employee Benefit Plan is so qualified and, to the Company’s knowledge, no fact or event has occurred since the date of such determination or opinion letter or letters from the IRS that would reasonably be expected to result in the loss of the qualified status of any such Employee Benefit Plan. None of the Group Companies has incurred (whether or not assessed) any material penalty or Tax under Section 4980H, 4980B, 4980D, 6721 or 6722 of the Code.</w:t>
      </w:r>
    </w:p>
    <w:p>
      <w:pPr>
        <w:spacing w:after="0" w:line="117"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2"/>
          <w:szCs w:val="12"/>
          <w:b w:val="1"/>
          <w:bCs w:val="1"/>
          <w:color w:val="auto"/>
        </w:rPr>
        <w:t>(d)            </w:t>
      </w:r>
      <w:r>
        <w:rPr>
          <w:rFonts w:ascii="Times New Roman" w:cs="Times New Roman" w:eastAsia="Times New Roman" w:hAnsi="Times New Roman"/>
          <w:sz w:val="12"/>
          <w:szCs w:val="12"/>
          <w:color w:val="auto"/>
        </w:rPr>
        <w:t>As of the date of this Agreement, there are no pending or, to the Company’s knowledge, threatened in writing claims or Proceedings with respect to any Employee Benefit Plan (other than routine claims for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benefits). There have been no non-exempt “prohibited transactions” within the meaning of Section 4975 of the Code or Sections 406 or 407 of ERISA and no breaches of fiduciary duty (as determined under ERISA) with respect to any Employee Benefit Plan, except as is not and would not reasonably be expected to be, individually or in the aggregate, material to the Group Companies, taken as a whole. With respect to each Employee Benefit Plan, all contributions, distributions, reimbursements and premium payments that are due have been timely made, except as is not and would not reasonably be expected to be, individually or in the aggregate, material to the Group Companies, taken as a whole.</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45" w:name="page46"/>
    <w:bookmarkEnd w:id="45"/>
    <w:p>
      <w:pPr>
        <w:jc w:val="both"/>
        <w:ind w:firstLine="864"/>
        <w:spacing w:after="0" w:line="259" w:lineRule="auto"/>
        <w:rPr>
          <w:sz w:val="20"/>
          <w:szCs w:val="20"/>
          <w:color w:val="auto"/>
        </w:rPr>
      </w:pPr>
      <w:r>
        <w:rPr>
          <w:rFonts w:ascii="Times New Roman" w:cs="Times New Roman" w:eastAsia="Times New Roman" w:hAnsi="Times New Roman"/>
          <w:sz w:val="12"/>
          <w:szCs w:val="12"/>
          <w:b w:val="1"/>
          <w:bCs w:val="1"/>
          <w:color w:val="auto"/>
        </w:rPr>
        <w:t>(e)            </w:t>
      </w:r>
      <w:r>
        <w:rPr>
          <w:rFonts w:ascii="Times New Roman" w:cs="Times New Roman" w:eastAsia="Times New Roman" w:hAnsi="Times New Roman"/>
          <w:sz w:val="12"/>
          <w:szCs w:val="12"/>
          <w:color w:val="auto"/>
        </w:rPr>
        <w:t>The execution and delivery of this Agreement and the consummation of the transactions contemplated by this Agreement will not materially (alone or in combination with any other event) (i) result in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payment or benefit becoming due to or result in the forgiveness of any indebtedness of any current or former director, manager, officer, employee, individual independent contractor or other service providers of any of the Group Companies, (ii) increase the amount or value of any compensation or benefits payable to any current or former director, manager, officer, employee, individual independent contractor or other service providers of any of the Group Companies or (iii) result in the acceleration of the time of payment or vesting, or trigger any payment or funding of any compensation or benefits to any current or former director, manager, officer, employee, individual independent contractor or other service providers of any of the Group Companies.</w:t>
      </w:r>
    </w:p>
    <w:p>
      <w:pPr>
        <w:spacing w:after="0" w:line="119" w:lineRule="exact"/>
        <w:rPr>
          <w:sz w:val="20"/>
          <w:szCs w:val="20"/>
          <w:color w:val="auto"/>
        </w:rPr>
      </w:pPr>
    </w:p>
    <w:p>
      <w:pPr>
        <w:jc w:val="both"/>
        <w:ind w:right="20"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(f)            </w:t>
      </w:r>
      <w:r>
        <w:rPr>
          <w:rFonts w:ascii="Times New Roman" w:cs="Times New Roman" w:eastAsia="Times New Roman" w:hAnsi="Times New Roman"/>
          <w:sz w:val="12"/>
          <w:szCs w:val="12"/>
          <w:color w:val="auto"/>
        </w:rPr>
        <w:t>No amount that could be received (whether in cash or property or the vesting of property) by any “disqualified individual” of any of the Group Companies under any Employee Benefit Plan or otherwise as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result of the consummation of the transactions contemplated by this Agreement could, separately or in the aggregate, be nondeductible under Section 280G of the Code or subjected to an excise tax under Section 4999 of the Code.</w:t>
      </w:r>
    </w:p>
    <w:p>
      <w:pPr>
        <w:spacing w:after="0" w:line="103"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b w:val="1"/>
          <w:bCs w:val="1"/>
          <w:color w:val="auto"/>
        </w:rPr>
        <w:t>(g)            </w:t>
      </w:r>
      <w:r>
        <w:rPr>
          <w:rFonts w:ascii="Times New Roman" w:cs="Times New Roman" w:eastAsia="Times New Roman" w:hAnsi="Times New Roman"/>
          <w:sz w:val="12"/>
          <w:szCs w:val="12"/>
          <w:color w:val="auto"/>
        </w:rPr>
        <w:t>Each Employee Benefit Plan or Contract (or any other agreement, program, policy or arrangement by or to which any of the Group Companies is a party, is bound or is otherwise liable) that provides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“nonqualified deferred compensation” as defined in Section 409A of the Code (or any corresponding provision of state, local or foreign Tax Law) is and has been in compliance in all material respects with Section 409A of the Code and all applicable guidance from the Internal Revenue Service. The Group Companies have no material obligation to make a “gross-up” or similar payment in respect of any taxes that may become payable under Section 4999 or 409A of the Code.</w:t>
      </w:r>
    </w:p>
    <w:p>
      <w:pPr>
        <w:spacing w:after="0" w:line="117"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b w:val="1"/>
          <w:bCs w:val="1"/>
          <w:color w:val="auto"/>
        </w:rPr>
        <w:t>(h)            </w:t>
      </w:r>
      <w:r>
        <w:rPr>
          <w:rFonts w:ascii="Times New Roman" w:cs="Times New Roman" w:eastAsia="Times New Roman" w:hAnsi="Times New Roman"/>
          <w:sz w:val="12"/>
          <w:szCs w:val="12"/>
          <w:color w:val="auto"/>
        </w:rPr>
        <w:t>Each Foreign Benefit Plan that is required to be registered or intended to be tax exempt has been registered (and, where applicable, accepted for registration) and is tax exempt and has been maintained in good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standing, to the extent applicable, with each Governmental Entity. No Foreign Benefit Plan is a “defined benefit plan” (as defined in ERISA, whether or not subject to ERISA) or has any material unfunded or underfunded Liabilities. All material contributions required to have been made by or on behalf of the Group Companies with respect to plans or arrangements maintained or sponsored a Governmental Entity (including severance, termination indemnities or other similar benefits maintained for employees outside of the U.S.) have been timely made or fully accrued.</w:t>
      </w:r>
    </w:p>
    <w:p>
      <w:pPr>
        <w:spacing w:after="0" w:line="11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b w:val="1"/>
          <w:bCs w:val="1"/>
          <w:color w:val="auto"/>
        </w:rPr>
        <w:t>Section 3.12        Environmental Matters</w:t>
      </w:r>
      <w:r>
        <w:rPr>
          <w:rFonts w:ascii="Times New Roman" w:cs="Times New Roman" w:eastAsia="Times New Roman" w:hAnsi="Times New Roman"/>
          <w:sz w:val="12"/>
          <w:szCs w:val="12"/>
          <w:color w:val="auto"/>
        </w:rPr>
        <w:t>. Except as would not reasonably be expected to have a Company Material Adverse Effect (a) the Company is, and since the Lookback Date has been, in compliance with all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Environmental Laws in all material respects; (b) to the Company’s knowledge, there has been no release or threatened release of any Hazardous Substance, on, upon, into or from any site currently or heretofore owned, leased or otherwise used by the Company; (c) there have been no Hazardous Substances generated by the Company that have been disposed of or come to rest at any site that has been included in any published U.S. federal, state or local “superfund” site list or any other similar list of hazardous or toxic waste sites published by any governmental authority in the United States; (d) there are no underground storage tanks located on, no polychlorinated biphenyls (“</w:t>
      </w:r>
      <w:r>
        <w:rPr>
          <w:rFonts w:ascii="Times New Roman" w:cs="Times New Roman" w:eastAsia="Times New Roman" w:hAnsi="Times New Roman"/>
          <w:sz w:val="12"/>
          <w:szCs w:val="12"/>
          <w:b w:val="1"/>
          <w:bCs w:val="1"/>
          <w:i w:val="1"/>
          <w:iCs w:val="1"/>
          <w:color w:val="auto"/>
        </w:rPr>
        <w:t>PCBs</w:t>
      </w:r>
      <w:r>
        <w:rPr>
          <w:rFonts w:ascii="Times New Roman" w:cs="Times New Roman" w:eastAsia="Times New Roman" w:hAnsi="Times New Roman"/>
          <w:sz w:val="12"/>
          <w:szCs w:val="12"/>
          <w:color w:val="auto"/>
        </w:rPr>
        <w:t>”) or PCB-containing equipment used or stored on, and no hazardous waste as defined by the Resource Conservation and Recovery Act, as amended, stored on, any site owned or operated by the Company, except for the storage of hazardous waste in compliance with Environmental Laws; (e) the Company does not manufacture, handle, import, export, or transport any nanoengineered or nanoscale material; and (f) the Company does not and has not imported any Hazardous Substances. The Company has made available to CGC true and complete copies of all material environmental records, reports, notifications, certificates of need, permits, pending permit applications, correspondence, engineering studies and environmental studies or assessments.</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3.13        Intellectual Property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A Group Company owns all Company Intellectual Property free and clear of any Liens, other than Permitted Liens. Since the Lookback Date, no Group Company has received any written communications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alleging that any Group Company has violated, or by conducting its business, would violate any of the Intellectual Property Rights of any other Person. No Company Product infringes any Intellectual Property Rights of any other party, except as is not and would not reasonably be expected to be, individually or in the aggregate, material to the Group Companies, taken as a whole. The Group Companies have obtained and possesses valid licenses to use all of the software programs present on the computers and other software-enabled electronic devices that it owns or leases or that it has otherwise provided to its employees for their use in connection with such Group Company’s business.</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46" w:name="page47"/>
    <w:bookmarkEnd w:id="46"/>
    <w:p>
      <w:pPr>
        <w:ind w:left="868"/>
        <w:spacing w:after="0"/>
        <w:rPr>
          <w:sz w:val="20"/>
          <w:szCs w:val="20"/>
          <w:color w:val="auto"/>
        </w:rPr>
      </w:pPr>
      <w:r>
        <w:rPr>
          <w:rFonts w:ascii="Times New Roman" w:cs="Times New Roman" w:eastAsia="Times New Roman" w:hAnsi="Times New Roman"/>
          <w:sz w:val="11"/>
          <w:szCs w:val="11"/>
          <w:b w:val="1"/>
          <w:bCs w:val="1"/>
          <w:color w:val="auto"/>
        </w:rPr>
        <w:t>(b)            </w:t>
      </w:r>
      <w:r>
        <w:rPr>
          <w:rFonts w:ascii="Times New Roman" w:cs="Times New Roman" w:eastAsia="Times New Roman" w:hAnsi="Times New Roman"/>
          <w:sz w:val="11"/>
          <w:szCs w:val="11"/>
          <w:color w:val="auto"/>
        </w:rPr>
        <w:t>Each employee has assigned to a Group Company all Intellectual Property Rights he or she solely or jointly conceived, reduced to practice, developed or made during the period of his, her or its employment that</w:t>
      </w:r>
    </w:p>
    <w:p>
      <w:pPr>
        <w:spacing w:after="0" w:line="32" w:lineRule="exact"/>
        <w:rPr>
          <w:sz w:val="20"/>
          <w:szCs w:val="20"/>
          <w:color w:val="auto"/>
        </w:rPr>
      </w:pPr>
    </w:p>
    <w:p>
      <w:pPr>
        <w:jc w:val="both"/>
        <w:ind w:left="8" w:hanging="8"/>
        <w:spacing w:after="0" w:line="253" w:lineRule="auto"/>
        <w:tabs>
          <w:tab w:leader="none" w:pos="154"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relate, at the time of conception, reduction to practice, development, or making of such Intellectual Property Right, to the Company’s business, (ii) were developed on any amount of the Company’s time or with the use of any of the Company’s equipment, supplies, facilities or information or (iii) resulted from the performance of services for the Company. Each consultant who has developed any material Company Intellectual Property has assigned to a Group Company all Intellectual Property Rights that she, he, or it solely or jointly conceived, reduced to practice, developed or made within the scope of their engagement with the applicable Group Company. It will not be necessary to use any inventions of any of its employees made prior to their employment by a Group Company, except for such inventions assigned or licensed to such Group Company.</w:t>
      </w:r>
    </w:p>
    <w:p>
      <w:pPr>
        <w:spacing w:after="0" w:line="123" w:lineRule="exact"/>
        <w:rPr>
          <w:sz w:val="20"/>
          <w:szCs w:val="20"/>
          <w:color w:val="auto"/>
        </w:rPr>
      </w:pPr>
    </w:p>
    <w:p>
      <w:pPr>
        <w:jc w:val="both"/>
        <w:ind w:left="8" w:right="20"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Section 3.13(c) of the Company Disclosure Schedules lists all patents, patent applications, registered trademarks, trademark applications, service marks, service mark applications, tradenames, and registered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copyrights, in each case owned by a Group Company.</w:t>
      </w:r>
    </w:p>
    <w:p>
      <w:pPr>
        <w:spacing w:after="0" w:line="103" w:lineRule="exact"/>
        <w:rPr>
          <w:sz w:val="20"/>
          <w:szCs w:val="20"/>
          <w:color w:val="auto"/>
        </w:rPr>
      </w:pPr>
    </w:p>
    <w:p>
      <w:pPr>
        <w:jc w:val="both"/>
        <w:ind w:left="8" w:firstLine="864"/>
        <w:spacing w:after="0" w:line="259" w:lineRule="auto"/>
        <w:rPr>
          <w:sz w:val="20"/>
          <w:szCs w:val="20"/>
          <w:color w:val="auto"/>
        </w:rPr>
      </w:pPr>
      <w:r>
        <w:rPr>
          <w:rFonts w:ascii="Times New Roman" w:cs="Times New Roman" w:eastAsia="Times New Roman" w:hAnsi="Times New Roman"/>
          <w:sz w:val="12"/>
          <w:szCs w:val="12"/>
          <w:b w:val="1"/>
          <w:bCs w:val="1"/>
          <w:color w:val="auto"/>
        </w:rPr>
        <w:t>(d)            </w:t>
      </w:r>
      <w:r>
        <w:rPr>
          <w:rFonts w:ascii="Times New Roman" w:cs="Times New Roman" w:eastAsia="Times New Roman" w:hAnsi="Times New Roman"/>
          <w:sz w:val="12"/>
          <w:szCs w:val="12"/>
          <w:color w:val="auto"/>
        </w:rPr>
        <w:t>The Group Companies have not embedded, used or distributed any open source, copyleft or community source code (including but not limited to any libraries or code, software, technologies or other materials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that are licensed or distributed under any General Public License, Lesser General Public License or similar license arrangement or other distribution model described by the Open Source Initiative at www.opensource.org, collectively “</w:t>
      </w:r>
      <w:r>
        <w:rPr>
          <w:rFonts w:ascii="Times New Roman" w:cs="Times New Roman" w:eastAsia="Times New Roman" w:hAnsi="Times New Roman"/>
          <w:sz w:val="12"/>
          <w:szCs w:val="12"/>
          <w:b w:val="1"/>
          <w:bCs w:val="1"/>
          <w:i w:val="1"/>
          <w:iCs w:val="1"/>
          <w:color w:val="auto"/>
        </w:rPr>
        <w:t>Open Source Software</w:t>
      </w:r>
      <w:r>
        <w:rPr>
          <w:rFonts w:ascii="Times New Roman" w:cs="Times New Roman" w:eastAsia="Times New Roman" w:hAnsi="Times New Roman"/>
          <w:sz w:val="12"/>
          <w:szCs w:val="12"/>
          <w:color w:val="auto"/>
        </w:rPr>
        <w:t>”) in connection with any of the Company Products that are generally available in any manner that requires (i) any Software constituting Company Intellectual Property (other than the Open Source Software itself) be disclosed or distributed in source code form or be licensed for the purpose of making derivative works; (ii) any restriction on the consideration to be charged for the distribution of any Company Products; (iii) the grant to any third party of any rights or immunities under patents owned by the Company.</w:t>
      </w:r>
    </w:p>
    <w:p>
      <w:pPr>
        <w:spacing w:after="0" w:line="119" w:lineRule="exact"/>
        <w:rPr>
          <w:sz w:val="20"/>
          <w:szCs w:val="20"/>
          <w:color w:val="auto"/>
        </w:rPr>
      </w:pPr>
    </w:p>
    <w:p>
      <w:pPr>
        <w:jc w:val="both"/>
        <w:ind w:left="8" w:firstLine="864"/>
        <w:spacing w:after="0" w:line="268" w:lineRule="auto"/>
        <w:rPr>
          <w:sz w:val="20"/>
          <w:szCs w:val="20"/>
          <w:color w:val="auto"/>
        </w:rPr>
      </w:pPr>
      <w:r>
        <w:rPr>
          <w:rFonts w:ascii="Times New Roman" w:cs="Times New Roman" w:eastAsia="Times New Roman" w:hAnsi="Times New Roman"/>
          <w:sz w:val="12"/>
          <w:szCs w:val="12"/>
          <w:b w:val="1"/>
          <w:bCs w:val="1"/>
          <w:color w:val="auto"/>
        </w:rPr>
        <w:t>(e)            </w:t>
      </w:r>
      <w:r>
        <w:rPr>
          <w:rFonts w:ascii="Times New Roman" w:cs="Times New Roman" w:eastAsia="Times New Roman" w:hAnsi="Times New Roman"/>
          <w:sz w:val="12"/>
          <w:szCs w:val="12"/>
          <w:color w:val="auto"/>
        </w:rPr>
        <w:t>No government funding, facilities of a university, college, other educational institution or research center, or funding from third parties was used in the development of any Company Intellectual Property. No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Person who was involved in, or who contributed to, the creation or development of any Company Intellectual Property, has performed services for the government, university, college, or other educational institution or research center in a manner that would affect any Group Company’s rights in the Company Intellectual Property.</w:t>
      </w:r>
    </w:p>
    <w:p>
      <w:pPr>
        <w:spacing w:after="0" w:line="11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color w:val="auto"/>
        </w:rPr>
        <w:t>Section 3.14        Employee Matters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68"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Section 3.14(a) of the Company Disclosure Schedules, lists the full-time employees, part time employees, consultants and natural person independent contractors employed or engaged by the Company as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date hereof. Subsection 3.14(a) of the Company Disclosure Schedules also sets forth for each worker: salary (or other base wage rate), bonus, severance obligations and deferred compensation paid or payable (in each case as applicable).</w:t>
      </w:r>
    </w:p>
    <w:p>
      <w:pPr>
        <w:spacing w:after="0" w:line="114" w:lineRule="exact"/>
        <w:rPr>
          <w:sz w:val="20"/>
          <w:szCs w:val="20"/>
          <w:color w:val="auto"/>
        </w:rPr>
      </w:pPr>
    </w:p>
    <w:p>
      <w:pPr>
        <w:jc w:val="both"/>
        <w:ind w:left="8" w:firstLine="864"/>
        <w:spacing w:after="0" w:line="259"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To the Company’s knowledge, none of its employees is obligated under any contract (including licenses, covenants or commitments of any nature) or other agreement, or subject to any judgment, decree or order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any court or administrative agency, that would materially interfere with such employee’s ability to perform required services to the Company or that would conflict with the Company’s business. Neither the execution or delivery of this Agreement and the Ancillary Documents, nor the carrying on of the Company’s business by the employees of the Company, nor the conduct of the Company’s business as now conducted and as presently proposed to be conducted, will, to the Company’s knowledge, conflict with or result in a breach of the material terms, conditions, or provisions of, or constitute a default under, any contract, covenant or instrument under which any such Company employee is now obligated.</w:t>
      </w:r>
    </w:p>
    <w:p>
      <w:pPr>
        <w:spacing w:after="0" w:line="119" w:lineRule="exact"/>
        <w:rPr>
          <w:sz w:val="20"/>
          <w:szCs w:val="20"/>
          <w:color w:val="auto"/>
        </w:rPr>
      </w:pPr>
    </w:p>
    <w:p>
      <w:pPr>
        <w:jc w:val="both"/>
        <w:ind w:left="8" w:firstLine="864"/>
        <w:spacing w:after="0" w:line="262" w:lineRule="auto"/>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In the past three (3) years, the Company has paid its employees, consultants, and natural person independent contractors for all wages, salaries, commissions, bonuses, or other direct compensation for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service performed for it that have become due and payable and have reimbursed all or amounts required to be reimbursed to such employees, consultants and natural person independent contractors. In the past three (3) years, the Company has complied in all material respects with all applicable state and federal equal employment opportunity Laws and with other Laws related to employment, including those related to wages, hours, worker classification and collective bargaining.</w:t>
      </w:r>
    </w:p>
    <w:p>
      <w:pPr>
        <w:spacing w:after="0" w:line="26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47" w:name="page48"/>
    <w:bookmarkEnd w:id="47"/>
    <w:p>
      <w:pPr>
        <w:ind w:left="860"/>
        <w:spacing w:after="0"/>
        <w:rPr>
          <w:sz w:val="20"/>
          <w:szCs w:val="20"/>
          <w:color w:val="auto"/>
        </w:rPr>
      </w:pPr>
      <w:r>
        <w:rPr>
          <w:rFonts w:ascii="Times New Roman" w:cs="Times New Roman" w:eastAsia="Times New Roman" w:hAnsi="Times New Roman"/>
          <w:sz w:val="12"/>
          <w:szCs w:val="12"/>
          <w:b w:val="1"/>
          <w:bCs w:val="1"/>
          <w:color w:val="auto"/>
        </w:rPr>
        <w:t>(d)            </w:t>
      </w:r>
      <w:r>
        <w:rPr>
          <w:rFonts w:ascii="Times New Roman" w:cs="Times New Roman" w:eastAsia="Times New Roman" w:hAnsi="Times New Roman"/>
          <w:sz w:val="12"/>
          <w:szCs w:val="12"/>
          <w:color w:val="auto"/>
        </w:rPr>
        <w:t>To the Company’s knowledge, no Key Persons intend to terminate employment with the Company within the twelve (12) months immediately following the Closing.</w:t>
      </w:r>
    </w:p>
    <w:p>
      <w:pPr>
        <w:spacing w:after="0" w:line="150" w:lineRule="exact"/>
        <w:rPr>
          <w:sz w:val="20"/>
          <w:szCs w:val="20"/>
          <w:color w:val="auto"/>
        </w:rPr>
      </w:pPr>
    </w:p>
    <w:p>
      <w:pPr>
        <w:jc w:val="both"/>
        <w:ind w:firstLine="864"/>
        <w:spacing w:after="0" w:line="268" w:lineRule="auto"/>
        <w:rPr>
          <w:sz w:val="20"/>
          <w:szCs w:val="20"/>
          <w:color w:val="auto"/>
        </w:rPr>
      </w:pPr>
      <w:r>
        <w:rPr>
          <w:rFonts w:ascii="Times New Roman" w:cs="Times New Roman" w:eastAsia="Times New Roman" w:hAnsi="Times New Roman"/>
          <w:sz w:val="12"/>
          <w:szCs w:val="12"/>
          <w:b w:val="1"/>
          <w:bCs w:val="1"/>
          <w:color w:val="auto"/>
        </w:rPr>
        <w:t>(e)            </w:t>
      </w:r>
      <w:r>
        <w:rPr>
          <w:rFonts w:ascii="Times New Roman" w:cs="Times New Roman" w:eastAsia="Times New Roman" w:hAnsi="Times New Roman"/>
          <w:sz w:val="12"/>
          <w:szCs w:val="12"/>
          <w:color w:val="auto"/>
        </w:rPr>
        <w:t>The Company is not currently bound by or subject to (and none of its assets or properties is bound by or subject to) any Contract, with any labor union, and, in the past three (3) years, no labor union has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requested or, to the knowledge of the Company, has sought to represent any of the employees of the Company (in their capacities as such). There is no strike or other labor dispute involving the Company pending, or to the Company’s knowledge, threatened, which could have a Company Material Adverse Effect, nor is the Company currently aware of any labor organization activity involving its employees.</w:t>
      </w:r>
    </w:p>
    <w:p>
      <w:pPr>
        <w:spacing w:after="0" w:line="114"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b w:val="1"/>
          <w:bCs w:val="1"/>
          <w:color w:val="auto"/>
        </w:rPr>
        <w:t>(f)            </w:t>
      </w:r>
      <w:r>
        <w:rPr>
          <w:rFonts w:ascii="Times New Roman" w:cs="Times New Roman" w:eastAsia="Times New Roman" w:hAnsi="Times New Roman"/>
          <w:sz w:val="12"/>
          <w:szCs w:val="12"/>
          <w:color w:val="auto"/>
        </w:rPr>
        <w:t>Except as set forth on Section 3.14(f) of the Company Disclosure Schedules, to the Company’s knowledge, none of the Key Persons or directors of the Company has been (i) subject to voluntary or involuntary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petition under the federal bankruptcy laws or any state insolvency law or the appointment of a receiver, fiscal agent or similar officer by a court for his business or property; (ii) convicted in a criminal proceeding or named as a subject of a pending criminal proceeding (excluding traffic violations and other minor offenses); (iii) subject to any order, judgment or decree (not subsequently reversed, suspended, or vacated) of any court of competent jurisdiction permanently or temporarily enjoining him or her from engaging, or otherwise imposing limits or conditions on his engagement in any securities, investment advisory, banking, insurance, or other type of business or acting as an officer or director of a public company; or (iv) found by a court of competent jurisdiction in a civil action or by the Securities and Exchange Commission or the Commodity Futures Trading Commission to have violated any federal or state securities, commodities, or unfair trade practices law, which such judgment or finding has not been subsequently reversed, suspended, or vacated.</w:t>
      </w:r>
    </w:p>
    <w:p>
      <w:pPr>
        <w:spacing w:after="0" w:line="121"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Section 3.15        Insurance</w:t>
      </w:r>
      <w:r>
        <w:rPr>
          <w:rFonts w:ascii="Times New Roman" w:cs="Times New Roman" w:eastAsia="Times New Roman" w:hAnsi="Times New Roman"/>
          <w:sz w:val="12"/>
          <w:szCs w:val="12"/>
          <w:color w:val="auto"/>
        </w:rPr>
        <w:t>. Section 3.15 of the Company Disclosure Schedules sets forth a list of all material policies of fire, liability, workers’ compensation, property, casualty and other forms of insurance owned or held by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any Group Company as of the date of this Agreement. Except as set forth on Section 3.15 of the Company Disclosure Schedules, all such policies are in full force and effect, all premiums due and payable thereon as of the date of this Agreement have been paid in full as of the date of this Agreement, and true and complete copies of all such policies have been made available to CGC. As of the date of this Agreement, no claim by any Group Company is pending under any such policies as to which coverage has been denied or disputed, or rights reserved to do so, by the underwriters thereof, except as is not and would not reasonably be expected to be, individually or in the aggregate, material to the Group Companies, taken as a whole.</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3.16        Tax Matters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Each Group Company has prepared and filed all income and other material Tax Returns required to have been filed by it, all such Tax Returns are true and complete in all material respects and prepared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compliance in all material respects with all applicable Laws and Orders, and each Group Company has paid all material Taxes required to have been paid by it regardless of whether shown on a Tax Return.</w:t>
      </w:r>
    </w:p>
    <w:p>
      <w:pPr>
        <w:spacing w:after="0" w:line="103" w:lineRule="exact"/>
        <w:rPr>
          <w:sz w:val="20"/>
          <w:szCs w:val="20"/>
          <w:color w:val="auto"/>
        </w:rPr>
      </w:pPr>
    </w:p>
    <w:p>
      <w:pPr>
        <w:jc w:val="both"/>
        <w:ind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Each Group Company has timely withheld and paid to the appropriate Tax Authority all material amounts required to have been withheld and paid in connection with amounts paid or owing to any employee,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individual independent contractor, other service providers, equity interest holder or other third party.</w:t>
      </w:r>
    </w:p>
    <w:p>
      <w:pPr>
        <w:spacing w:after="0" w:line="103" w:lineRule="exact"/>
        <w:rPr>
          <w:sz w:val="20"/>
          <w:szCs w:val="20"/>
          <w:color w:val="auto"/>
        </w:rPr>
      </w:pPr>
    </w:p>
    <w:p>
      <w:pPr>
        <w:jc w:val="both"/>
        <w:ind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No Group Company is currently the subject of a Tax audit or examination with respect to material Taxes. No Group Company has been informed in writing of the commencement or anticipated commencement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any Tax audit or examination that has not been resolved or completed in each case with respect to material Taxes.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48" w:name="page49"/>
    <w:bookmarkEnd w:id="48"/>
    <w:p>
      <w:pPr>
        <w:jc w:val="both"/>
        <w:ind w:right="20"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(d)            </w:t>
      </w:r>
      <w:r>
        <w:rPr>
          <w:rFonts w:ascii="Times New Roman" w:cs="Times New Roman" w:eastAsia="Times New Roman" w:hAnsi="Times New Roman"/>
          <w:sz w:val="12"/>
          <w:szCs w:val="12"/>
          <w:color w:val="auto"/>
        </w:rPr>
        <w:t>No Group Company has consented to extend or waive the time in which any material Tax may be assessed or collected by any Tax Authority, other than any such extensions or waivers that are no longer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effect or that were extensions of time to file Tax Returns obtained in the ordinary course of business.</w:t>
      </w:r>
    </w:p>
    <w:p>
      <w:pPr>
        <w:spacing w:after="0" w:line="103" w:lineRule="exact"/>
        <w:rPr>
          <w:sz w:val="20"/>
          <w:szCs w:val="20"/>
          <w:color w:val="auto"/>
        </w:rPr>
      </w:pPr>
    </w:p>
    <w:p>
      <w:pPr>
        <w:jc w:val="both"/>
        <w:ind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(e)            </w:t>
      </w:r>
      <w:r>
        <w:rPr>
          <w:rFonts w:ascii="Times New Roman" w:cs="Times New Roman" w:eastAsia="Times New Roman" w:hAnsi="Times New Roman"/>
          <w:sz w:val="12"/>
          <w:szCs w:val="12"/>
          <w:color w:val="auto"/>
        </w:rPr>
        <w:t>No “closing agreement” as described in Section 7121 of the Code (or any corresponding or similar provision of state, local or non-U.S. income Tax Law), private letter rulings, technical advice memoranda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similar agreements or rulings have been entered into or issued by any Tax Authority with respect to a Group Company which agreement or ruling would be effective after the Closing Date.</w:t>
      </w:r>
    </w:p>
    <w:p>
      <w:pPr>
        <w:spacing w:after="0" w:line="103" w:lineRule="exact"/>
        <w:rPr>
          <w:sz w:val="20"/>
          <w:szCs w:val="20"/>
          <w:color w:val="auto"/>
        </w:rPr>
      </w:pPr>
    </w:p>
    <w:p>
      <w:pPr>
        <w:jc w:val="both"/>
        <w:ind w:right="20"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(f)            </w:t>
      </w:r>
      <w:r>
        <w:rPr>
          <w:rFonts w:ascii="Times New Roman" w:cs="Times New Roman" w:eastAsia="Times New Roman" w:hAnsi="Times New Roman"/>
          <w:sz w:val="12"/>
          <w:szCs w:val="12"/>
          <w:color w:val="auto"/>
        </w:rPr>
        <w:t>No Group Company is or has been a party to any “listed transaction” as defined in Section 6707A of the Code and Treasury Regulations Section 1.6011-4 (or any corresponding or similar provision of state, local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or non-U.S. income Tax Law).</w:t>
      </w:r>
    </w:p>
    <w:p>
      <w:pPr>
        <w:spacing w:after="0" w:line="10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b w:val="1"/>
          <w:bCs w:val="1"/>
          <w:color w:val="auto"/>
        </w:rPr>
        <w:t>(g)            </w:t>
      </w:r>
      <w:r>
        <w:rPr>
          <w:rFonts w:ascii="Times New Roman" w:cs="Times New Roman" w:eastAsia="Times New Roman" w:hAnsi="Times New Roman"/>
          <w:sz w:val="12"/>
          <w:szCs w:val="12"/>
          <w:color w:val="auto"/>
        </w:rPr>
        <w:t>There are no Liens for material Taxes on any assets of the Group Companies other than Permitted Liens.</w:t>
      </w:r>
    </w:p>
    <w:p>
      <w:pPr>
        <w:spacing w:after="0" w:line="150" w:lineRule="exact"/>
        <w:rPr>
          <w:sz w:val="20"/>
          <w:szCs w:val="20"/>
          <w:color w:val="auto"/>
        </w:rPr>
      </w:pPr>
    </w:p>
    <w:p>
      <w:pPr>
        <w:jc w:val="both"/>
        <w:ind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(h)            </w:t>
      </w:r>
      <w:r>
        <w:rPr>
          <w:rFonts w:ascii="Times New Roman" w:cs="Times New Roman" w:eastAsia="Times New Roman" w:hAnsi="Times New Roman"/>
          <w:sz w:val="12"/>
          <w:szCs w:val="12"/>
          <w:color w:val="auto"/>
        </w:rPr>
        <w:t>During the two (2)-year period ending on the date of this Agreement, no Group Company was a distributing corporation or a controlled corporation in a transaction purported or intended to be governed by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Section 355 of the Code.</w:t>
      </w:r>
    </w:p>
    <w:p>
      <w:pPr>
        <w:spacing w:after="0" w:line="103" w:lineRule="exact"/>
        <w:rPr>
          <w:sz w:val="20"/>
          <w:szCs w:val="20"/>
          <w:color w:val="auto"/>
        </w:rPr>
      </w:pPr>
    </w:p>
    <w:p>
      <w:pPr>
        <w:jc w:val="both"/>
        <w:ind w:firstLine="864"/>
        <w:spacing w:after="0" w:line="268" w:lineRule="auto"/>
        <w:rPr>
          <w:sz w:val="20"/>
          <w:szCs w:val="20"/>
          <w:color w:val="auto"/>
        </w:rPr>
      </w:pPr>
      <w:r>
        <w:rPr>
          <w:rFonts w:ascii="Times New Roman" w:cs="Times New Roman" w:eastAsia="Times New Roman" w:hAnsi="Times New Roman"/>
          <w:sz w:val="12"/>
          <w:szCs w:val="12"/>
          <w:b w:val="1"/>
          <w:bCs w:val="1"/>
          <w:color w:val="auto"/>
        </w:rPr>
        <w:t>(i)            </w:t>
      </w:r>
      <w:r>
        <w:rPr>
          <w:rFonts w:ascii="Times New Roman" w:cs="Times New Roman" w:eastAsia="Times New Roman" w:hAnsi="Times New Roman"/>
          <w:sz w:val="12"/>
          <w:szCs w:val="12"/>
          <w:color w:val="auto"/>
        </w:rPr>
        <w:t>No Group Company (i) has been a member of an affiliated group filing a consolidated federal income Tax Return (other than a group the common parent of which was a Group Company or any of its current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Affiliates) or (ii) has any material Liability for the Taxes of any Person (other than a Group Company or any of its current Affiliates) under Section 1.1502-6 of the Treasury Regulations (or any similar provision of state, local or non-United States Law), as a transferee or successor or by Contract (other than any Contract the principal purpose of which does not relate to Taxes).</w:t>
      </w:r>
    </w:p>
    <w:p>
      <w:pPr>
        <w:spacing w:after="0" w:line="114" w:lineRule="exact"/>
        <w:rPr>
          <w:sz w:val="20"/>
          <w:szCs w:val="20"/>
          <w:color w:val="auto"/>
        </w:rPr>
      </w:pPr>
    </w:p>
    <w:p>
      <w:pPr>
        <w:jc w:val="both"/>
        <w:ind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(j)            </w:t>
      </w:r>
      <w:r>
        <w:rPr>
          <w:rFonts w:ascii="Times New Roman" w:cs="Times New Roman" w:eastAsia="Times New Roman" w:hAnsi="Times New Roman"/>
          <w:sz w:val="12"/>
          <w:szCs w:val="12"/>
          <w:color w:val="auto"/>
        </w:rPr>
        <w:t>No written claims have ever been made by any Tax Authority in a jurisdiction where a Group Company does not file Tax Returns that such Group Company is or may be subject to taxation by that jurisdiction,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which claims have not been resolved or withdrawn.</w:t>
      </w:r>
    </w:p>
    <w:p>
      <w:pPr>
        <w:spacing w:after="0" w:line="103" w:lineRule="exact"/>
        <w:rPr>
          <w:sz w:val="20"/>
          <w:szCs w:val="20"/>
          <w:color w:val="auto"/>
        </w:rPr>
      </w:pPr>
    </w:p>
    <w:p>
      <w:pPr>
        <w:jc w:val="both"/>
        <w:ind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(k)           </w:t>
      </w:r>
      <w:r>
        <w:rPr>
          <w:rFonts w:ascii="Times New Roman" w:cs="Times New Roman" w:eastAsia="Times New Roman" w:hAnsi="Times New Roman"/>
          <w:sz w:val="12"/>
          <w:szCs w:val="12"/>
          <w:color w:val="auto"/>
        </w:rPr>
        <w:t>No Group Company is a party to any Tax allocation, Tax sharing or Tax indemnity or similar agreements (other than one that is included in a Contract entered into in the ordinary course of business that is not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primarily related to Taxes) and no Group Company is a party to any joint venture, partnership or other arrangement that is treated as a partnership for U.S. federal income Tax purposes.</w:t>
      </w:r>
    </w:p>
    <w:p>
      <w:pPr>
        <w:spacing w:after="0" w:line="10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b w:val="1"/>
          <w:bCs w:val="1"/>
          <w:color w:val="auto"/>
        </w:rPr>
        <w:t>(l)            </w:t>
      </w:r>
      <w:r>
        <w:rPr>
          <w:rFonts w:ascii="Times New Roman" w:cs="Times New Roman" w:eastAsia="Times New Roman" w:hAnsi="Times New Roman"/>
          <w:sz w:val="12"/>
          <w:szCs w:val="12"/>
          <w:color w:val="auto"/>
        </w:rPr>
        <w:t>Each Group Company is tax resident only in its jurisdiction of formation.</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b w:val="1"/>
          <w:bCs w:val="1"/>
          <w:color w:val="auto"/>
        </w:rPr>
        <w:t>(m)          </w:t>
      </w:r>
      <w:r>
        <w:rPr>
          <w:rFonts w:ascii="Times New Roman" w:cs="Times New Roman" w:eastAsia="Times New Roman" w:hAnsi="Times New Roman"/>
          <w:sz w:val="12"/>
          <w:szCs w:val="12"/>
          <w:color w:val="auto"/>
        </w:rPr>
        <w:t>No Group Company has a permanent establishment (within the meaning of an applicable Tax treaty) or otherwise has an office or fixed place of business in a country other than the country in which it 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organized.</w:t>
      </w:r>
    </w:p>
    <w:p>
      <w:pPr>
        <w:spacing w:after="0" w:line="135"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b w:val="1"/>
          <w:bCs w:val="1"/>
          <w:color w:val="auto"/>
        </w:rPr>
        <w:t>(n)           </w:t>
      </w:r>
      <w:r>
        <w:rPr>
          <w:rFonts w:ascii="Times New Roman" w:cs="Times New Roman" w:eastAsia="Times New Roman" w:hAnsi="Times New Roman"/>
          <w:sz w:val="12"/>
          <w:szCs w:val="12"/>
          <w:color w:val="auto"/>
        </w:rPr>
        <w:t>No Group Company has taken or agreed to take any action not contemplated by this Agreement and/or any Ancillary Document that could reasonably be expected to prevent the Merger from qualifying for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Intended Tax Treatment. To the knowledge of the Company, no facts or circumstances exist, other than any facts or circumstances to the extent that such facts or circumstances exist or arise as a result of or related to any act or omission occurring after the signing date of any CGC Party or any of their respective Affiliates not contemplated by this Agreement and/or any of the Ancillary Documents, that could reasonably be expected to prevent the Merger from qualifying for the Intended Tax Treatment.</w:t>
      </w:r>
    </w:p>
    <w:p>
      <w:pPr>
        <w:spacing w:after="0" w:line="117" w:lineRule="exact"/>
        <w:rPr>
          <w:sz w:val="20"/>
          <w:szCs w:val="20"/>
          <w:color w:val="auto"/>
        </w:rPr>
      </w:pPr>
    </w:p>
    <w:p>
      <w:pPr>
        <w:jc w:val="both"/>
        <w:ind w:right="20"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Section 3.17        Brokers</w:t>
      </w:r>
      <w:r>
        <w:rPr>
          <w:rFonts w:ascii="Times New Roman" w:cs="Times New Roman" w:eastAsia="Times New Roman" w:hAnsi="Times New Roman"/>
          <w:sz w:val="12"/>
          <w:szCs w:val="12"/>
          <w:color w:val="auto"/>
        </w:rPr>
        <w:t>. Except for fees (including the amounts due and payable assuming the Closing occurs) set forth on Section 3.17 of the Company Disclosure Schedules (which fees shall be the sole responsibility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Company, except as otherwise provided in Section 8.6), no broker, finder, investment banker or other Person is entitled to any brokerage fee, finders’ fee or other commission in connection with the transactions contemplated by this Agreement based upon arrangements made by or on behalf of the Company or any of its Affiliates for which any of the Group Companies has any obligation.</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49" w:name="page50"/>
    <w:bookmarkEnd w:id="49"/>
    <w:p>
      <w:pPr>
        <w:ind w:left="420"/>
        <w:spacing w:after="0"/>
        <w:rPr>
          <w:sz w:val="20"/>
          <w:szCs w:val="20"/>
          <w:color w:val="auto"/>
        </w:rPr>
      </w:pPr>
      <w:r>
        <w:rPr>
          <w:rFonts w:ascii="Times New Roman" w:cs="Times New Roman" w:eastAsia="Times New Roman" w:hAnsi="Times New Roman"/>
          <w:sz w:val="12"/>
          <w:szCs w:val="12"/>
          <w:b w:val="1"/>
          <w:bCs w:val="1"/>
          <w:color w:val="auto"/>
        </w:rPr>
        <w:t>Section 3.18        Real and Personal Property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b w:val="1"/>
          <w:bCs w:val="1"/>
          <w:color w:val="auto"/>
        </w:rPr>
        <w:t>(a)            Owned Real Property</w:t>
      </w:r>
      <w:r>
        <w:rPr>
          <w:rFonts w:ascii="Times New Roman" w:cs="Times New Roman" w:eastAsia="Times New Roman" w:hAnsi="Times New Roman"/>
          <w:sz w:val="12"/>
          <w:szCs w:val="12"/>
          <w:color w:val="auto"/>
        </w:rPr>
        <w:t>. Section 3.18(a) sets forth a true and complete list of all real property owned by the Group Companies.</w:t>
      </w:r>
    </w:p>
    <w:p>
      <w:pPr>
        <w:spacing w:after="0" w:line="15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b w:val="1"/>
          <w:bCs w:val="1"/>
          <w:color w:val="auto"/>
        </w:rPr>
        <w:t>(b)            Leased Real Property</w:t>
      </w:r>
      <w:r>
        <w:rPr>
          <w:rFonts w:ascii="Times New Roman" w:cs="Times New Roman" w:eastAsia="Times New Roman" w:hAnsi="Times New Roman"/>
          <w:sz w:val="12"/>
          <w:szCs w:val="12"/>
          <w:color w:val="auto"/>
        </w:rPr>
        <w:t>. Section 3.18(b) of the Company Disclosure Schedules sets forth a true and complete list (including street addresses) of all real property leased by any of the Group Companies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Leased Real Property</w:t>
      </w:r>
      <w:r>
        <w:rPr>
          <w:rFonts w:ascii="Times New Roman" w:cs="Times New Roman" w:eastAsia="Times New Roman" w:hAnsi="Times New Roman"/>
          <w:sz w:val="12"/>
          <w:szCs w:val="12"/>
          <w:color w:val="auto"/>
        </w:rPr>
        <w:t>”) and all Real Property Leases pursuant to which any Group Company is a tenant or landlord as of the date of this Agreement. True and complete copies of all such Real Property Leases have been made available to CGC. Each Real Property Lease is in full force and effect and is a valid, legal and binding obligation of the applicable Group Company party thereto, enforceable in accordance with its terms against such Group Company and, to the Company’s knowledge, each other party thereto (subject to applicable bankruptcy, insolvency, reorganization, moratorium or other Laws affecting generally the enforcement of creditors’ rights and subject to general principles of equity). There is no material breach or default by any Group Company or, to the Company’s knowledge, any third party under any Real Property Lease, and, to the Company’s knowledge, no event has occurred which (with or without notice or lapse of time or both) would constitute a material breach or default under any Real Property Lease or would permit termination of, or a material modification or acceleration thereof, by any counterparty to any Real Property Lease. The Group Companies’ possession and quiet enjoyment of the Leased Real Property under any Real Property Lease has not been materially disturbed, and to the Company’s knowledge there are no material disputes with respect to any Real Property Lease. Except as set forth in Section 3.18(b) of the Company Disclosure Schedules, as of the date hereof, no Group Company has (i) subleased, licensed or otherwise granted any Person the right to use or occupy the Leased Real Property or any portion thereof; or (ii) collaterally assigned or granted any other security interest in any Real Property Lease or any interest therein.</w:t>
      </w:r>
    </w:p>
    <w:p>
      <w:pPr>
        <w:spacing w:after="0" w:line="126" w:lineRule="exact"/>
        <w:rPr>
          <w:sz w:val="20"/>
          <w:szCs w:val="20"/>
          <w:color w:val="auto"/>
        </w:rPr>
      </w:pPr>
    </w:p>
    <w:p>
      <w:pPr>
        <w:jc w:val="both"/>
        <w:ind w:right="20"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(c)            Personal Property</w:t>
      </w:r>
      <w:r>
        <w:rPr>
          <w:rFonts w:ascii="Times New Roman" w:cs="Times New Roman" w:eastAsia="Times New Roman" w:hAnsi="Times New Roman"/>
          <w:sz w:val="12"/>
          <w:szCs w:val="12"/>
          <w:color w:val="auto"/>
        </w:rPr>
        <w:t>. Each Group Company has good, marketable and indefeasible title to, or a valid leasehold interest in or license or right to use, all of the material assets and properties of the Group Companies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reflected in the Financial Statements or thereafter acquired by the Group Companies, except for assets disposed of in the ordinary course of business.</w:t>
      </w:r>
    </w:p>
    <w:p>
      <w:pPr>
        <w:spacing w:after="0" w:line="103" w:lineRule="exact"/>
        <w:rPr>
          <w:sz w:val="20"/>
          <w:szCs w:val="20"/>
          <w:color w:val="auto"/>
        </w:rPr>
      </w:pPr>
    </w:p>
    <w:p>
      <w:pPr>
        <w:jc w:val="both"/>
        <w:ind w:firstLine="864"/>
        <w:spacing w:after="0" w:line="268" w:lineRule="auto"/>
        <w:rPr>
          <w:sz w:val="20"/>
          <w:szCs w:val="20"/>
          <w:color w:val="auto"/>
        </w:rPr>
      </w:pPr>
      <w:r>
        <w:rPr>
          <w:rFonts w:ascii="Times New Roman" w:cs="Times New Roman" w:eastAsia="Times New Roman" w:hAnsi="Times New Roman"/>
          <w:sz w:val="12"/>
          <w:szCs w:val="12"/>
          <w:b w:val="1"/>
          <w:bCs w:val="1"/>
          <w:color w:val="auto"/>
        </w:rPr>
        <w:t>(d)            Assets</w:t>
      </w:r>
      <w:r>
        <w:rPr>
          <w:rFonts w:ascii="Times New Roman" w:cs="Times New Roman" w:eastAsia="Times New Roman" w:hAnsi="Times New Roman"/>
          <w:sz w:val="12"/>
          <w:szCs w:val="12"/>
          <w:color w:val="auto"/>
        </w:rPr>
        <w:t>. Immediately after the Effective Time, the assets (which, for the avoidance of doubt, shall include any assets held pursuant to valid leasehold interest, license or other similar interests or right to use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assets) of the Group Companies will constitute all of the assets necessary to conduct the Business immediately after the Closing in materially the same manner (for the Group Companies, taken as a whole) as it is conducted on the date of this Agreement, except as would not have a Company Material Adverse Effect.</w:t>
      </w:r>
    </w:p>
    <w:p>
      <w:pPr>
        <w:spacing w:after="0" w:line="11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b w:val="1"/>
          <w:bCs w:val="1"/>
          <w:color w:val="auto"/>
        </w:rPr>
        <w:t>Section 3.19        Transactions with Affiliates</w:t>
      </w:r>
      <w:r>
        <w:rPr>
          <w:rFonts w:ascii="Times New Roman" w:cs="Times New Roman" w:eastAsia="Times New Roman" w:hAnsi="Times New Roman"/>
          <w:sz w:val="12"/>
          <w:szCs w:val="12"/>
          <w:color w:val="auto"/>
        </w:rPr>
        <w:t>. Section 3.19 of the Company Disclosure Schedules sets forth all Contracts between (a) any Group Company, on the one hand, and (b) any officer, director, employee, partner,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member, manager, direct or indirect equityholder or Affiliate of any Group Company (other than, for the avoidance of doubt, any other Group Company) or any family member of the foregoing Persons, on the other hand (each Person identified in this clause (b), a “</w:t>
      </w:r>
      <w:r>
        <w:rPr>
          <w:rFonts w:ascii="Times New Roman" w:cs="Times New Roman" w:eastAsia="Times New Roman" w:hAnsi="Times New Roman"/>
          <w:sz w:val="12"/>
          <w:szCs w:val="12"/>
          <w:b w:val="1"/>
          <w:bCs w:val="1"/>
          <w:i w:val="1"/>
          <w:iCs w:val="1"/>
          <w:color w:val="auto"/>
        </w:rPr>
        <w:t>Company Related Party</w:t>
      </w:r>
      <w:r>
        <w:rPr>
          <w:rFonts w:ascii="Times New Roman" w:cs="Times New Roman" w:eastAsia="Times New Roman" w:hAnsi="Times New Roman"/>
          <w:sz w:val="12"/>
          <w:szCs w:val="12"/>
          <w:color w:val="auto"/>
        </w:rPr>
        <w:t>”), other than (i) Contracts with respect to a Company Related Party’s employment with (including benefit plans and other ordinary course compensation from) any of the Group Companies entered into in the ordinary course of business, (ii) Contracts with respect to a Company Stockholder’s or a holder of Company Equity Awards’ status as a holder of Equity Securities of the Company and (iii) Contracts entered into after the date of this Agreement that are either permitted pursuant to Section 5.1(b) or entered into in accordance with Section 5.1(b). No Company Related Party (A) owns any interest in any material asset used in any Group Company’s business, or (B) possesses, directly or indirectly, any material financial interest in, or is a director or executive officer of, any Person which is a supplier, vendor, partner, customer, lessor or other material business relation of any Group Company, (C) is a supplier, vendor, (D) owes any material amount to, or is owed any material amount by, any Group Company (other than accrued compensation, employee benefits, employee or director expense reimbursement, in each case, in the ordinary course of business or pursuant to any transaction entered into after the date of this Agreement that is either permitted pursuant to Section 5.1(b) or entered into in accordance with Section 5.1(b)). All Contracts, arrangements, understandings, interests and other matters that are required to be disclosed pursuant to this Section 3.19 are referred to herein as “</w:t>
      </w:r>
      <w:r>
        <w:rPr>
          <w:rFonts w:ascii="Times New Roman" w:cs="Times New Roman" w:eastAsia="Times New Roman" w:hAnsi="Times New Roman"/>
          <w:sz w:val="12"/>
          <w:szCs w:val="12"/>
          <w:b w:val="1"/>
          <w:bCs w:val="1"/>
          <w:i w:val="1"/>
          <w:iCs w:val="1"/>
          <w:color w:val="auto"/>
        </w:rPr>
        <w:t>Company Related Party Transactions</w:t>
      </w:r>
      <w:r>
        <w:rPr>
          <w:rFonts w:ascii="Times New Roman" w:cs="Times New Roman" w:eastAsia="Times New Roman" w:hAnsi="Times New Roman"/>
          <w:sz w:val="12"/>
          <w:szCs w:val="12"/>
          <w:color w:val="auto"/>
        </w:rPr>
        <w:t>”.</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50" w:name="page51"/>
    <w:bookmarkEnd w:id="50"/>
    <w:p>
      <w:pPr>
        <w:ind w:left="428"/>
        <w:spacing w:after="0"/>
        <w:rPr>
          <w:sz w:val="20"/>
          <w:szCs w:val="20"/>
          <w:color w:val="auto"/>
        </w:rPr>
      </w:pPr>
      <w:r>
        <w:rPr>
          <w:rFonts w:ascii="Times New Roman" w:cs="Times New Roman" w:eastAsia="Times New Roman" w:hAnsi="Times New Roman"/>
          <w:sz w:val="12"/>
          <w:szCs w:val="12"/>
          <w:b w:val="1"/>
          <w:bCs w:val="1"/>
          <w:color w:val="auto"/>
        </w:rPr>
        <w:t>Section 3.20        Data Privacy and Security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4"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Each Group Company has implemented written policies relating to the Processing of Personal Data as and to the extent required by applicable Law (“</w:t>
      </w:r>
      <w:r>
        <w:rPr>
          <w:rFonts w:ascii="Times New Roman" w:cs="Times New Roman" w:eastAsia="Times New Roman" w:hAnsi="Times New Roman"/>
          <w:sz w:val="12"/>
          <w:szCs w:val="12"/>
          <w:b w:val="1"/>
          <w:bCs w:val="1"/>
          <w:i w:val="1"/>
          <w:iCs w:val="1"/>
          <w:color w:val="auto"/>
        </w:rPr>
        <w:t>Privacy and Data Security Policies</w:t>
      </w:r>
      <w:r>
        <w:rPr>
          <w:rFonts w:ascii="Times New Roman" w:cs="Times New Roman" w:eastAsia="Times New Roman" w:hAnsi="Times New Roman"/>
          <w:sz w:val="12"/>
          <w:szCs w:val="12"/>
          <w:color w:val="auto"/>
        </w:rPr>
        <w:t>”). In connection with its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collection, storage, use and/or disclosure of any information that constitutes “personal information,” “personal data” or “personally identifiable information” as defined in applicable laws (collectively “</w:t>
      </w:r>
      <w:r>
        <w:rPr>
          <w:rFonts w:ascii="Times New Roman" w:cs="Times New Roman" w:eastAsia="Times New Roman" w:hAnsi="Times New Roman"/>
          <w:sz w:val="12"/>
          <w:szCs w:val="12"/>
          <w:b w:val="1"/>
          <w:bCs w:val="1"/>
          <w:color w:val="auto"/>
        </w:rPr>
        <w:t>Personal Information</w:t>
      </w:r>
      <w:r>
        <w:rPr>
          <w:rFonts w:ascii="Times New Roman" w:cs="Times New Roman" w:eastAsia="Times New Roman" w:hAnsi="Times New Roman"/>
          <w:sz w:val="12"/>
          <w:szCs w:val="12"/>
          <w:color w:val="auto"/>
        </w:rPr>
        <w:t>”) by or on behalf of the Company, the Company is and has been in compliance in all material respects with (i) all applicable laws (including, without limitation, laws relating to privacy, data security, telephone and text message communications, and marketing by email or other channels) in all relevant jurisdictions, (ii) the Company’s privacy policies and public statements written by the Company regarding its privacy or data security practices and (iii) the requirements of any contract codes of conduct or industry standards by which the Company is a party. The Company maintains and has maintained since the Lookback Date reasonable physical, technical, and administrative security measures and policies designed to protect all Personal Information owned, stored, used, maintained or controlled by or on behalf of the Company from and against unlawful, accidental or unauthorized access, destruction, loss, use, modification and/or disclosure. The Company is, and since the Lookback Date has been, in compliance in all material respects with all laws relating to data loss, theft and breach of security notification obligations. Since the Lookback Date, to the Company’s knowledge, there has been no occurrence of (x) unlawful, accidental or unauthorized destruction, loss, use, modification or disclosure of or access to Personal Information owned, stored, used, maintained or controlled by or on behalf of the Company such that applicable law requires or required the Company to notify government authorities, affected individuals or other parties of such occurrence or (y) unauthorized access to or disclosure of the Company’s confidential information or trade secrets that reasonably would be expected to result in a Company Material Adverse Effect.</w:t>
      </w:r>
    </w:p>
    <w:p>
      <w:pPr>
        <w:spacing w:after="0" w:line="124" w:lineRule="exact"/>
        <w:rPr>
          <w:sz w:val="20"/>
          <w:szCs w:val="20"/>
          <w:color w:val="auto"/>
        </w:rPr>
      </w:pPr>
    </w:p>
    <w:p>
      <w:pPr>
        <w:jc w:val="both"/>
        <w:ind w:left="8" w:firstLine="864"/>
        <w:spacing w:after="0" w:line="262"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In connection with its collection, storage, transfer (including without limitation, any transfer across national borders) and/or use of any Personal Information, the Company is, and since the Lookback Date has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been, to the Company’s knowledge, in compliance in all material respects with all applicable laws in all relevant jurisdictions, the Company’s privacy policies, and the requirements of any contract or codes of conduct to which the Company is a party. The Company has commercially reasonable physical, technical, organizational and administrative security measures and policies in place to protect all Personal Information collected by it or on its behalf from and against unauthorized access, use and/or disclosure. The Company is, and since the Lookback Date has been, in compliance in all material respects with all laws relating to data loss, theft and breach of security notification obligations.</w:t>
      </w:r>
    </w:p>
    <w:p>
      <w:pPr>
        <w:spacing w:after="0" w:line="11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color w:val="auto"/>
        </w:rPr>
        <w:t>Section 3.21        Compliance with International Trade &amp; Anti-Corruption Laws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6"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The Company has conducted all export transactions in all material respects in accordance with applicable provisions of United States export control laws and regulations, including the Export Administration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Regulations, the International Traffic in Arms Regulations, the regulations administered by the Office of Foreign Assets Control of the U.S. Treasury Department, and the export control laws and regulations of any other applicable jurisdiction. Without limiting the foregoing: (a) the Company has obtained all export licenses and other approvals, timely filed all required filings and has assigned the appropriate export classifications to all products, in each case as required for its exports of products, software and technologies from the United States and any other applicable jurisdiction; (b) the Company is in compliance in all material respects with the terms of all applicable export licenses, classifications, filing requirements or other approvals; (c) there are no pending or, to the knowledge of the Company, threatened claims against the Company with respect to such exports, classifications, required filings or other approvals; (d) there are no pending investigations related to the Company’s exports; and (e) there are no actions, conditions, or circumstances pertaining to the Company’s export transactions that would reasonably be expected to give rise to any material future claims.</w:t>
      </w:r>
    </w:p>
    <w:p>
      <w:pPr>
        <w:spacing w:after="0" w:line="122" w:lineRule="exact"/>
        <w:rPr>
          <w:sz w:val="20"/>
          <w:szCs w:val="20"/>
          <w:color w:val="auto"/>
        </w:rPr>
      </w:pPr>
    </w:p>
    <w:p>
      <w:pPr>
        <w:jc w:val="both"/>
        <w:ind w:left="8" w:firstLine="864"/>
        <w:spacing w:after="0" w:line="282" w:lineRule="auto"/>
        <w:rPr>
          <w:sz w:val="20"/>
          <w:szCs w:val="20"/>
          <w:color w:val="auto"/>
        </w:rPr>
      </w:pPr>
      <w:r>
        <w:rPr>
          <w:rFonts w:ascii="Times New Roman" w:cs="Times New Roman" w:eastAsia="Times New Roman" w:hAnsi="Times New Roman"/>
          <w:sz w:val="11"/>
          <w:szCs w:val="11"/>
          <w:b w:val="1"/>
          <w:bCs w:val="1"/>
          <w:color w:val="auto"/>
        </w:rPr>
        <w:t>(b)            </w:t>
      </w:r>
      <w:r>
        <w:rPr>
          <w:rFonts w:ascii="Times New Roman" w:cs="Times New Roman" w:eastAsia="Times New Roman" w:hAnsi="Times New Roman"/>
          <w:sz w:val="11"/>
          <w:szCs w:val="11"/>
          <w:color w:val="auto"/>
        </w:rPr>
        <w:t>Neither the Company nor any of the Company’s directors, officers, employees or agents have, directly or indirectly, made, offered, promised or authorized any payment or gift of any money or anything of value</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to or for the benefit of any “foreign official” (as such term is defined in the U.S. Foreign Corrupt Practices Act of 1977, as amended (the “</w:t>
      </w:r>
      <w:r>
        <w:rPr>
          <w:rFonts w:ascii="Times New Roman" w:cs="Times New Roman" w:eastAsia="Times New Roman" w:hAnsi="Times New Roman"/>
          <w:sz w:val="11"/>
          <w:szCs w:val="11"/>
          <w:b w:val="1"/>
          <w:bCs w:val="1"/>
          <w:color w:val="auto"/>
        </w:rPr>
        <w:t>FCPA</w:t>
      </w:r>
      <w:r>
        <w:rPr>
          <w:rFonts w:ascii="Times New Roman" w:cs="Times New Roman" w:eastAsia="Times New Roman" w:hAnsi="Times New Roman"/>
          <w:sz w:val="11"/>
          <w:szCs w:val="11"/>
          <w:color w:val="auto"/>
        </w:rPr>
        <w:t>”)), foreign political party or official thereof or candidate for foreign political office for the purpose of (i) influencing any official act or decision of such official, party or candidate, (ii) inducing such official, party or candidate to use his, her or its influence to affect any act or decision of a foreign governmental authority, or</w:t>
      </w:r>
    </w:p>
    <w:p>
      <w:pPr>
        <w:spacing w:after="0" w:line="1" w:lineRule="exact"/>
        <w:rPr>
          <w:sz w:val="20"/>
          <w:szCs w:val="20"/>
          <w:color w:val="auto"/>
        </w:rPr>
      </w:pPr>
    </w:p>
    <w:p>
      <w:pPr>
        <w:jc w:val="both"/>
        <w:ind w:left="8" w:hanging="8"/>
        <w:spacing w:after="0" w:line="252" w:lineRule="auto"/>
        <w:tabs>
          <w:tab w:leader="none" w:pos="222"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securing any improper advantage, in the case of (i), (ii) and (iii) above in order to assist the Company or any of its affiliates in obtaining or retaining business for or with, or directing business to, any person. Neither the Company nor any of its directors, officers, employees or agents have made or authorized any bribe, rebate, payoff, influence payment, kickback or other unlawful payment of funds or received or retained any funds in violation of any law, rule or regulation. The Company further represents that it has maintained, and has caused each of its subsidiaries to maintain, systems of internal controls (including, but not limited to, accounting systems, purchasing systems and billing systems) and written policies to ensure compliance with the FCPA or any other applicable anti-bribery or anti-corruption law and to ensure that all books and records of the Company accurately and fairly reflect, in reasonable detail, all transactions and dispositions of funds and assets. Neither the Company, or, to the Company’s knowledge, any of its officers, directors or employees are the subject of any allegation, voluntary disclosure, investigation, prosecution or other enforcement action related to the FCPA or any other anti-corruption law.</w:t>
      </w:r>
    </w:p>
    <w:p>
      <w:pPr>
        <w:spacing w:after="0" w:line="27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51" w:name="page52"/>
    <w:bookmarkEnd w:id="51"/>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Section 3.22        Information Supplied</w:t>
      </w:r>
      <w:r>
        <w:rPr>
          <w:rFonts w:ascii="Times New Roman" w:cs="Times New Roman" w:eastAsia="Times New Roman" w:hAnsi="Times New Roman"/>
          <w:sz w:val="12"/>
          <w:szCs w:val="12"/>
          <w:color w:val="auto"/>
        </w:rPr>
        <w:t>. None of the information supplied or to be supplied by or on behalf of the Group Companies expressly for inclusion or incorporation by reference prior to the Closing in the Registration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Statement / Proxy Statement will, when the Registration Statement / Proxy Statement is declared effective or when the Registration Statement / Proxy Statement is mailed to the Pre-Closing CGC Holders or at the time of the CGC Shareholders Meeting, and in the case of any amendment thereto, at the time of such amendment, contain any untrue statement of a material fact or omit to state any material fact required to be stated therein or necessary in order to make the statements therein, in light of the circumstances under which they are made, not misleading.</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3.23        Investigation; No Other Representations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The Company, on its own behalf and on behalf of its Representatives, acknowledges, represents, warrants and agrees that (i) it has conducted its own independent review and analysis of, and, based thereon, has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formed an independent judgment concerning, the business, assets, condition, operations and prospects of, the CGC Parties and (ii) it has been furnished with or given access to such documents and information about the CGC Parties and their respective businesses and operations as it and its Representatives have deemed necessary to enable it to make an informed decision with respect to the execution, delivery and performance of this Agreement, the Ancillary Documents and the transactions contemplated hereby and thereby.</w:t>
      </w:r>
    </w:p>
    <w:p>
      <w:pPr>
        <w:spacing w:after="0" w:line="117"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In entering into this Agreement and the Ancillary Documents to which it is or will be a party, the Company has relied solely on its own investigation and analysis and the representations and warranties expressly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set forth in Article 4 and in the Ancillary Documents to which it is or will be a party and no other representations or warranties of any CGC Party, any CGC Non-Party Affiliate or any other Person, either express or implied, and the Company, on its own behalf and on behalf of its Representatives, acknowledges, represents, warrants and agrees that, except for the representations and warranties expressly set forth in Article 4 and in the Ancillary Documents to which it is or will be a party, none of the CGC Parties, any CGC Non-Party Affiliate or any other Person makes or has made any representation or warranty, either express or implied, in connection with or related to this Agreement, the Ancillary Documents or the transactions contemplated hereby or thereby.</w:t>
      </w:r>
    </w:p>
    <w:p>
      <w:pPr>
        <w:spacing w:after="0" w:line="119"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b w:val="1"/>
          <w:bCs w:val="1"/>
          <w:color w:val="auto"/>
        </w:rPr>
        <w:t>Section 3.24        EXCLUSIVITY OF REPRESENTATIONS AND WARRANTIES</w:t>
      </w:r>
      <w:r>
        <w:rPr>
          <w:rFonts w:ascii="Times New Roman" w:cs="Times New Roman" w:eastAsia="Times New Roman" w:hAnsi="Times New Roman"/>
          <w:sz w:val="12"/>
          <w:szCs w:val="12"/>
          <w:color w:val="auto"/>
        </w:rPr>
        <w:t>. NOTWITHSTANDING THE DELIVERY OR DISCLOSURE TO ANY CGC PARTY OR ANY OF THEIR RESPECTIVE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REPRESENTATIVES OF ANY DOCUMENTATION OR OTHER INFORMATION (INCLUDING ANY FINANCIAL PROJECTIONS OR OTHER SUPPLEMENTAL DATA), EXCEPT AS OTHERWISE EXPRESSLY SET FORTH IN THIS ARTICLE 3 OR THE ANCILLARY DOCUMENTS, NEITHER THE COMPANY NOR ANY OTHER PERSON MAKES, AND THE COMPANY EXPRESSLY DISCLAIMS, ANY REPRESENTATIONS OR WARRANTIES OF ANY KIND OR NATURE, EXPRESS OR IMPLIED, IN CONNECTION WITH THIS AGREEMENT, THE ANCILLARY DOCUMENTS OR ANY OF THE TRANSACTIONS CONTEMPLATED HEREBY OR THEREBY, INCLUDING AS TO THE MATERIALS RELATING TO THE BUSINESS AND AFFAIRS OR HOLDINGS OF THE GROUP COMPANIES THAT HAVE BEEN MADE AVAILABLE TO ANY CGC PARTY OR ANY OF THEIR REPRESENTATIVES OR IN ANY PRESENTATION OF THE BUSINESS AND AFFAIRS OF THE GROUP COMPANIES BY THE MANAGEMENT OF THE COMPANY OR OTHERS IN CONNECTION WITH THE TRANSACTIONS CONTEMPLATED HEREBY OR BY THE ANCILLARY DOCUMENTS, AND NO STATEMENT CONTAINED IN ANY OF SUCH MATERIALS OR MADE IN ANY SUCH PRESENTATION SHALL BE DEEMED A REPRESENTATION OR WARRANTY HEREUNDER OR OTHERWISE OR DEEMED TO BE RELIED UPON BY ANY CGC PARTY IN EXECUTING, DELIVERING AND PERFORMING THIS AGREEMENT, THE ANCILLARY DOCUMENTS OR THE TRANSACTIONS CONTEMPLATED HEREBY OR THEREBY. EXCEPT FOR THE REPRESENTATIONS AND WARRANTIES EXPRESSLY SET FORTH IN THIS ARTICLE 3 OR THE ANCILLARY DOCUMENTS, IT IS UNDERSTOOD THAT ANY COST ESTIMATES, PROJECTIONS OR OTHER PREDICTIONS, ANY DATA, ANY FINANCIAL INFORMATION OR ANY MEMORANDA OR OFFERING MATERIALS OR PRESENTATIONS, INCLUDING ANY OFFERING MEMORANDUM OR SIMILAR MATERIALS MADE AVAILABLE BY OR ON BEHALF OF ANY GROUP COMPANY ARE NOT AND SHALL NOT BE DEEMED TO BE OR TO INCLUDE REPRESENTATIONS OR WARRANTIES OF THE COMPANY OR ANY OTHER PERSON, AND ARE NOT AND SHALL NOT BE DEEMED TO BE RELIED UPON BY ANY CGC PARTY IN EXECUTING, DELIVERING OR PERFORMING THIS AGREEMENT, THE ANCILLARY DOCUMENTS OR THE TRANSACTIONS CONTEMPLATED HEREBY OR THEREBY.</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2"/>
          <w:szCs w:val="12"/>
          <w:b w:val="1"/>
          <w:bCs w:val="1"/>
          <w:color w:val="auto"/>
        </w:rPr>
        <w:t>ARTICLE 4</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REPRESENTATIONS AND WARRANTIES RELATING TO THE CGC PARTIES</w:t>
      </w:r>
    </w:p>
    <w:p>
      <w:pPr>
        <w:spacing w:after="0" w:line="135"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Subject to Section 8.8, except (a) as set forth on the CGC Disclosure Schedules, or (b) except as set forth in any CGC SEC Reports (excluding any disclosures in any “</w:t>
      </w:r>
      <w:r>
        <w:rPr>
          <w:rFonts w:ascii="Times New Roman" w:cs="Times New Roman" w:eastAsia="Times New Roman" w:hAnsi="Times New Roman"/>
          <w:sz w:val="12"/>
          <w:szCs w:val="12"/>
          <w:b w:val="1"/>
          <w:bCs w:val="1"/>
          <w:i w:val="1"/>
          <w:iCs w:val="1"/>
          <w:color w:val="auto"/>
        </w:rPr>
        <w:t>risk factors</w:t>
      </w:r>
      <w:r>
        <w:rPr>
          <w:rFonts w:ascii="Times New Roman" w:cs="Times New Roman" w:eastAsia="Times New Roman" w:hAnsi="Times New Roman"/>
          <w:sz w:val="12"/>
          <w:szCs w:val="12"/>
          <w:color w:val="auto"/>
        </w:rPr>
        <w:t>” section that do not constitute statements of fact, disclosures in any forward-looking statements disclaimers and other disclosures that are generally cautionary, predictive or forward-looking in nature), each CGC Party, jointly and not severally, hereby represents and warrants to the Company, in each case, as of the date of this Agreement and as of the Closing Date, as follows:</w:t>
      </w:r>
    </w:p>
    <w:p>
      <w:pPr>
        <w:spacing w:after="0" w:line="114"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Section 4.1        Organization and Qualification</w:t>
      </w:r>
      <w:r>
        <w:rPr>
          <w:rFonts w:ascii="Times New Roman" w:cs="Times New Roman" w:eastAsia="Times New Roman" w:hAnsi="Times New Roman"/>
          <w:sz w:val="12"/>
          <w:szCs w:val="12"/>
          <w:color w:val="auto"/>
        </w:rPr>
        <w:t>. Each CGC Party is an exempted company, corporation, limited liability company or other applicable business entity duly organized, incorporated or formed, as applicable,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validly existing and in good standing (or the equivalent thereof, if applicable, in each case, with respect to the jurisdictions that recognize the concept of good standing or any equivalent thereof) under the Laws of its jurisdiction of organization, incorporation or formation (as applicable).</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4.2        Authority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Each CGC Party has the requisite exempted company, corporate, limited liability company or other similar power and authority to execute and deliver this Agreement and each of the Ancillary Documents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which it is or will be a party and to consummate the transactions contemplated hereby and thereby. Subject to the receipt of the CGC Shareholder Approval and the approvals and consents to be obtained by Merger Sub pursuant to Section 5.9, the execution and delivery of this Agreement, the Ancillary Documents to which a CGC Party is or will be a party and the consummation of the transactions contemplated hereby and thereby have been (or, in the case of any Ancillary Document entered into after the date of this Agreement, will be upon execution thereof) duly authorized by all necessary exempted company, corporate, limited liability company or other similar action on the part of such CGC Party. This Agreement has been and each Ancillary Document to which a CGC Party is or will be a party will be, upon execution thereof, duly and validly executed and delivered by such CGC Party and constitutes or will constitute, upon execution thereof, as applicable, a valid, legal and binding agreement of such CGC Party (assuming this Agreement has been and the Ancillary Documents to which such CGC Party is or will be a party are or will be, upon execution thereof, as applicable, duly authorized, executed and delivered by the other Persons party hereto or thereto, as applicable), enforceable against such CGC Party in accordance with their terms (subject to applicable bankruptcy, insolvency, reorganization, moratorium or other Laws affecting generally the enforcement of creditors’ rights and subject to general principles of equity).</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4.3        Consents and Requisite Governmental Approvals; No Violations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No consent, approval or authorization of, or designation, declaration or filing with, any Governmental Entity is required on the part of a CGC Party with respect to such CGC Party’s execution, delivery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performance of its obligations under this Agreement or the Ancillary Documents to which it is or will be party or the consummation of the transactions contemplated by hereby or thereby, except for (i) compliance with and filings under the HSR Act, (ii) the filing with the SEC of (A) the Registration Statement / Proxy Statement and the declaration of the effectiveness thereof by the SEC and (B) such reports under Section 13(a) or 15(d) of the Exchange Act as may be required in connection with this Agreement, the Ancillary Documents or the transactions contemplated hereby or thereby, (iii) such filings with and approvals of Nasdaq to permit the CGC Shares to be issued in connection with the transactions contemplated by this Agreement and the other Ancillary Documents to be listed on Nasdaq, (iv) such filings and approvals required in connection with the Domestication, (v) the filing of the Certificate of Merger, (vi) the approvals and consents to be obtained by Merger Sub pursuant to Section 5.9, (vii) the CGC Shareholder Approval or (viii) any other consents, approvals, authorizations, designations, declarations, waivers or filings, the absence of which would not have an CGC Material Adverse Effect.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53" w:name="page54"/>
    <w:bookmarkEnd w:id="53"/>
    <w:p>
      <w:pPr>
        <w:jc w:val="both"/>
        <w:ind w:left="8" w:firstLine="864"/>
        <w:spacing w:after="0" w:line="256"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None of execution or delivery by a CGC Party of this Agreement or any Ancillary Document to which it is or will be a party, the performance by a CGC Party of its obligations hereunder or thereunder or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consummation by a CGC Party of the transactions contemplated hereby or thereby will, directly or indirectly (with or without due notice or lapse of time or both) (i) result in a violation or breach of any provision of the Governing Documents of a CGC Party, (ii) result in a violation or breach of, or constitute a default or give rise to any right of termination, cancellation, amendment, modification, suspension, revocation or acceleration under, any of the terms, conditions or provisions of any Contract to which a CGC Party is a party, (iii) violate, or constitute a breach under, any Order or applicable Law to which any such CGC Party or any of its properties or assets are subject or bound or</w:t>
      </w:r>
    </w:p>
    <w:p>
      <w:pPr>
        <w:spacing w:after="0" w:line="2" w:lineRule="exact"/>
        <w:rPr>
          <w:sz w:val="20"/>
          <w:szCs w:val="20"/>
          <w:color w:val="auto"/>
        </w:rPr>
      </w:pPr>
    </w:p>
    <w:p>
      <w:pPr>
        <w:ind w:left="8" w:right="20" w:hanging="8"/>
        <w:spacing w:after="0" w:line="260" w:lineRule="auto"/>
        <w:tabs>
          <w:tab w:leader="none" w:pos="219"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result in the creation of any Lien upon any of the assets or properties (other than any Permitted Liens) or Equity Securities of a CGC Party, except in the case of any of clauses (ii) through (iv) above, as would not have a CGC Material Adverse Effect.</w:t>
      </w:r>
    </w:p>
    <w:p>
      <w:pPr>
        <w:spacing w:after="0" w:line="118" w:lineRule="exact"/>
        <w:rPr>
          <w:sz w:val="20"/>
          <w:szCs w:val="20"/>
          <w:color w:val="auto"/>
        </w:rPr>
      </w:pPr>
    </w:p>
    <w:p>
      <w:pPr>
        <w:jc w:val="both"/>
        <w:ind w:left="8"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Section 4.4        Brokers</w:t>
      </w:r>
      <w:r>
        <w:rPr>
          <w:rFonts w:ascii="Times New Roman" w:cs="Times New Roman" w:eastAsia="Times New Roman" w:hAnsi="Times New Roman"/>
          <w:sz w:val="12"/>
          <w:szCs w:val="12"/>
          <w:color w:val="auto"/>
        </w:rPr>
        <w:t>. Except for fees (including the amounts due and payable assuming the Closing occurs) set forth on Section 4.4 of the CGC Disclosure Schedules (which fees shall be the sole responsibility of the CGC,</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except as otherwise provided in Section 8.6), no broker, finder, investment banker or other Person is entitled to any brokerage fee, finders’ fee or other commission in connection with the transactions contemplated by this Agreement based upon arrangements made by or on behalf of any CGC Party or any of its Affiliates for which a CGC Party has any obligation.</w:t>
      </w:r>
    </w:p>
    <w:p>
      <w:pPr>
        <w:spacing w:after="0" w:line="114" w:lineRule="exact"/>
        <w:rPr>
          <w:sz w:val="20"/>
          <w:szCs w:val="20"/>
          <w:color w:val="auto"/>
        </w:rPr>
      </w:pPr>
    </w:p>
    <w:p>
      <w:pPr>
        <w:jc w:val="both"/>
        <w:ind w:left="8"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Section 4.5        Information Supplied</w:t>
      </w:r>
      <w:r>
        <w:rPr>
          <w:rFonts w:ascii="Times New Roman" w:cs="Times New Roman" w:eastAsia="Times New Roman" w:hAnsi="Times New Roman"/>
          <w:sz w:val="12"/>
          <w:szCs w:val="12"/>
          <w:color w:val="auto"/>
        </w:rPr>
        <w:t>. None of the information supplied or to be supplied by or on behalf of either CGC Party expressly for inclusion or incorporation by reference prior to the Closing in the Registration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Statement / Proxy Statement will, when the Registration Statement / Proxy Statement is declared effective or when the Registration Statement / Proxy Statement is mailed to the Pre-Closing CGC Holders or at the time of the CGC Shareholders Meeting, and in the case of any amendment thereto, at the time of such amendment, contain any untrue statement of a material fact or omit to state any material fact required to be stated therein or necessary in order to make the statements therein, in light of the circumstances under which they are made, not misleading;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notwithstanding the foregoing provisions of this Section 4.5, no representation or warranty is made by any CGC Party with respect to information or statements made or incorporated by reference in the Registration Statement / Proxy Statement that were not supplied by or on behalf of the CGC Parties for use therein.</w:t>
      </w:r>
    </w:p>
    <w:p>
      <w:pPr>
        <w:spacing w:after="0" w:line="11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color w:val="auto"/>
        </w:rPr>
        <w:t>Section 4.6        Capitalization of the CGC Parties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5"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Section 4.6(a) of the CGC Disclosure Schedules sets forth a true and complete statement of the number and class or series (as applicable) of the issued and outstanding CGC Shares prior to the consummation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Domestication. All outstanding Equity Securities of CGC (except to the extent such concepts are not applicable under the applicable Law of CGC’s jurisdiction of organization, incorporation or formation, as applicable, or other applicable Law) prior to the consummation of the Domestication have been duly authorized and validly issued and are fully paid and non-assessable. Such Equity Securities (x) were not issued in violation of the Governing Documents of CGC, (y) are not subject to any preemptive rights, call option, right of first refusal, subscription rights, transfer restrictions or similar rights of any Person (other than transfer restrictions under applicable Securities Laws or under the Governing Documents of CGC) and were not issued in violation of any preemptive rights, call option, right of first refusal, subscription rights, transfer restrictions or similar rights of any Person and (z) have been offered, sold and issued in compliance with applicable Law, including Securities Laws, in each case under clause (y) and (x), in all material respects. Except for the CGC Shares set forth on Section 4.6(a) of the CGC Disclosure Schedules (taking into account, for the avoidance of doubt, any changes or adjustments to the CGC Shares as a result of, or to give effect to, the Domestication), immediately prior to Closing and before giving effect to the PIPE Financing and the CGC Shareholder Redemption, there shall be no other Equity Securities of CGC issued and outstanding.</w:t>
      </w:r>
    </w:p>
    <w:p>
      <w:pPr>
        <w:spacing w:after="0" w:line="2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54" w:name="page55"/>
    <w:bookmarkEnd w:id="54"/>
    <w:p>
      <w:pPr>
        <w:jc w:val="both"/>
        <w:ind w:firstLine="864"/>
        <w:spacing w:after="0" w:line="262"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Except as expressly contemplated by this Agreement, the Ancillary Documents or the transactions contemplated hereby or thereby or as otherwise either permitted pursuant to Section 5.12 or issued, granted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entered into, as applicable, in accordance with Section 5.12, there are no outstanding (A) equity appreciation, phantom equity or profit participation rights or (B) options, restricted stock, phantom stock, warrants, purchase rights, subscription rights, conversion rights, exchange rights, calls, puts, rights of first refusal or first offer or other Contracts, in each case, that could require CGC to issue, sell or otherwise cause to become outstanding or to acquire, repurchase or redeem any Equity Securities or securities convertible into or exchangeable for Equity Securities of CGC.</w:t>
      </w:r>
    </w:p>
    <w:p>
      <w:pPr>
        <w:spacing w:after="0" w:line="117"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The Equity Securities of Merger Sub outstanding as of the date of this Agreement (i) have been duly authorized and validly issued and are fully paid and nonassessable and (ii) were issued in compliance in all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material respects with applicable Law, and (iii) were not issued in breach or violation of any preemptive rights or Contract to which Merger Sub is a party or bound. All of the outstanding Equity Securities of Merger Sub are owned directly by CGC free and clear of all Liens (other than transfer restrictions under applicable Securities Law or under the Governing Documents of Merger Sub). As of the date of this Agreement, CGC has no Subsidiaries other than Merger Sub and does not own, directly or indirectly, any Equity Securities in any Person other than Merger Sub.</w:t>
      </w:r>
    </w:p>
    <w:p>
      <w:pPr>
        <w:spacing w:after="0" w:line="117"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b w:val="1"/>
          <w:bCs w:val="1"/>
          <w:color w:val="auto"/>
        </w:rPr>
        <w:t>Section 4.7        SEC Filings</w:t>
      </w:r>
      <w:r>
        <w:rPr>
          <w:rFonts w:ascii="Times New Roman" w:cs="Times New Roman" w:eastAsia="Times New Roman" w:hAnsi="Times New Roman"/>
          <w:sz w:val="12"/>
          <w:szCs w:val="12"/>
          <w:color w:val="auto"/>
        </w:rPr>
        <w:t>. CGC has timely filed or furnished all statements, forms, reports and documents required to be filed or furnished by it prior to the date of this Agreement with the SEC pursuant to Federal Securities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Laws since its initial public offering (collectively, and together with any exhibits and schedules thereto and other information incorporated therein, and as they have been supplemented, modified or amended since the time of filing, the “</w:t>
      </w:r>
      <w:r>
        <w:rPr>
          <w:rFonts w:ascii="Times New Roman" w:cs="Times New Roman" w:eastAsia="Times New Roman" w:hAnsi="Times New Roman"/>
          <w:sz w:val="12"/>
          <w:szCs w:val="12"/>
          <w:b w:val="1"/>
          <w:bCs w:val="1"/>
          <w:i w:val="1"/>
          <w:iCs w:val="1"/>
          <w:color w:val="auto"/>
        </w:rPr>
        <w:t>CGC SEC Reports</w:t>
      </w:r>
      <w:r>
        <w:rPr>
          <w:rFonts w:ascii="Times New Roman" w:cs="Times New Roman" w:eastAsia="Times New Roman" w:hAnsi="Times New Roman"/>
          <w:sz w:val="12"/>
          <w:szCs w:val="12"/>
          <w:color w:val="auto"/>
        </w:rPr>
        <w:t>”), and, as of the Closing, will have filed or furnished all other statements, forms, reports and other documents required to be filed or furnished by it subsequent to the date of this Agreement with the SEC pursuant to Federal Securities Laws through the Closing (collectively, and together with any exhibits and schedules thereto and other information incorporated therein, and as they have been supplemented, modified or amended since the time of filing, but excluding the Registration Statement / Proxy Statement, the “</w:t>
      </w:r>
      <w:r>
        <w:rPr>
          <w:rFonts w:ascii="Times New Roman" w:cs="Times New Roman" w:eastAsia="Times New Roman" w:hAnsi="Times New Roman"/>
          <w:sz w:val="12"/>
          <w:szCs w:val="12"/>
          <w:b w:val="1"/>
          <w:bCs w:val="1"/>
          <w:i w:val="1"/>
          <w:iCs w:val="1"/>
          <w:color w:val="auto"/>
        </w:rPr>
        <w:t>Additional CGC SEC Reports</w:t>
      </w:r>
      <w:r>
        <w:rPr>
          <w:rFonts w:ascii="Times New Roman" w:cs="Times New Roman" w:eastAsia="Times New Roman" w:hAnsi="Times New Roman"/>
          <w:sz w:val="12"/>
          <w:szCs w:val="12"/>
          <w:color w:val="auto"/>
        </w:rPr>
        <w:t>”). Each of the CGC SEC Reports, as of their respective dates of filing, and as of the date of any amendment or filing that superseded the initial filing, complied and each of the Additional CGC SEC Reports, as of their respective dates of filing, and as of the date of any amendment or filing that superseded the initial filing, will comply, in all material respects with the applicable requirements of the Federal Securities Laws (including, as applicable, the Sarbanes-Oxley Act and any rules and regulations promulgated thereunder) applicable to the CGC SEC Reports or the Additional CGC SEC Reports (for purposes of the Additional CGC SEC Reports, assuming that the representation and warranty set forth in Section 3.22 is true and correct in all respects with respect to all information supplied by or on behalf of Group Companies expressly for inclusion or incorporation by reference therein). As of their respective dates of filing, the CGC SEC Reports did not contain any untrue statement of a material fact or omit to state a material fact required to be stated therein or necessary to make the statements therein, in light of the circumstances under which they were made or will be made, as applicable, not misleading (for purposes of the Additional CGC SEC Reports, assuming that the representation and warranty set forth in Section 3.22 is true and correct in all respects with respect to all information supplied by or on behalf of Group Companies expressly for inclusion or incorporation by reference therein). As of the date of this Agreement, there are no outstanding or unresolved comments in comment letters received from the SEC with respect to the CGC SEC Reports.</w:t>
      </w:r>
    </w:p>
    <w:p>
      <w:pPr>
        <w:spacing w:after="0" w:line="126"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b w:val="1"/>
          <w:bCs w:val="1"/>
          <w:color w:val="auto"/>
        </w:rPr>
        <w:t>Section 4.8        Trust Account</w:t>
      </w:r>
      <w:r>
        <w:rPr>
          <w:rFonts w:ascii="Times New Roman" w:cs="Times New Roman" w:eastAsia="Times New Roman" w:hAnsi="Times New Roman"/>
          <w:sz w:val="12"/>
          <w:szCs w:val="12"/>
          <w:color w:val="auto"/>
        </w:rPr>
        <w:t>. As of the date of this Agreement, CGC has an amount in cash in the Trust Account equal to at least $280,669,717. The funds held in the Trust Account are (a) invested in United States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“government securities” within the meaning of Section 2(a)(16) of the Investment Company Act, having a maturity of 180 days or less or in money market funds meeting certain conditions under Rule 2a-7 promulgated under the Investment Company Act which invest only in direct U.S. government treasury obligations or in cash and (b) held in trust pursuant to that certain Investment Management Trust Agreement, dated as of May 1, 2025 (the “</w:t>
      </w:r>
      <w:r>
        <w:rPr>
          <w:rFonts w:ascii="Times New Roman" w:cs="Times New Roman" w:eastAsia="Times New Roman" w:hAnsi="Times New Roman"/>
          <w:sz w:val="12"/>
          <w:szCs w:val="12"/>
          <w:b w:val="1"/>
          <w:bCs w:val="1"/>
          <w:i w:val="1"/>
          <w:iCs w:val="1"/>
          <w:color w:val="auto"/>
        </w:rPr>
        <w:t>Trust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Agreement</w:t>
      </w:r>
      <w:r>
        <w:rPr>
          <w:rFonts w:ascii="Times New Roman" w:cs="Times New Roman" w:eastAsia="Times New Roman" w:hAnsi="Times New Roman"/>
          <w:sz w:val="12"/>
          <w:szCs w:val="12"/>
          <w:color w:val="auto"/>
        </w:rPr>
        <w:t>”), between CGC and Continental, as trustee (the “</w:t>
      </w:r>
      <w:r>
        <w:rPr>
          <w:rFonts w:ascii="Times New Roman" w:cs="Times New Roman" w:eastAsia="Times New Roman" w:hAnsi="Times New Roman"/>
          <w:sz w:val="12"/>
          <w:szCs w:val="12"/>
          <w:b w:val="1"/>
          <w:bCs w:val="1"/>
          <w:i w:val="1"/>
          <w:iCs w:val="1"/>
          <w:color w:val="auto"/>
        </w:rPr>
        <w:t>Trustee</w:t>
      </w:r>
      <w:r>
        <w:rPr>
          <w:rFonts w:ascii="Times New Roman" w:cs="Times New Roman" w:eastAsia="Times New Roman" w:hAnsi="Times New Roman"/>
          <w:sz w:val="12"/>
          <w:szCs w:val="12"/>
          <w:color w:val="auto"/>
        </w:rPr>
        <w:t>”). There are no separate agreements, side letters or other agreements or understandings (whether written or unwritten, express or implied) that would cause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description of the Trust Agreement in the CGC SEC Reports to be inaccurate in any material respect or, to CGC ’s knowledge, that would entitle any Person to any portion of the funds in the Trust Account (other than (i) in respect of deferred underwriting commissions or Taxes, (ii) the Pre-Closing CGC Holders who shall have elected to redeem their CGC Shares pursuant to the Governing Documents of CGC or (iii) if CGC fails to complete a business combination within the allotted time period set forth in the Governing Documents of CGC and liquidates the Trust Account, subject to the terms of the Trust Agreement, CGC (in limited amounts to permit CGC to pay the expenses of the Trust Account’s liquidation, dissolution and winding up of CGC ) and then the Pre-Closing CGC Holders). Prior to the Closing, none of the funds held in the Trust Account are permitted to be released, except in the circumstances described in the Governing Documents of CGC and the Trust Agreement. CGC has performed all material obligations required to be performed by it to date under, and is not in material default or delinquent in performance or any other respect (claimed or actual) in connection with the Trust Agreement, and, to the knowledge of CGC, no event has occurred which, with due notice or lapse of time or both, would constitute such a material default thereunder. As of the date of this Agreement, there are no claims or proceedings pending with respect to the Trust Account. Since June 13, 2024, CGC has not released any money from the Trust Account (other than interest income earned on the funds held in the Trust Account as permitted by the Trust Agreement). Upon the consummation of the transactions contemplated hereby, including the distribution of assets from the Trust Account (A) in respect of deferred underwriting commissions or Taxes or (B) to the Pre-Closing CGC Holders who have elected to redeem their CGC Shares pursuant to the Governing Documents of CGC, each in accordance with the terms of and as set forth in the Trust Agreement, CGC shall have no further obligation under either the Trust Agreement or the Governing Documents of CGC to liquidate or distribute any assets held in the Trust Account, and the Trust Agreement shall terminate in accordance with its terms.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55" w:name="page56"/>
    <w:bookmarkEnd w:id="55"/>
    <w:p>
      <w:pPr>
        <w:jc w:val="both"/>
        <w:ind w:left="8" w:firstLine="432"/>
        <w:spacing w:after="0" w:line="256" w:lineRule="auto"/>
        <w:rPr>
          <w:sz w:val="20"/>
          <w:szCs w:val="20"/>
          <w:color w:val="auto"/>
        </w:rPr>
      </w:pPr>
      <w:r>
        <w:rPr>
          <w:rFonts w:ascii="Times New Roman" w:cs="Times New Roman" w:eastAsia="Times New Roman" w:hAnsi="Times New Roman"/>
          <w:sz w:val="12"/>
          <w:szCs w:val="12"/>
          <w:b w:val="1"/>
          <w:bCs w:val="1"/>
          <w:color w:val="auto"/>
        </w:rPr>
        <w:t>Section 4.9        Transactions with Affiliates</w:t>
      </w:r>
      <w:r>
        <w:rPr>
          <w:rFonts w:ascii="Times New Roman" w:cs="Times New Roman" w:eastAsia="Times New Roman" w:hAnsi="Times New Roman"/>
          <w:sz w:val="12"/>
          <w:szCs w:val="12"/>
          <w:color w:val="auto"/>
        </w:rPr>
        <w:t>. Section 4.9 of the CGC Disclosure Schedules sets forth all Contracts between (a) CGC, on the one hand, and (b) any officer, director, employee, partner, member, manager, direct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indirect equityholder or Affiliate of either CGC or the Sponsor, on the other hand (each Person identified in this clause (b), an “</w:t>
      </w:r>
      <w:r>
        <w:rPr>
          <w:rFonts w:ascii="Times New Roman" w:cs="Times New Roman" w:eastAsia="Times New Roman" w:hAnsi="Times New Roman"/>
          <w:sz w:val="12"/>
          <w:szCs w:val="12"/>
          <w:b w:val="1"/>
          <w:bCs w:val="1"/>
          <w:i w:val="1"/>
          <w:iCs w:val="1"/>
          <w:color w:val="auto"/>
        </w:rPr>
        <w:t>CGC Related Party</w:t>
      </w:r>
      <w:r>
        <w:rPr>
          <w:rFonts w:ascii="Times New Roman" w:cs="Times New Roman" w:eastAsia="Times New Roman" w:hAnsi="Times New Roman"/>
          <w:sz w:val="12"/>
          <w:szCs w:val="12"/>
          <w:color w:val="auto"/>
        </w:rPr>
        <w:t>”), other than (i) Contracts with respect to a CGC Related Party’s employment with, or the provision of services to, CGC entered into in the ordinary course of business (including benefit plans, indemnification arrangements and other ordinary course compensation) and (ii) Contracts entered into after the date of this Agreement that are either permitted pursuant to Section 5.10 or entered into in accordance with Section 5.10. Except as set forth on Section 4.9 of the CGC Disclosure Schedules or as either permitted pursuant to Section 5.10 or entered into in accordance with Section 5.10, no CGC Related Party (A) owns any interest in any material asset used in the business of CGC, (B) possesses, directly or indirectly, any material financial interest in, or is a director or executive officer of, any Person which is a material client, supplier, customer, lessor or lessee of CGC or (C) owes any material amount to, or is owed material any amount by, CGC. All Contracts, arrangements, understandings, interests and other matters that are required to be disclosed pursuant to this Section 4.9 are referred to herein as “</w:t>
      </w:r>
      <w:r>
        <w:rPr>
          <w:rFonts w:ascii="Times New Roman" w:cs="Times New Roman" w:eastAsia="Times New Roman" w:hAnsi="Times New Roman"/>
          <w:sz w:val="12"/>
          <w:szCs w:val="12"/>
          <w:b w:val="1"/>
          <w:bCs w:val="1"/>
          <w:i w:val="1"/>
          <w:iCs w:val="1"/>
          <w:color w:val="auto"/>
        </w:rPr>
        <w:t>CGC Related Party Transactions</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left="8"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Section 4.10        Litigation</w:t>
      </w:r>
      <w:r>
        <w:rPr>
          <w:rFonts w:ascii="Times New Roman" w:cs="Times New Roman" w:eastAsia="Times New Roman" w:hAnsi="Times New Roman"/>
          <w:sz w:val="12"/>
          <w:szCs w:val="12"/>
          <w:color w:val="auto"/>
        </w:rPr>
        <w:t>. As of the date of this Agreement, there is (and since its organization, incorporation or formation, as applicable, there has been) no Proceeding pending or, to CGC’s knowledge, threatened against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involving any CGC Party that, if adversely decided or resolved, would be material to the CGC Parties, taken as a whole. As of the date of this Agreement, none of the CGC Parties nor any of their respective properties or assets is subject to any material Order. As of the date of this Agreement, there are no material Proceedings by any CGC Party pending against any other Person.</w:t>
      </w:r>
    </w:p>
    <w:p>
      <w:pPr>
        <w:spacing w:after="0" w:line="114" w:lineRule="exact"/>
        <w:rPr>
          <w:sz w:val="20"/>
          <w:szCs w:val="20"/>
          <w:color w:val="auto"/>
        </w:rPr>
      </w:pPr>
    </w:p>
    <w:p>
      <w:pPr>
        <w:jc w:val="both"/>
        <w:ind w:left="8"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Section 4.11        Compliance with Applicable Law</w:t>
      </w:r>
      <w:r>
        <w:rPr>
          <w:rFonts w:ascii="Times New Roman" w:cs="Times New Roman" w:eastAsia="Times New Roman" w:hAnsi="Times New Roman"/>
          <w:sz w:val="12"/>
          <w:szCs w:val="12"/>
          <w:color w:val="auto"/>
        </w:rPr>
        <w:t>. Each CGC Party is (and since its organization, incorporation or formation, as applicable, has been) in compliance with all applicable Laws, except as would not have a CGC</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Material Adverse Effect.</w:t>
      </w:r>
    </w:p>
    <w:p>
      <w:pPr>
        <w:spacing w:after="0" w:line="10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color w:val="auto"/>
        </w:rPr>
        <w:t>Section 4.12        Business Activities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Since its incorporation, CGC has not conducted any business activities other than activities (i) in connection with or incident or related to its incorporation or continuing corporate (or similar) existence,</w:t>
      </w:r>
    </w:p>
    <w:p>
      <w:pPr>
        <w:spacing w:after="0" w:line="21" w:lineRule="exact"/>
        <w:rPr>
          <w:sz w:val="20"/>
          <w:szCs w:val="20"/>
          <w:color w:val="auto"/>
        </w:rPr>
      </w:pPr>
    </w:p>
    <w:p>
      <w:pPr>
        <w:jc w:val="both"/>
        <w:ind w:left="8" w:hanging="8"/>
        <w:spacing w:after="0" w:line="253" w:lineRule="auto"/>
        <w:tabs>
          <w:tab w:leader="none" w:pos="185"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directed toward the accomplishment of a business or similar combination, including those incident or related to or incurred in connection with the negotiation, preparation or execution of this Agreement or any Ancillary Documents, the performance of its covenants or agreements in this Agreement or any Ancillary Document or the consummation of the transactions contemplated hereby or thereby or (iii) those that are administrative, ministerial or otherwise immaterial in nature. Except as set forth in this Agreement or the Ancillary Documents, there is no Contract binding upon any CGC Party or to which any CGC Party is a party which has or would reasonably be expected to have the effect of prohibiting or materially impairing any business practice of it or its Subsidiaries, any acquisition of property by it or its Subsidiaries or the conduct of business by it or its Subsidiaries (including, in each case, following the Closing).</w:t>
      </w:r>
    </w:p>
    <w:p>
      <w:pPr>
        <w:spacing w:after="0" w:line="122" w:lineRule="exact"/>
        <w:rPr>
          <w:sz w:val="20"/>
          <w:szCs w:val="20"/>
          <w:color w:val="auto"/>
        </w:rPr>
      </w:pPr>
    </w:p>
    <w:p>
      <w:pPr>
        <w:jc w:val="both"/>
        <w:ind w:left="8" w:right="20" w:firstLine="864"/>
        <w:spacing w:after="0" w:line="268"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Merger Sub was organized solely for the purpose of entering into this Agreement, the Ancillary Documents and consummating the transactions contemplated hereby and thereby and has not engaged in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activities or business, other than those incident or related to or incurred in connection with its organization, incorporation or formation, as applicable, or continuing corporate (or similar) existence or the negotiation, preparation or execution of this Agreement or any Ancillary Documents, the performance of its covenants or agreements in this Agreement or any Ancillary Document or the consummation of the transactions contemplated hereby or thereby.</w:t>
      </w:r>
    </w:p>
    <w:p>
      <w:pPr>
        <w:spacing w:after="0" w:line="26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56" w:name="page57"/>
    <w:bookmarkEnd w:id="56"/>
    <w:p>
      <w:pPr>
        <w:ind w:left="420"/>
        <w:spacing w:after="0"/>
        <w:rPr>
          <w:sz w:val="20"/>
          <w:szCs w:val="20"/>
          <w:color w:val="auto"/>
        </w:rPr>
      </w:pPr>
      <w:r>
        <w:rPr>
          <w:rFonts w:ascii="Times New Roman" w:cs="Times New Roman" w:eastAsia="Times New Roman" w:hAnsi="Times New Roman"/>
          <w:sz w:val="12"/>
          <w:szCs w:val="12"/>
          <w:b w:val="1"/>
          <w:bCs w:val="1"/>
          <w:color w:val="auto"/>
        </w:rPr>
        <w:t>Section 4.13        Internal Controls; Listing; Financial Statements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Except as is not required in reliance on exemptions from various reporting requirements by virtue of CGC’s status as an “emerging growth company” within the meaning of the Securities Act, as modified by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JOBS Act, or “smaller reporting company” within the meaning of the Exchange Act, since its initial public offering, (i) CGC has established and maintained a system of internal controls over financial reporting (as defined in Rule 13a-15 and Rule 15d-15 under the Exchange Act) sufficient to provide reasonable assurance regarding the reliability of CGC’s financial reporting and the preparation of CGC’s financial statements for external purposes in accordance with GAAP and (ii) CGC has established and maintained disclosure controls and procedures (as defined in Rule 13a-15 and Rule 15d-15 under the Exchange Act) designed to ensure that material information relating to CGC is made known to CGC’s principal executive officer and principal financial officer by others within CGC.</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CGC has not taken any action prohibited by Section 402 of the Sarbanes-Oxley Act.</w:t>
      </w:r>
    </w:p>
    <w:p>
      <w:pPr>
        <w:spacing w:after="0" w:line="150"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Since its initial public offering, CGC has complied in all material respects with all applicable listing and corporate governance rules and regulations of Nasdaq. The classes of securities representing issued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outstanding CGC Class A Shares are registered pursuant to Section 12(b) of the Exchange Act and are listed for trading on Nasdaq. As of the date of this Agreement, there is no Proceeding pending or, to the knowledge of CGC, threatened against CGC by Nasdaq or the SEC with respect to any intention by such entity to deregister CGC Class A Shares or prohibit or terminate the listing of CGC Class A Shares on Nasdaq. CGC has not taken any action that is designed to terminate the registration of CGC Class A Shares under the Exchange Act.</w:t>
      </w:r>
    </w:p>
    <w:p>
      <w:pPr>
        <w:spacing w:after="0" w:line="117"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b w:val="1"/>
          <w:bCs w:val="1"/>
          <w:color w:val="auto"/>
        </w:rPr>
        <w:t>(d)            </w:t>
      </w:r>
      <w:r>
        <w:rPr>
          <w:rFonts w:ascii="Times New Roman" w:cs="Times New Roman" w:eastAsia="Times New Roman" w:hAnsi="Times New Roman"/>
          <w:sz w:val="12"/>
          <w:szCs w:val="12"/>
          <w:color w:val="auto"/>
        </w:rPr>
        <w:t>The CGC SEC Reports contain true and complete copies of the applicable CGC Financial Statements. The CGC Financial Statements (i) fairly present in all material respects the financial position of CGC as at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respective dates thereof, and the results of its operations, shareholders’ equity and cash flows for the respective periods then ended (subject, in the case of any unaudited interim financial statements, to normal year end audit adjustments (none of which is expected to be material) and the absence of notes thereto), (ii) were prepared in conformity with GAAP applied on a consistent basis during the periods indicated (except, in the case of any audited financial statements, as may be indicated in the notes thereto and subject, in the case of any unaudited financial statements, to normal year-end audit adjustments (none of which is expected to be material) and the absence of notes thereto), (iii) in the case of the audited CGC Financial Statements, were audited in accordance with the standards of the PCAOB and (iv) comply in all material respects with the applicable accounting requirements and with the rules and regulations of the SEC, the Exchange Act and the Securities Act in effect as of the respective dates thereof (including Regulation S-X or Regulation S-K, as applicable).</w:t>
      </w:r>
    </w:p>
    <w:p>
      <w:pPr>
        <w:spacing w:after="0" w:line="121"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b w:val="1"/>
          <w:bCs w:val="1"/>
          <w:color w:val="auto"/>
        </w:rPr>
        <w:t>(e)            </w:t>
      </w:r>
      <w:r>
        <w:rPr>
          <w:rFonts w:ascii="Times New Roman" w:cs="Times New Roman" w:eastAsia="Times New Roman" w:hAnsi="Times New Roman"/>
          <w:sz w:val="12"/>
          <w:szCs w:val="12"/>
          <w:color w:val="auto"/>
        </w:rPr>
        <w:t>CGC has established and maintains systems of internal accounting controls that are designed to provide, in all material respects, reasonable assurance that (i) all transactions are executed in accordance with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management’s authorization and (ii) all transactions are recorded as necessary to permit preparation of proper and accurate financial statements in accordance with GAAP and to maintain accountability for CGC’s and its Subsidiaries’ assets. CGC maintains and, for all periods covered by the CGC Financial Statements, has maintained books and records of CGC in the ordinary course of business that are accurate and complete and reflect the revenues, expenses, assets and liabilities of CGC in all material respects.</w:t>
      </w:r>
    </w:p>
    <w:p>
      <w:pPr>
        <w:spacing w:after="0" w:line="117" w:lineRule="exact"/>
        <w:rPr>
          <w:sz w:val="20"/>
          <w:szCs w:val="20"/>
          <w:color w:val="auto"/>
        </w:rPr>
      </w:pPr>
    </w:p>
    <w:p>
      <w:pPr>
        <w:jc w:val="both"/>
        <w:ind w:firstLine="864"/>
        <w:spacing w:after="0" w:line="268" w:lineRule="auto"/>
        <w:rPr>
          <w:sz w:val="20"/>
          <w:szCs w:val="20"/>
          <w:color w:val="auto"/>
        </w:rPr>
      </w:pPr>
      <w:r>
        <w:rPr>
          <w:rFonts w:ascii="Times New Roman" w:cs="Times New Roman" w:eastAsia="Times New Roman" w:hAnsi="Times New Roman"/>
          <w:sz w:val="12"/>
          <w:szCs w:val="12"/>
          <w:b w:val="1"/>
          <w:bCs w:val="1"/>
          <w:color w:val="auto"/>
        </w:rPr>
        <w:t>(f)            </w:t>
      </w:r>
      <w:r>
        <w:rPr>
          <w:rFonts w:ascii="Times New Roman" w:cs="Times New Roman" w:eastAsia="Times New Roman" w:hAnsi="Times New Roman"/>
          <w:sz w:val="12"/>
          <w:szCs w:val="12"/>
          <w:color w:val="auto"/>
        </w:rPr>
        <w:t>Since its incorporation, CGC has not received any written complaint, allegation, assertion or claim that there is (i) a “significant deficiency” in the internal controls over financial reporting of CGC to CGC’s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knowledge, (ii) a “material weakness” in the internal controls over financial reporting of CGC to CGC’s knowledge or (iii) fraud, whether or not material, that involves management or other employees of CGC who have a significant role in the internal controls over financial reporting of CGC.</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57" w:name="page58"/>
    <w:bookmarkEnd w:id="57"/>
    <w:p>
      <w:pPr>
        <w:jc w:val="both"/>
        <w:ind w:left="8"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Section 4.14        No Undisclosed Liabilities</w:t>
      </w:r>
      <w:r>
        <w:rPr>
          <w:rFonts w:ascii="Times New Roman" w:cs="Times New Roman" w:eastAsia="Times New Roman" w:hAnsi="Times New Roman"/>
          <w:sz w:val="12"/>
          <w:szCs w:val="12"/>
          <w:color w:val="auto"/>
        </w:rPr>
        <w:t>. Except for the Liabilities (a) set forth in Section 4.14 of the CGC Disclosure Schedules, (b) incurred in connection with the negotiation, preparation or execution of this Agreement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any Ancillary Documents, the performance of its covenants or agreements in this Agreement or any Ancillary Document or the consummation of the transactions contemplated hereby or thereby (it being understood and agreed that the expected third parties that are, as of the date hereof, entitled to fees, expenses or other payments in connection with the matters described in this clause (b) shall be set forth on Section 4.14 of the CGC Disclosure Schedules),</w:t>
      </w:r>
    </w:p>
    <w:p>
      <w:pPr>
        <w:jc w:val="both"/>
        <w:ind w:left="8" w:hanging="8"/>
        <w:spacing w:after="0" w:line="253" w:lineRule="auto"/>
        <w:tabs>
          <w:tab w:leader="none" w:pos="18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incurred in connection with or incident or related to a CGC Party’s organization, incorporation or formation, as applicable, or continuing corporate (or similar) existence, in each case, which are immaterial in nature, (d) that are incurred in connection with activities that are administrative or ministerial, in each case, which are immaterial in nature, (e) that are either permitted pursuant to Section 5.10(d) or incurred in accordance with Section 5.10(d) (for the avoidance of doubt, in each case, with the written consent of the Company) or (f) set forth or disclosed in the CGC Financial Statements included in the CGC SEC Reports, none of the CGC Parties has any Liabilities of the type required to be set forth on a balance sheet in accordance with GAAP.</w:t>
      </w:r>
    </w:p>
    <w:p>
      <w:pPr>
        <w:spacing w:after="0" w:line="12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color w:val="auto"/>
        </w:rPr>
        <w:t>Section 4.15        Tax Matters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right="20"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CGC has prepared and filed all income and other material Tax Returns required to have been filed by it, all such Tax Returns are true and complete in all material respects and prepared in compliance in all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material respects with all applicable Laws and Orders, and CGC has paid all material Taxes required to have been paid or deposited by it regardless of whether shown on a Tax Return.</w:t>
      </w:r>
    </w:p>
    <w:p>
      <w:pPr>
        <w:spacing w:after="0" w:line="103" w:lineRule="exact"/>
        <w:rPr>
          <w:sz w:val="20"/>
          <w:szCs w:val="20"/>
          <w:color w:val="auto"/>
        </w:rPr>
      </w:pPr>
    </w:p>
    <w:p>
      <w:pPr>
        <w:jc w:val="both"/>
        <w:ind w:left="8"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CGC has timely withheld and paid to the appropriate Tax Authority all material amounts required to have been withheld and paid in connection with amounts paid or owing to any employee, individual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independent contractor, other service providers, equity interest holder or other third party.</w:t>
      </w:r>
    </w:p>
    <w:p>
      <w:pPr>
        <w:spacing w:after="0" w:line="103" w:lineRule="exact"/>
        <w:rPr>
          <w:sz w:val="20"/>
          <w:szCs w:val="20"/>
          <w:color w:val="auto"/>
        </w:rPr>
      </w:pPr>
    </w:p>
    <w:p>
      <w:pPr>
        <w:jc w:val="both"/>
        <w:ind w:left="8"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CGC is not currently the subject of a Tax audit or examination with respect to material taxes. CGC has not been informed in writing of the commencement or anticipated commencement of any Tax audit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examination that has not been resolved or completed, in each case with respect to material Taxes.</w:t>
      </w:r>
    </w:p>
    <w:p>
      <w:pPr>
        <w:spacing w:after="0" w:line="103" w:lineRule="exact"/>
        <w:rPr>
          <w:sz w:val="20"/>
          <w:szCs w:val="20"/>
          <w:color w:val="auto"/>
        </w:rPr>
      </w:pPr>
    </w:p>
    <w:p>
      <w:pPr>
        <w:jc w:val="both"/>
        <w:ind w:left="8"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(d)            </w:t>
      </w:r>
      <w:r>
        <w:rPr>
          <w:rFonts w:ascii="Times New Roman" w:cs="Times New Roman" w:eastAsia="Times New Roman" w:hAnsi="Times New Roman"/>
          <w:sz w:val="12"/>
          <w:szCs w:val="12"/>
          <w:color w:val="auto"/>
        </w:rPr>
        <w:t>CGC has not consented to extend or waive the time in which any material Tax may be assessed or collected by any Tax Authority, other than any such extensions or waivers that are no longer in effect or that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were extensions of time to file Tax Returns obtained in the ordinary course of business, in each case with respect to material Taxes.</w:t>
      </w:r>
    </w:p>
    <w:p>
      <w:pPr>
        <w:spacing w:after="0" w:line="103" w:lineRule="exact"/>
        <w:rPr>
          <w:sz w:val="20"/>
          <w:szCs w:val="20"/>
          <w:color w:val="auto"/>
        </w:rPr>
      </w:pPr>
    </w:p>
    <w:p>
      <w:pPr>
        <w:jc w:val="both"/>
        <w:ind w:left="8"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(e)            </w:t>
      </w:r>
      <w:r>
        <w:rPr>
          <w:rFonts w:ascii="Times New Roman" w:cs="Times New Roman" w:eastAsia="Times New Roman" w:hAnsi="Times New Roman"/>
          <w:sz w:val="12"/>
          <w:szCs w:val="12"/>
          <w:color w:val="auto"/>
        </w:rPr>
        <w:t>No “closing agreement” as described in Section 7121 of the Code (or any corresponding or similar provision of state, local or non-U.S. income Tax Law), private letter rulings, technical advice memoranda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similar agreements or rulings have been entered into or issued by any Tax Authority with respect to any CGC Party which agreement or ruling would be effective after the Closing Date.</w:t>
      </w:r>
    </w:p>
    <w:p>
      <w:pPr>
        <w:spacing w:after="0" w:line="103" w:lineRule="exact"/>
        <w:rPr>
          <w:sz w:val="20"/>
          <w:szCs w:val="20"/>
          <w:color w:val="auto"/>
        </w:rPr>
      </w:pPr>
    </w:p>
    <w:p>
      <w:pPr>
        <w:jc w:val="both"/>
        <w:ind w:left="8" w:right="20"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(f)             </w:t>
      </w:r>
      <w:r>
        <w:rPr>
          <w:rFonts w:ascii="Times New Roman" w:cs="Times New Roman" w:eastAsia="Times New Roman" w:hAnsi="Times New Roman"/>
          <w:sz w:val="12"/>
          <w:szCs w:val="12"/>
          <w:color w:val="auto"/>
        </w:rPr>
        <w:t>None of the CGC Parties is and none of the CGC Parties has been a party to any “listed transaction” as defined in Section 6707A of the Code and Treasury Regulations Section 1.6011-4 (or any corresponding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similar provision of state, local or non-U.S. income Tax Law).</w:t>
      </w:r>
    </w:p>
    <w:p>
      <w:pPr>
        <w:spacing w:after="0" w:line="103"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b w:val="1"/>
          <w:bCs w:val="1"/>
          <w:color w:val="auto"/>
        </w:rPr>
        <w:t>(g)            </w:t>
      </w:r>
      <w:r>
        <w:rPr>
          <w:rFonts w:ascii="Times New Roman" w:cs="Times New Roman" w:eastAsia="Times New Roman" w:hAnsi="Times New Roman"/>
          <w:sz w:val="12"/>
          <w:szCs w:val="12"/>
          <w:color w:val="auto"/>
        </w:rPr>
        <w:t>Each CGC Party is tax resident only in its jurisdiction of organization, incorporation or formation, as applicable.</w:t>
      </w:r>
    </w:p>
    <w:p>
      <w:pPr>
        <w:spacing w:after="0" w:line="150" w:lineRule="exact"/>
        <w:rPr>
          <w:sz w:val="20"/>
          <w:szCs w:val="20"/>
          <w:color w:val="auto"/>
        </w:rPr>
      </w:pPr>
    </w:p>
    <w:p>
      <w:pPr>
        <w:jc w:val="both"/>
        <w:ind w:left="8" w:firstLine="864"/>
        <w:spacing w:after="0" w:line="262" w:lineRule="auto"/>
        <w:rPr>
          <w:sz w:val="20"/>
          <w:szCs w:val="20"/>
          <w:color w:val="auto"/>
        </w:rPr>
      </w:pPr>
      <w:r>
        <w:rPr>
          <w:rFonts w:ascii="Times New Roman" w:cs="Times New Roman" w:eastAsia="Times New Roman" w:hAnsi="Times New Roman"/>
          <w:sz w:val="12"/>
          <w:szCs w:val="12"/>
          <w:b w:val="1"/>
          <w:bCs w:val="1"/>
          <w:color w:val="auto"/>
        </w:rPr>
        <w:t>(h)            </w:t>
      </w:r>
      <w:r>
        <w:rPr>
          <w:rFonts w:ascii="Times New Roman" w:cs="Times New Roman" w:eastAsia="Times New Roman" w:hAnsi="Times New Roman"/>
          <w:sz w:val="12"/>
          <w:szCs w:val="12"/>
          <w:color w:val="auto"/>
        </w:rPr>
        <w:t>None of the CGC Parties has taken or agreed to take any action not contemplated by this Agreement and/or any Ancillary Documents that could reasonably be expected to prevent the Merger or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Domestication from qualifying for the Intended Tax Treatment. To the knowledge of CGC, no facts or circumstances exist, other than any facts or circumstances to the extent that such facts or circumstances exist or arise as a result of or related to any act or omission occurring after the signing date by a Group Company or a Company Stockholder or any of their respective Affiliates in each case not contemplated by this Agreement and/or any of the Ancillary Documents, that could reasonably be expected to prevent the Merger or the Domestication from qualifying for the Intended Tax Treatment.</w:t>
      </w:r>
    </w:p>
    <w:p>
      <w:pPr>
        <w:spacing w:after="0" w:line="26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58" w:name="page59"/>
    <w:bookmarkEnd w:id="58"/>
    <w:p>
      <w:pPr>
        <w:ind w:left="420"/>
        <w:spacing w:after="0"/>
        <w:rPr>
          <w:sz w:val="20"/>
          <w:szCs w:val="20"/>
          <w:color w:val="auto"/>
        </w:rPr>
      </w:pPr>
      <w:r>
        <w:rPr>
          <w:rFonts w:ascii="Times New Roman" w:cs="Times New Roman" w:eastAsia="Times New Roman" w:hAnsi="Times New Roman"/>
          <w:sz w:val="12"/>
          <w:szCs w:val="12"/>
          <w:b w:val="1"/>
          <w:bCs w:val="1"/>
          <w:color w:val="auto"/>
        </w:rPr>
        <w:t>Section 4.16        Investigation; No Other Representations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Each CGC Party, on its own behalf and on behalf of its Representatives, acknowledges, represents, warrants and agrees that (i) it has conducted its own independent review and analysis of, and, based thereon,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has formed an independent judgment concerning, the business, assets, condition, operations and prospects, of the Group Companies and (ii) it has been furnished with or given access to such documents and information about the Group Companies and their respective businesses and operations as it and its Representatives have deemed necessary to enable it to make an informed decision with respect to the execution, delivery and performance of this Agreement, the Ancillary Documents and the transactions contemplated hereby and thereby.</w:t>
      </w:r>
    </w:p>
    <w:p>
      <w:pPr>
        <w:spacing w:after="0" w:line="117"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In entering into this Agreement and the Ancillary Documents to which it is or will be a party, each CGC Party has relied solely on its own investigation and analysis and the representations and warranties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expressly set forth in Article 3 and in the Ancillary Documents to which it is or will be a party and no other representations or warranties of the Company, any Company Non-Party Affiliate, or any other Person, either express or implied, and each CGC Party, on its own behalf and on behalf of its Representatives, acknowledges, represents, warrants and agrees that, except for the representations and warranties expressly set forth in Article 3 and in the Ancillary Documents to which it is or will be a party, none of the Company, any Company Non-Party Affiliate, nor any other Person makes or has made any representation or warranty, either express or implied, in connection with or related to this Agreement, the Ancillary Documents or the transactions contemplated hereby or thereby.</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4.17        Compliance with International Trade &amp; Anti-Corruption Laws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Since April 24, 2019, neither CGC nor, to CGC’s knowledge, any of their Representatives, or any other Persons acting for or on behalf of any of the foregoing, is or has been, (i) a Person named on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Sanctions and Export Control Laws-related list of designated Persons maintained by a Governmental Entity; (ii) located, organized or ordinarily resident in a country or territory which is itself the subject of or target of any Sanctions and Export Control Laws (at the time of this Agreement, Cuba, Iran, North Korea, and the Crimea, the so-called Donetsk People’s Republic, and the so-called Luhansk People’s Republic regions of Ukraine, collectively, “</w:t>
      </w:r>
      <w:r>
        <w:rPr>
          <w:rFonts w:ascii="Times New Roman" w:cs="Times New Roman" w:eastAsia="Times New Roman" w:hAnsi="Times New Roman"/>
          <w:sz w:val="12"/>
          <w:szCs w:val="12"/>
          <w:b w:val="1"/>
          <w:bCs w:val="1"/>
          <w:i w:val="1"/>
          <w:iCs w:val="1"/>
          <w:color w:val="auto"/>
        </w:rPr>
        <w:t>Sanctioned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Country</w:t>
      </w:r>
      <w:r>
        <w:rPr>
          <w:rFonts w:ascii="Times New Roman" w:cs="Times New Roman" w:eastAsia="Times New Roman" w:hAnsi="Times New Roman"/>
          <w:sz w:val="12"/>
          <w:szCs w:val="12"/>
          <w:color w:val="auto"/>
        </w:rPr>
        <w:t>”); (iii) an entity owned, directly or indirectly, by one or more Persons described in clause (i) or (ii); or (iv) otherwise engaging in dealings with or for the benefit of any Person described in clauses (i) - (iii) or any Sanctioned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Country in violation of Sanctions and Export Control Laws.</w:t>
      </w:r>
    </w:p>
    <w:p>
      <w:pPr>
        <w:spacing w:after="0" w:line="119" w:lineRule="exact"/>
        <w:rPr>
          <w:sz w:val="20"/>
          <w:szCs w:val="20"/>
          <w:color w:val="auto"/>
        </w:rPr>
      </w:pPr>
    </w:p>
    <w:p>
      <w:pPr>
        <w:jc w:val="both"/>
        <w:ind w:firstLine="864"/>
        <w:spacing w:after="0" w:line="268"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In the past five (5) years, neither CGC nor, to CGC’s knowledge, any of their Representatives, or any other Persons (in each case, while acting for or on behalf of any of the foregoing) has (i) made, offered,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promised, paid or received any unlawful bribes, kickbacks or other similar payments to or from any Person, (ii) made or paid any unlawful contributions, directly or indirectly, to a domestic or foreign political party or candidate or (iii) otherwise made, offered, received, authorized, promised or paid any improper payment under any Anti-Corruption Laws.</w:t>
      </w:r>
    </w:p>
    <w:p>
      <w:pPr>
        <w:spacing w:after="0" w:line="114"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b w:val="1"/>
          <w:bCs w:val="1"/>
          <w:color w:val="auto"/>
        </w:rPr>
        <w:t>Section 4.18        EXCLUSIVITY OF REPRESENTATIONS AND WARRANTIES</w:t>
      </w:r>
      <w:r>
        <w:rPr>
          <w:rFonts w:ascii="Times New Roman" w:cs="Times New Roman" w:eastAsia="Times New Roman" w:hAnsi="Times New Roman"/>
          <w:sz w:val="12"/>
          <w:szCs w:val="12"/>
          <w:color w:val="auto"/>
        </w:rPr>
        <w:t>. NOTWITHSTANDING THE DELIVERY OR DISCLOSURE TO THE COMPANY OR ANY OF ITS REPRESENTATIVES OF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DOCUMENTATION OR OTHER INFORMATION (INCLUDING ANY FINANCIAL PROJECTIONS OR OTHER SUPPLEMENTAL DATA), EXCEPT AS OTHERWISE EXPRESSLY SET FORTH IN THIS ARTICLE 4 AND THE ANCILLARY DOCUMENTS, NONE OF THE CGC PARTIES NOR ANY OTHER PERSON MAKES, AND EACH CGC PARTY EXPRESSLY DISCLAIMS, ANY REPRESENTATIONS OR WARRANTIES OF ANY KIND OR NATURE, EXPRESS OR IMPLIED, IN CONNECTION WITH THIS AGREEMENT, THE ANCILLARY DOCUMENTS OR ANY OF THE TRANSACTIONS CONTEMPLATED HEREBY OR THEREBY, INCLUDING AS TO THE MATERIALS RELATING TO THE BUSINESS AND AFFAIRS OR HOLDINGS OF ANY CGC PARTY THAT HAVE BEEN MADE AVAILABLE TO THE COMPANY OR ANY OF ITS REPRESENTATIVES OR IN ANY PRESENTATION OF THE BUSINESS AND AFFAIRS OF ANY CGC PARTY BY OR ON BEHALF OF THE MANAGEMENT OF SUCH CGC PARTY OR OTHERS IN CONNECTION WITH THE TRANSACTIONS CONTEMPLATED HEREBY OR BY THE ANCILLARY DOCUMENTS, AND NO STATEMENT CONTAINED IN ANY OF SUCH MATERIALS OR MADE IN ANY SUCH PRESENTATION SHALL BE DEEMED A REPRESENTATION OR WARRANTY HEREUNDER OR OTHERWISE OR DEEMED TO BE RELIED UPON BY THE COMPANY OR ANY OF ITS REPRESENTATIVES IN EXECUTING, DELIVERING AND PERFORMING THIS AGREEMENT, THE ANCILLARY DOCUMENTS OR THE TRANSACTIONS CONTEMPLATED HEREBY OR THEREBY. EXCEPT FOR THE REPRESENTATIONS AND WARRANTIES EXPRESSLY SET FORTH IN THIS ARTICLE 4 OR THE ANCILLARY DOCUMENTS, IT IS UNDERSTOOD THAT ANY COST ESTIMATES, PROJECTIONS OR OTHER PREDICTIONS, ANY DATA, ANY FINANCIAL INFORMATION OR ANY MEMORANDA OR OFFERING MATERIALS OR PRESENTATIONS, INCLUDING, BUT NOT LIMITED TO, ANY OFFERING MEMORANDUM OR SIMILAR MATERIALS MADE AVAILABLE BY OR ON BEHALF OF ANY CGC PARTY ARE NOT AND SHALL NOT BE DEEMED TO BE OR TO INCLUDE REPRESENTATIONS OR WARRANTIES OF ANY CGC PARTY NOR ANY OTHER PERSON, AND ARE NOT AND SHALL NOT BE DEEMED TO BE RELIED UPON BY THE COMPANY OR ANY OF ITS REPRESENTATIVES IN EXECUTING, DELIVERING OR PERFORMING THIS AGREEMENT, THE ANCILLARY DOCUMENTS OR THE TRANSACTIONS CONTEMPLATED HEREBY OR THEREBY.</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2"/>
          <w:szCs w:val="12"/>
          <w:b w:val="1"/>
          <w:bCs w:val="1"/>
          <w:color w:val="auto"/>
        </w:rPr>
        <w:t>ARTICLE 5</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COVENANTS</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5.1        Conduct of Business of the Company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From and after the date of this Agreement until the earlier of the Closing or the termination of this Agreement in accordance with its terms, the Company shall, and the Company shall cause its Subsidiaries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except as expressly contemplated by this Agreement or any Ancillary Document, as required by applicable Law, as set forth on Section 5.1(a) of the Company Disclosure Schedules, the Complementary Financing or PIPE Financing or as consented to in writing by CGC (it being agreed that any request for a consent shall not be unreasonably withheld, conditioned or delayed), (i) operate the business of the Group Companies in the ordinary course in all material respects and (ii) use commercially reasonable efforts to maintain and preserve intact in all material respects the business organization, assets, properties and material business relations of the Group Companies, taken as a whole.</w:t>
      </w:r>
    </w:p>
    <w:p>
      <w:pPr>
        <w:spacing w:after="0" w:line="117"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Without limiting the generality of the foregoing, from and after the date of this Agreement until the earlier of the Closing or the termination of this Agreement in accordance with its terms, the Company shall,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the Company shall cause its Subsidiaries to, except as expressly contemplated by this Agreement, any Ancillary Document, the PIPE Financing or the Complementary Financing, as required by applicable Law, as set forth on Section 5.1(b) of the Company Disclosure Schedules or as consented to in writing by CGC (which consent shall not be unreasonably conditioned, withheld or delayed, and provided, that CGC or the Company, respectively, shall be deemed to have consented in writing if it provides no response within three (3) Business Days after the Company or CGC, respectively, has made a request for such consent in writing), not do any of the following:</w:t>
      </w:r>
    </w:p>
    <w:p>
      <w:pPr>
        <w:spacing w:after="0" w:line="117"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2"/>
          <w:szCs w:val="12"/>
          <w:b w:val="1"/>
          <w:bCs w:val="1"/>
          <w:color w:val="auto"/>
        </w:rPr>
        <w:t>(i)             </w:t>
      </w:r>
      <w:r>
        <w:rPr>
          <w:rFonts w:ascii="Times New Roman" w:cs="Times New Roman" w:eastAsia="Times New Roman" w:hAnsi="Times New Roman"/>
          <w:sz w:val="12"/>
          <w:szCs w:val="12"/>
          <w:color w:val="auto"/>
        </w:rPr>
        <w:t>declare, set aside, make or pay a dividend on, or make any other distribution or payment in respect of, any Equity Securities of any Group Company or repurchase or redeem any outstanding Equity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Securities of any Group Company, other than dividends or distributions, declared, set aside or paid by any of the Company’s Subsidiaries to the Company or any Subsidiary that is, directly or indirectly, wholly owned by the Company;</w:t>
      </w:r>
    </w:p>
    <w:p>
      <w:pPr>
        <w:spacing w:after="0" w:line="103"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2"/>
          <w:szCs w:val="12"/>
          <w:b w:val="1"/>
          <w:bCs w:val="1"/>
          <w:color w:val="auto"/>
        </w:rPr>
        <w:t>(ii)            </w:t>
      </w:r>
      <w:r>
        <w:rPr>
          <w:rFonts w:ascii="Times New Roman" w:cs="Times New Roman" w:eastAsia="Times New Roman" w:hAnsi="Times New Roman"/>
          <w:sz w:val="12"/>
          <w:szCs w:val="12"/>
          <w:color w:val="auto"/>
        </w:rPr>
        <w:t>(A) merge, consolidate, combine or amalgamate any Group Company with any Person or (B) purchase or otherwise acquire (whether by merging or consolidating with, purchasing any Equity Security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 or a substantial portion of the assets of, or by any other manner) any corporation, partnership, association or other business entity or organization or division thereof;</w:t>
      </w:r>
    </w:p>
    <w:p>
      <w:pPr>
        <w:spacing w:after="0" w:line="10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b w:val="1"/>
          <w:bCs w:val="1"/>
          <w:color w:val="auto"/>
        </w:rPr>
        <w:t>(iii)           </w:t>
      </w:r>
      <w:r>
        <w:rPr>
          <w:rFonts w:ascii="Times New Roman" w:cs="Times New Roman" w:eastAsia="Times New Roman" w:hAnsi="Times New Roman"/>
          <w:sz w:val="12"/>
          <w:szCs w:val="12"/>
          <w:color w:val="auto"/>
        </w:rPr>
        <w:t>adopt any amendments, supplements, restatements or modifications to any Group Company’s Governing Documents or the Company Stockholder Agreements;</w:t>
      </w:r>
    </w:p>
    <w:p>
      <w:pPr>
        <w:spacing w:after="0" w:line="150"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2"/>
          <w:szCs w:val="12"/>
          <w:b w:val="1"/>
          <w:bCs w:val="1"/>
          <w:color w:val="auto"/>
        </w:rPr>
        <w:t>(iv)            </w:t>
      </w:r>
      <w:r>
        <w:rPr>
          <w:rFonts w:ascii="Times New Roman" w:cs="Times New Roman" w:eastAsia="Times New Roman" w:hAnsi="Times New Roman"/>
          <w:sz w:val="12"/>
          <w:szCs w:val="12"/>
          <w:color w:val="auto"/>
        </w:rPr>
        <w:t>(A) sell, assign, abandon, lease, exclusively license or otherwise dispose of any material assets or properties of the Group Companies, other than inventory or obsolete equipment in the ordinary course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business, or (B) subject any material assets or properties of the Group Companies to any Lien (other than any Permitted Liens);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60" w:name="page61"/>
    <w:bookmarkEnd w:id="60"/>
    <w:p>
      <w:pPr>
        <w:jc w:val="both"/>
        <w:ind w:firstLine="1296"/>
        <w:spacing w:after="0" w:line="259" w:lineRule="auto"/>
        <w:rPr>
          <w:sz w:val="20"/>
          <w:szCs w:val="20"/>
          <w:color w:val="auto"/>
        </w:rPr>
      </w:pPr>
      <w:r>
        <w:rPr>
          <w:rFonts w:ascii="Times New Roman" w:cs="Times New Roman" w:eastAsia="Times New Roman" w:hAnsi="Times New Roman"/>
          <w:sz w:val="12"/>
          <w:szCs w:val="12"/>
          <w:b w:val="1"/>
          <w:bCs w:val="1"/>
          <w:color w:val="auto"/>
        </w:rPr>
        <w:t>(v)             </w:t>
      </w:r>
      <w:r>
        <w:rPr>
          <w:rFonts w:ascii="Times New Roman" w:cs="Times New Roman" w:eastAsia="Times New Roman" w:hAnsi="Times New Roman"/>
          <w:sz w:val="12"/>
          <w:szCs w:val="12"/>
          <w:color w:val="auto"/>
        </w:rPr>
        <w:t>transfer, issue, sell, grant or otherwise directly or indirectly dispose of, or subject to a Lien, (A) any Equity Securities of any Group Company or (B) any options, warrants, rights of conversion or other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rights, agreements, arrangements or commitments obligating any Group Company to issue, deliver or sell any Equity Securities of any Group Company, other than the issuance of Company Common Shares upon (i) the exercise or conversion of any Company Options or Company RSU Awards outstanding on the date of this Agreement in accordance with the terms of the Company Equity Plan and the underlying grant, award or similar agreement, (ii) the conversion or exercise any Company Warrants outstanding as of the date of this Agreement in accordance with the terms of this Agreement and the Company Warrant Agreements, (iii) the conversion of the Company Convertible Notes in accordance with its terms (if applicable) and (iv) the conversion of Company Preferred Shares outstanding as of the date of this Agreement in connection with the Company Preferred Share Conversion;</w:t>
      </w:r>
    </w:p>
    <w:p>
      <w:pPr>
        <w:spacing w:after="0" w:line="1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b w:val="1"/>
          <w:bCs w:val="1"/>
          <w:color w:val="auto"/>
        </w:rPr>
        <w:t>(vi)            </w:t>
      </w:r>
      <w:r>
        <w:rPr>
          <w:rFonts w:ascii="Times New Roman" w:cs="Times New Roman" w:eastAsia="Times New Roman" w:hAnsi="Times New Roman"/>
          <w:sz w:val="12"/>
          <w:szCs w:val="12"/>
          <w:color w:val="auto"/>
        </w:rPr>
        <w:t>incur, create or assume any Indebtedness, other than ordinary course trade payables, or guarantee any Liability of any Person;</w:t>
      </w:r>
    </w:p>
    <w:p>
      <w:pPr>
        <w:spacing w:after="0" w:line="150"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2"/>
          <w:szCs w:val="12"/>
          <w:b w:val="1"/>
          <w:bCs w:val="1"/>
          <w:color w:val="auto"/>
        </w:rPr>
        <w:t>(vii)           </w:t>
      </w:r>
      <w:r>
        <w:rPr>
          <w:rFonts w:ascii="Times New Roman" w:cs="Times New Roman" w:eastAsia="Times New Roman" w:hAnsi="Times New Roman"/>
          <w:sz w:val="12"/>
          <w:szCs w:val="12"/>
          <w:color w:val="auto"/>
        </w:rPr>
        <w:t>make any loans, advances or capital contributions to, or guarantees for the benefit of, or any investments in, any Person, other than (A) intercompany loans or capital contributions between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Company and any of its wholly owned Subsidiaries, and (B) the reimbursement of expenses of employees or advancements in the ordinary course of business;</w:t>
      </w:r>
    </w:p>
    <w:p>
      <w:pPr>
        <w:spacing w:after="0" w:line="10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2"/>
          <w:szCs w:val="12"/>
          <w:b w:val="1"/>
          <w:bCs w:val="1"/>
          <w:color w:val="auto"/>
        </w:rPr>
        <w:t>(viii)          </w:t>
      </w:r>
      <w:r>
        <w:rPr>
          <w:rFonts w:ascii="Times New Roman" w:cs="Times New Roman" w:eastAsia="Times New Roman" w:hAnsi="Times New Roman"/>
          <w:sz w:val="12"/>
          <w:szCs w:val="12"/>
          <w:color w:val="auto"/>
        </w:rPr>
        <w:t>except (x) as required under the terms of any Employee Benefit Plan of any Group Company that is set forth on the Section 3.11(a) of the Company Disclosure Schedules, (y) the execution of any Key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Person Employment Agreement or (y) in the ordinary course of business consistent with past practice (it being understood and agreed, for the avoidance of doubt, that in no event shall the exception in this clause (y) be deemed or construed as permitting any Group Company to take any action that is not permitted by any other provision of this Section 5.1(b)), (A) materially increase the compensation or benefits payable to any current or former director, manager, officer, employee, individual independent contractor or other service provider of any Group Company, (B) take any action to accelerate any payment, right to payment, or benefit, or the funding of any payment or benefit, right to payment or benefit, payable or to become payable to any current or former director, manager, officer, employee, individual independent contractor or other service provider of any Group Company, (C) waive or release any noncompetition, non-solicitation, no-hire, nondisclosure or other restrictive covenant obligation of any current or former director, manager, officer, employee, individual independent contractor or other service provider of any Group Company or (D) amend or modify in any material respect, adopt, enter into or terminate any material Employee Benefit Plan of any Group Company or any material benefit or compensation plan, policy, program or Contract that would be an Employee Benefit Plan if in effect as of the date of this Agreement;</w:t>
      </w:r>
    </w:p>
    <w:p>
      <w:pPr>
        <w:spacing w:after="0" w:line="123"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2"/>
          <w:szCs w:val="12"/>
          <w:b w:val="1"/>
          <w:bCs w:val="1"/>
          <w:color w:val="auto"/>
        </w:rPr>
        <w:t>(ix)            </w:t>
      </w:r>
      <w:r>
        <w:rPr>
          <w:rFonts w:ascii="Times New Roman" w:cs="Times New Roman" w:eastAsia="Times New Roman" w:hAnsi="Times New Roman"/>
          <w:sz w:val="12"/>
          <w:szCs w:val="12"/>
          <w:color w:val="auto"/>
        </w:rPr>
        <w:t>make, change or revoke any material election concerning Taxes, enter into any material Tax closing agreement, settle any material Tax claim or assessment, or consent to any extension or waiver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limitation period applicable to or relating to any material Tax claim or assessment, other than any such extension or waiver that is obtained in the ordinary course of business;</w:t>
      </w:r>
    </w:p>
    <w:p>
      <w:pPr>
        <w:spacing w:after="0" w:line="103"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2"/>
          <w:szCs w:val="12"/>
          <w:b w:val="1"/>
          <w:bCs w:val="1"/>
          <w:color w:val="auto"/>
        </w:rPr>
        <w:t>(x)             </w:t>
      </w:r>
      <w:r>
        <w:rPr>
          <w:rFonts w:ascii="Times New Roman" w:cs="Times New Roman" w:eastAsia="Times New Roman" w:hAnsi="Times New Roman"/>
          <w:sz w:val="12"/>
          <w:szCs w:val="12"/>
          <w:color w:val="auto"/>
        </w:rPr>
        <w:t>enter into any settlement, conciliation or similar Contract the performance of which would involve the payment by the Group Companies in excess of $2,500,000, in the aggregate, or that imposes,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by its terms will impose at any point in the future, any material, non-monetary obligations on any Group Company (or CGC or any of its Affiliates after the Closing);</w:t>
      </w:r>
    </w:p>
    <w:p>
      <w:pPr>
        <w:spacing w:after="0" w:line="103"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2"/>
          <w:szCs w:val="12"/>
          <w:b w:val="1"/>
          <w:bCs w:val="1"/>
          <w:color w:val="auto"/>
        </w:rPr>
        <w:t>(xi)            </w:t>
      </w:r>
      <w:r>
        <w:rPr>
          <w:rFonts w:ascii="Times New Roman" w:cs="Times New Roman" w:eastAsia="Times New Roman" w:hAnsi="Times New Roman"/>
          <w:sz w:val="12"/>
          <w:szCs w:val="12"/>
          <w:color w:val="auto"/>
        </w:rPr>
        <w:t>authorize, recommend, propose or announce an intention to adopt, or otherwise effect, a plan of complete or partial liquidation, dissolution, restructuring, recapitalization, reorganization or similar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transaction (other than, for the avoidance of doubt, the transactions expressly contemplated by this Agreement) involving any Group Company;</w:t>
      </w:r>
    </w:p>
    <w:p>
      <w:pPr>
        <w:spacing w:after="0" w:line="10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b w:val="1"/>
          <w:bCs w:val="1"/>
          <w:color w:val="auto"/>
        </w:rPr>
        <w:t>(xii)           </w:t>
      </w:r>
      <w:r>
        <w:rPr>
          <w:rFonts w:ascii="Times New Roman" w:cs="Times New Roman" w:eastAsia="Times New Roman" w:hAnsi="Times New Roman"/>
          <w:sz w:val="12"/>
          <w:szCs w:val="12"/>
          <w:color w:val="auto"/>
        </w:rPr>
        <w:t>change any Group Company’s methods of accounting in any material respect, other than changes that are made in accordance with PCAOB standards;</w:t>
      </w:r>
    </w:p>
    <w:p>
      <w:pPr>
        <w:spacing w:after="0" w:line="150"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2"/>
          <w:szCs w:val="12"/>
          <w:b w:val="1"/>
          <w:bCs w:val="1"/>
          <w:color w:val="auto"/>
        </w:rPr>
        <w:t>(xiii)         </w:t>
      </w:r>
      <w:r>
        <w:rPr>
          <w:rFonts w:ascii="Times New Roman" w:cs="Times New Roman" w:eastAsia="Times New Roman" w:hAnsi="Times New Roman"/>
          <w:sz w:val="12"/>
          <w:szCs w:val="12"/>
          <w:color w:val="auto"/>
        </w:rPr>
        <w:t>enter into any Contract with any broker, finder, investment banker or other Person under which such Person is or will be entitled to any brokerage fee, finders’ fee or other commission in connection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with the transactions contemplated by this Agreement or any Ancillary Document;</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61" w:name="page62"/>
    <w:bookmarkEnd w:id="61"/>
    <w:p>
      <w:pPr>
        <w:jc w:val="both"/>
        <w:ind w:right="20" w:firstLine="1296"/>
        <w:spacing w:after="0" w:line="286" w:lineRule="auto"/>
        <w:rPr>
          <w:sz w:val="20"/>
          <w:szCs w:val="20"/>
          <w:color w:val="auto"/>
        </w:rPr>
      </w:pPr>
      <w:r>
        <w:rPr>
          <w:rFonts w:ascii="Times New Roman" w:cs="Times New Roman" w:eastAsia="Times New Roman" w:hAnsi="Times New Roman"/>
          <w:sz w:val="12"/>
          <w:szCs w:val="12"/>
          <w:b w:val="1"/>
          <w:bCs w:val="1"/>
          <w:color w:val="auto"/>
        </w:rPr>
        <w:t>(xiv)          </w:t>
      </w:r>
      <w:r>
        <w:rPr>
          <w:rFonts w:ascii="Times New Roman" w:cs="Times New Roman" w:eastAsia="Times New Roman" w:hAnsi="Times New Roman"/>
          <w:sz w:val="12"/>
          <w:szCs w:val="12"/>
          <w:color w:val="auto"/>
        </w:rPr>
        <w:t>make any Change of Control Payment that is not set forth on Section 3.11(a) of the Company Disclosure Schedules or make any payment with respect to a Company Related Party Transaction that 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not set forth on Section 5.1(b)(xiv) of the Company Disclosure Schedule;</w:t>
      </w:r>
    </w:p>
    <w:p>
      <w:pPr>
        <w:spacing w:after="0" w:line="103"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2"/>
          <w:szCs w:val="12"/>
          <w:b w:val="1"/>
          <w:bCs w:val="1"/>
          <w:color w:val="auto"/>
        </w:rPr>
        <w:t>(xv)            </w:t>
      </w:r>
      <w:r>
        <w:rPr>
          <w:rFonts w:ascii="Times New Roman" w:cs="Times New Roman" w:eastAsia="Times New Roman" w:hAnsi="Times New Roman"/>
          <w:sz w:val="12"/>
          <w:szCs w:val="12"/>
          <w:color w:val="auto"/>
        </w:rPr>
        <w:t>(A) amend, modify or terminate any Material Contract, (B) waive any material benefit or right under any Material Contract, or (C) enter into any Contract that would constitute a Material Contract had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such Contract been effective prior to the date of this Agreement; or</w:t>
      </w:r>
    </w:p>
    <w:p>
      <w:pPr>
        <w:spacing w:after="0" w:line="10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b w:val="1"/>
          <w:bCs w:val="1"/>
          <w:color w:val="auto"/>
        </w:rPr>
        <w:t>(xvi)          </w:t>
      </w:r>
      <w:r>
        <w:rPr>
          <w:rFonts w:ascii="Times New Roman" w:cs="Times New Roman" w:eastAsia="Times New Roman" w:hAnsi="Times New Roman"/>
          <w:sz w:val="12"/>
          <w:szCs w:val="12"/>
          <w:color w:val="auto"/>
        </w:rPr>
        <w:t>enter into any Contract to take, or cause to be taken, any of the actions set forth in this Section 5.1.</w:t>
      </w:r>
    </w:p>
    <w:p>
      <w:pPr>
        <w:spacing w:after="0" w:line="154"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Notwithstanding anything in this Section 5.1 or this Agreement to the contrary, nothing set forth in this Agreement shall give CGC, directly or indirectly, the right to control or direct the operations of the Group Companies prior to the Closing.</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5.2        Efforts to Consummate; Litigation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Subject to the terms and conditions herein provided, each of the Parties shall use reasonable best efforts to take, or cause to be taken, all actions and to do, or cause to be done, all things reasonably necessary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advisable to consummate and make effective as promptly as reasonably practicable the transactions contemplated by this Agreement (including (i) the satisfaction, but not waiver, of the closing conditions set forth in Article 6 and, in the case of any Ancillary Document to which such Party is contemplated to be a party after the date of this Agreement, to execute and delivery such Ancillary Document when required pursuant to this Agreement and (ii) using reasonable best efforts to consummate the PIPE Financing, on the terms and subject to the conditions set forth in the Investor Subscription Agreements). Without limiting the generality of the foregoing, each of the Parties shall use reasonable best efforts to obtain, file with or deliver to, as applicable, any Consents of any Governmental Entities or other Persons necessary, proper or advisable to consummate the transactions contemplated by this Agreement or the Ancillary Documents. Each Party shall bear its out-of-pocket costs and expenses in connection with the preparation of any such Consents. Each Party shall (i) make any appropriate filings pursuant to the HSR Act with respect to the transactions contemplated by this Agreement promptly (and in any event within ten (10) Business Days) following the date of this Agreement, and (ii) respond as promptly as reasonably practicable to any requests by any Governmental Entity for additional information and documentary material that may be requested pursuant to the HSR Act. CGC shall promptly inform the Company of any communication between any CGC Party, on the one hand, and any Governmental Entity, on the other hand, and the Company shall promptly inform CGC of any communication between the Company, on the one hand, and any Governmental Entity, on the other hand, in either case, regarding any of the transactions contemplated by this Agreement or any Ancillary Document. Without limiting the foregoing, (a) the Parties agree to request early termination of the applicable waiting period under the HSR Act, and (b) each Party and their respective Affiliates shall not extend any waiting period, review period or comparable period under the HSR Act or enter into any agreement with any Governmental Entity not to consummate the transactions contemplated hereby or by the Ancillary Documents, except with the prior written consent of CGC and the Company. Notwithstanding the foregoing or anything to the contrary in this Agreement, CGC and its Affiliates agree to (i) sell, license or otherwise dispose of, or hold separate and agree to sell, license or otherwise dispose of, any entities, assets or facilities of any Group Company or any entity, facility or asset of such Party or any of its Affiliates, (ii) terminate, amend or assign existing relationships and contractual rights or obligations, (iii) amend, assign or terminate existing licenses or other agreements, or (iv) enter into new licenses or other agreements.</w:t>
      </w:r>
    </w:p>
    <w:p>
      <w:pPr>
        <w:spacing w:after="0" w:line="123"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From and after the date of this Agreement until the earlier of the Closing or termination of this Agreement in accordance with its terms, the CGC Parties, on the one hand, and the Company, on the other hand,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shall give counsel for the Company (in the case of any CGC Party) or CGC (in the case of the Company), a reasonable opportunity to review in advance, and consider in good faith the views of the other in connection with, any proposed written communication to any Governmental Entity relating to the transactions contemplated by this Agreement or the Ancillary Documents; provided that documents and information provided to the other Party pursuant to this paragraph (i) may be redacted (A) to remove references to valuation of the Company, (B) to comply with contractual arrangements or (C) to preserve legal privilege and/or (ii) may be designated as “outside counsel only,” in which case such documents and information shall be provided only to outside counsel and consultants retained by such counsel. Each of the Parties agrees not to participate in any substantive meeting or discussion, either in person or by telephone with any Governmental Entity in connection with the transactions contemplated by this Agreement unless it consults with, in the case of any CGC Party, the Company, or, in the case of the Company, CGC in advance and, to the extent not prohibited by such Governmental Entity, gives, in the case of any CGC Party, the Company, or, in the case of the Company, CGC, the opportunity to attend and participate in such meeting or discussion.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62" w:name="page63"/>
    <w:bookmarkEnd w:id="62"/>
    <w:p>
      <w:pPr>
        <w:jc w:val="both"/>
        <w:ind w:firstLine="864"/>
        <w:spacing w:after="0" w:line="253" w:lineRule="auto"/>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From and after the date of this Agreement until the earlier of the Closing or termination of this Agreement in accordance with its terms, CGC, on the one hand, and the Company, on the other hand, shall each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notify the other in writing promptly after learning of any shareholder demands or other shareholder Proceedings (including derivative claims) relating to this Agreement, any Ancillary Document or any matters relating thereto (collectively, the “</w:t>
      </w:r>
      <w:r>
        <w:rPr>
          <w:rFonts w:ascii="Times New Roman" w:cs="Times New Roman" w:eastAsia="Times New Roman" w:hAnsi="Times New Roman"/>
          <w:sz w:val="12"/>
          <w:szCs w:val="12"/>
          <w:b w:val="1"/>
          <w:bCs w:val="1"/>
          <w:i w:val="1"/>
          <w:iCs w:val="1"/>
          <w:color w:val="auto"/>
        </w:rPr>
        <w:t>Transaction Litigation</w:t>
      </w:r>
      <w:r>
        <w:rPr>
          <w:rFonts w:ascii="Times New Roman" w:cs="Times New Roman" w:eastAsia="Times New Roman" w:hAnsi="Times New Roman"/>
          <w:sz w:val="12"/>
          <w:szCs w:val="12"/>
          <w:color w:val="auto"/>
        </w:rPr>
        <w:t xml:space="preserve">”) commenced against, in the case of CGC, any of the CGC Parties or any of their respective Representatives (in their capacity as a representative of an CGC Party) or, in the case of the Company, any Group Company or any of their respective Representatives (in their capacity as a representative of an CGC Party). CGC and the Company shall each (i) keep the other reasonably informed regarding any Transaction Litigation, (ii) give the other the opportunity to, at its own cost and expense, participate in the defense, settlement and compromise of any such Transaction Litigation and reasonably cooperate with the other in connection with the defense, settlement and compromise of any such Transaction Litigation, (iii) consider in good faith the other’s advice with respect to any such Transaction Litigation and (iv) reasonably cooperate with each other. Notwithstanding the foregoing, the Company shall, subject to and without limiting the covenants and agreements, and the rights of CGC, set forth in the immediately preceding sentence, control the negotiation, defense and settlement of any such Transaction Litigation;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in no event shall the Company, any other Group Company or any of their respective Representatives settle or compromise any Transaction Litigation without the prior written consent of CGC (not to be unreasonably withheld, conditioned or delayed, provided that it shall be deemed to be reasonable for CGC to withhold, condition or delay its consent if any such settlement or compromise (A) does not provide for a legally binding, full, unconditional and irrevocable release of each CGC Party and Representative that is the subject of such Transaction Litigation, (B) provides for (x) the payment of cash any portion of which is payable by any CGC Party or Representative thereof or would otherwise constitute an Liability of CGC or (y) any non-monetary, injunctive, equitable or similar relief against any CGC Party or (C) contains an admission of wrongdoing or Liability by an CGC Party or any of its Representatives). Without limiting the generality of the foregoing, in no event shall CGC, any of the CGC Parties or any of their respective Representatives settle or compromise any Transaction Litigation without the Company’s prior written consent.</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5.3        Confidentiality and Access to Information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The Parties hereby acknowledge and agree that the information being provided in connection with this Agreement and the consummation of the transactions contemplated hereby is subject to the terms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Confidentiality Agreement, the terms of which are incorporated herein by reference. Notwithstanding the foregoing or anything to the contrary in this Agreement, in the event that this Section 5.3(a) or the Confidentiality Agreement conflicts with any other covenant or agreement contained herein or any Ancillary Document that contemplates the disclosure, use or provision of information or otherwise, then such other covenant or agreement contained in this Agreement or such Ancillary Document, as applicable, shall govern and control to the extent of such conflict.</w:t>
      </w:r>
    </w:p>
    <w:p>
      <w:pPr>
        <w:spacing w:after="0" w:line="117"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From and after the date of this Agreement until the earlier of the Closing Date or the termination of this Agreement in accordance with its terms, upon reasonable advance written notice, the Company shall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provide, or cause to be provided, to CGC and its Representatives during normal business hours reasonable access to the directors, officers, books and records and properties of the Group Companies (in a manner so as to not interfere with the normal business operations of the Group Companies) for the purpose of consummating the Merger. Notwithstanding the foregoing, none of the Group Companies shall be required to provide, or cause to be provided, to CGC or its Representatives any information (i) if and to the extent doing so would (A) violate any Law to which any Group Company is subject, (B) result in the disclosure of any trade secrets of third parties in breach of any Contract with such third party, (C) violate any legally binding obligation of any Group Company with respect to confidentiality, non-disclosure or privacy or (D) jeopardize protections afforded to any Group Company under the attorney-client privilege or the attorney work product doctrine (provided that, in case of each of clauses (A) through (D), the Company shall, and shall cause the other Group Companies to, use commercially reasonable efforts to (x) provide such access as can be provided (or otherwise convey such information regarding the applicable matter as can be conveyed) without violating such privilege, doctrine, Contract, obligation or Law and (y) provide such information in a manner without violating such privilege, doctrine, Contract, obligation or Law), or (ii) if any Group Company, on the one hand, and any CGC Party, any CGC Non-Party Affiliate or any of their respect Representatives on the other hand, are adverse parties in a litigation or other Proceeding and such information is reasonably pertinent thereto; provided that the Company shall, in the case of clause (i) or (ii), provide prompt written notice of the withholding of access or information on any such basis unless such written notice is prohibited by applicable Law or Order.</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63" w:name="page64"/>
    <w:bookmarkEnd w:id="63"/>
    <w:p>
      <w:pPr>
        <w:jc w:val="both"/>
        <w:ind w:left="8" w:firstLine="864"/>
        <w:spacing w:after="0" w:line="259" w:lineRule="auto"/>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From and after the date of this Agreement until the earlier of the Closing Date or the termination of this Agreement in accordance with its terms, upon reasonable advance written notice, CGC shall provide,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cause to be provided, to the Company and its Representatives during normal business hours reasonable access to the directors, officers, books and records of the CGC Parties (in a manner so as to not interfere with the normal business operations of the CGC Parties). Notwithstanding the foregoing, CGC shall not be required to provide, or cause to be provided to, the Company or any of its Representatives any information (i) if and to the extent doing so would</w:t>
      </w:r>
    </w:p>
    <w:p>
      <w:pPr>
        <w:jc w:val="both"/>
        <w:ind w:left="8" w:hanging="8"/>
        <w:spacing w:after="0" w:line="252" w:lineRule="auto"/>
        <w:tabs>
          <w:tab w:leader="none" w:pos="208"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violate any Law to which any CGC Party is subject, (B) result in the disclosure of any trade secrets of third parties in breach of any Contract with such third party, (C) violate any legally binding obligation of any CGC Party with respect to confidentiality, non-disclosure or privacy or (D) jeopardize protections afforded to any CGC Party under the attorney-client privilege or the attorney work product doctrine (provided that, in case of each of clauses (A) through (D), CGC shall use, and shall cause the other CGC Parties to use, reasonable best efforts to (x) provide such access as can be provided (or otherwise convey such information regarding the applicable matter as can be conveyed) without violating such privilege, doctrine, Contract, obligation or Law and (y) provide such information in a manner without violating such privilege, doctrine, Contract, obligation or Law), or (ii) if an CGC Party or the Sponsor or any of their respective Representatives, on the one hand, and any Group Company, any Company Non-Party Affiliate or any of their respective Representatives, on the other hand, are adverse parties in a litigation or other Proceeding and such information is reasonably pertinent thereto; provided that CGC shall, in the case of clause (i) or (ii), provide prompt written notice of the withholding of access or information on any such basis unless such written notice is prohibited by applicable Law or Order.</w:t>
      </w:r>
    </w:p>
    <w:p>
      <w:pPr>
        <w:spacing w:after="0" w:line="12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color w:val="auto"/>
        </w:rPr>
        <w:t>Section 5.4        Public Announcements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4"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Subject to Section 5.4(b), Section 5.7 and Section 5.8, none of the Parties or any of their respective Representatives shall issue any press releases or make any public announcements with respect to this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Agreement or the transactions contemplated hereby without the prior written consent of, prior to the Closing, the Company and CGC or, after the Closing, CGC;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each Party, the Sponsor and their respective Representatives may make any such announcement or other communication (i) if such press release, announcement or other communication is required by applicable Law, in which case (A) prior to the Closing, the disclosing Person shall, to the extent permitted by applicable Law use reasonable best efforts to consult with the Company, if the disclosing Person is a CGC Party, the Sponsor, or CGC, if the disclosing party is the Company or any of its Representatives, and give the Company or CGC, as applicable, the opportunity to review such announcement or communication and comment thereon and the disclosing Person shall consider such comments in good faith, or (B) after the Closing, the disclosing Person and/or its Representatives, as applicable, shall, to the extent permitted by applicable Law, use reasonable best efforts to consult with CGC and give CGC the opportunity to review such announcement or communication and comment thereon and the disclosing Person shall consider such comments in good faith, (ii) to the extent such press release, announcement or other communication contains only information previously disclosed in a public statement, press release or other communication previously approved in accordance with this Section 5.4 and (iii) to Governmental Entities in connection with any Consents required to be made under this Agreement, the Ancillary Documents or in connection with the transactions contemplated hereby or thereby. Notwithstanding anything to the contrary in this Section 5.4 or otherwise in this Agreement, the Parties agree that the CGC Shareholders and their respective Representatives may provide general information about the subject matter of this Agreement and the transactions contemplated hereby to any direct or indirect current or prospective investor or in connection with normal fund raising or related marketing or informational or reporting activities.</w:t>
      </w:r>
    </w:p>
    <w:p>
      <w:pPr>
        <w:spacing w:after="0" w:line="2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64" w:name="page65"/>
    <w:bookmarkEnd w:id="64"/>
    <w:p>
      <w:pPr>
        <w:jc w:val="both"/>
        <w:ind w:left="8" w:firstLine="864"/>
        <w:spacing w:after="0" w:line="277" w:lineRule="auto"/>
        <w:rPr>
          <w:sz w:val="20"/>
          <w:szCs w:val="20"/>
          <w:color w:val="auto"/>
        </w:rPr>
      </w:pPr>
      <w:r>
        <w:rPr>
          <w:rFonts w:ascii="Times New Roman" w:cs="Times New Roman" w:eastAsia="Times New Roman" w:hAnsi="Times New Roman"/>
          <w:sz w:val="11"/>
          <w:szCs w:val="11"/>
          <w:b w:val="1"/>
          <w:bCs w:val="1"/>
          <w:color w:val="auto"/>
        </w:rPr>
        <w:t>(b)            </w:t>
      </w:r>
      <w:r>
        <w:rPr>
          <w:rFonts w:ascii="Times New Roman" w:cs="Times New Roman" w:eastAsia="Times New Roman" w:hAnsi="Times New Roman"/>
          <w:sz w:val="11"/>
          <w:szCs w:val="11"/>
          <w:color w:val="auto"/>
        </w:rPr>
        <w:t>The initial press release concerning this Agreement and the transactions contemplated hereby shall be a joint press release in the form agreed by the Company and CGC prior to the execution of this Agreement</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and such initial press release (the “</w:t>
      </w:r>
      <w:r>
        <w:rPr>
          <w:rFonts w:ascii="Times New Roman" w:cs="Times New Roman" w:eastAsia="Times New Roman" w:hAnsi="Times New Roman"/>
          <w:sz w:val="11"/>
          <w:szCs w:val="11"/>
          <w:b w:val="1"/>
          <w:bCs w:val="1"/>
          <w:i w:val="1"/>
          <w:iCs w:val="1"/>
          <w:color w:val="auto"/>
        </w:rPr>
        <w:t>Signing Press Release</w:t>
      </w:r>
      <w:r>
        <w:rPr>
          <w:rFonts w:ascii="Times New Roman" w:cs="Times New Roman" w:eastAsia="Times New Roman" w:hAnsi="Times New Roman"/>
          <w:sz w:val="11"/>
          <w:szCs w:val="11"/>
          <w:color w:val="auto"/>
        </w:rPr>
        <w:t>”) shall be released as promptly as reasonably practicable after the execution of this Agreement. Promptly after the execution of this Agreement, CGC shall file a current report on Form 8-K (the “</w:t>
      </w:r>
      <w:r>
        <w:rPr>
          <w:rFonts w:ascii="Times New Roman" w:cs="Times New Roman" w:eastAsia="Times New Roman" w:hAnsi="Times New Roman"/>
          <w:sz w:val="11"/>
          <w:szCs w:val="11"/>
          <w:b w:val="1"/>
          <w:bCs w:val="1"/>
          <w:i w:val="1"/>
          <w:iCs w:val="1"/>
          <w:color w:val="auto"/>
        </w:rPr>
        <w:t>Signing Filing</w:t>
      </w:r>
      <w:r>
        <w:rPr>
          <w:rFonts w:ascii="Times New Roman" w:cs="Times New Roman" w:eastAsia="Times New Roman" w:hAnsi="Times New Roman"/>
          <w:sz w:val="11"/>
          <w:szCs w:val="11"/>
          <w:color w:val="auto"/>
        </w:rPr>
        <w:t>”) with the Signing Press Release and a description of this Agreement as required by, and in compliance with, the Securities Laws, which the Company shall have the opportunity to review and comment upon prior to filing and CGC shall consider such comments in good faith. The Company, on the one hand, and CGC, on the other hand, shall mutually agree upon (such agreement not to be unreasonably withheld, conditioned or delayed by either the Company or CGC, as applicable) a press release announcing the consummation of the transactions contemplated by this Agreement (the “</w:t>
      </w:r>
      <w:r>
        <w:rPr>
          <w:rFonts w:ascii="Times New Roman" w:cs="Times New Roman" w:eastAsia="Times New Roman" w:hAnsi="Times New Roman"/>
          <w:sz w:val="11"/>
          <w:szCs w:val="11"/>
          <w:b w:val="1"/>
          <w:bCs w:val="1"/>
          <w:i w:val="1"/>
          <w:iCs w:val="1"/>
          <w:color w:val="auto"/>
        </w:rPr>
        <w:t>Closing Press Release</w:t>
      </w:r>
      <w:r>
        <w:rPr>
          <w:rFonts w:ascii="Times New Roman" w:cs="Times New Roman" w:eastAsia="Times New Roman" w:hAnsi="Times New Roman"/>
          <w:sz w:val="11"/>
          <w:szCs w:val="11"/>
          <w:color w:val="auto"/>
        </w:rPr>
        <w:t>”) prior to the Closing, and, on the Closing Date (or such other date as may be mutually agreed to in writing by the Company and CGC prior to the Closing), the Parties shall cause the Closing Press Release to be released. Promptly after the Closing (but in any event within four</w:t>
      </w:r>
    </w:p>
    <w:p>
      <w:pPr>
        <w:spacing w:after="0" w:line="3" w:lineRule="exact"/>
        <w:rPr>
          <w:sz w:val="20"/>
          <w:szCs w:val="20"/>
          <w:color w:val="auto"/>
        </w:rPr>
      </w:pPr>
    </w:p>
    <w:p>
      <w:pPr>
        <w:jc w:val="both"/>
        <w:ind w:left="8" w:hanging="8"/>
        <w:spacing w:after="0" w:line="253" w:lineRule="auto"/>
        <w:tabs>
          <w:tab w:leader="none" w:pos="183"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Business Days after the Closing), CGC shall file a current report on Form 8-K (the “</w:t>
      </w:r>
      <w:r>
        <w:rPr>
          <w:rFonts w:ascii="Times New Roman" w:cs="Times New Roman" w:eastAsia="Times New Roman" w:hAnsi="Times New Roman"/>
          <w:sz w:val="12"/>
          <w:szCs w:val="12"/>
          <w:b w:val="1"/>
          <w:bCs w:val="1"/>
          <w:i w:val="1"/>
          <w:iCs w:val="1"/>
          <w:color w:val="auto"/>
        </w:rPr>
        <w:t>Closing Filing</w:t>
      </w:r>
      <w:r>
        <w:rPr>
          <w:rFonts w:ascii="Times New Roman" w:cs="Times New Roman" w:eastAsia="Times New Roman" w:hAnsi="Times New Roman"/>
          <w:sz w:val="12"/>
          <w:szCs w:val="12"/>
          <w:color w:val="auto"/>
        </w:rPr>
        <w:t>”) with the Closing Press Release and a description of the Closing as required by Securities Laws, which Closing Filing shall be mutually agreed upon by the Company and CGC prior to the Closing (such agreement not to be unreasonably withheld, conditioned or delayed by either the Company or CGC, as applicable). In connection with the preparation of each of the Signing Press Release, the Signing Filing, the Closing Press Release and the Closing Filing, each Party shall, upon written request by any other Party, furnish such other Party with all information concerning itself, its directors, officers and equityholders, and such other matters as may be reasonably necessary for such press release or filing.</w:t>
      </w:r>
    </w:p>
    <w:p>
      <w:pPr>
        <w:spacing w:after="0" w:line="12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color w:val="auto"/>
        </w:rPr>
        <w:t>Section 5.5        Tax Matters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b w:val="1"/>
          <w:bCs w:val="1"/>
          <w:color w:val="auto"/>
        </w:rPr>
        <w:t>(a)            Tax Treatment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1296"/>
        <w:spacing w:after="0" w:line="259" w:lineRule="auto"/>
        <w:rPr>
          <w:sz w:val="20"/>
          <w:szCs w:val="20"/>
          <w:color w:val="auto"/>
        </w:rPr>
      </w:pPr>
      <w:r>
        <w:rPr>
          <w:rFonts w:ascii="Times New Roman" w:cs="Times New Roman" w:eastAsia="Times New Roman" w:hAnsi="Times New Roman"/>
          <w:sz w:val="12"/>
          <w:szCs w:val="12"/>
          <w:b w:val="1"/>
          <w:bCs w:val="1"/>
          <w:color w:val="auto"/>
        </w:rPr>
        <w:t>(i)             </w:t>
      </w:r>
      <w:r>
        <w:rPr>
          <w:rFonts w:ascii="Times New Roman" w:cs="Times New Roman" w:eastAsia="Times New Roman" w:hAnsi="Times New Roman"/>
          <w:sz w:val="12"/>
          <w:szCs w:val="12"/>
          <w:color w:val="auto"/>
        </w:rPr>
        <w:t>The Parties intend that the Domestication shall constitute a transaction treated as a “reorganization” within the meaning of Section 368(a)(1)(F) of the Code and CGC shall (and shall cause its respective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Affiliates to) use reasonable best efforts to cause it to so qualify. The Parties intend that (A) the Merger shall be treated as a transaction that qualifies as a “reorganization” within the meaning of Section 368 of the Code and/or (B) the Merger and the PIPE Financing, taken together, shall be treated as an integrated transaction qualifying under Section 351(a) of the Code, and each Party shall, and shall cause its respective Affiliates to, use reasonable best efforts to so qualify. The Parties shall file all Tax Returns consistent with, and take no position inconsistent with (whether in audits, Tax Returns or otherwise), the treatment described in this Section 5.5(a)(i) unless required to do so pursuant to a “determination” that is final within the meaning of Section 1313(a) of the Code.</w:t>
      </w:r>
    </w:p>
    <w:p>
      <w:pPr>
        <w:spacing w:after="0" w:line="119" w:lineRule="exact"/>
        <w:rPr>
          <w:sz w:val="20"/>
          <w:szCs w:val="20"/>
          <w:color w:val="auto"/>
        </w:rPr>
      </w:pPr>
    </w:p>
    <w:p>
      <w:pPr>
        <w:jc w:val="both"/>
        <w:ind w:left="8" w:firstLine="1296"/>
        <w:spacing w:after="0" w:line="268" w:lineRule="auto"/>
        <w:rPr>
          <w:sz w:val="20"/>
          <w:szCs w:val="20"/>
          <w:color w:val="auto"/>
        </w:rPr>
      </w:pPr>
      <w:r>
        <w:rPr>
          <w:rFonts w:ascii="Times New Roman" w:cs="Times New Roman" w:eastAsia="Times New Roman" w:hAnsi="Times New Roman"/>
          <w:sz w:val="12"/>
          <w:szCs w:val="12"/>
          <w:b w:val="1"/>
          <w:bCs w:val="1"/>
          <w:color w:val="auto"/>
        </w:rPr>
        <w:t>(ii)            </w:t>
      </w:r>
      <w:r>
        <w:rPr>
          <w:rFonts w:ascii="Times New Roman" w:cs="Times New Roman" w:eastAsia="Times New Roman" w:hAnsi="Times New Roman"/>
          <w:sz w:val="12"/>
          <w:szCs w:val="12"/>
          <w:color w:val="auto"/>
        </w:rPr>
        <w:t>CGC and the Company hereby adopt this Agreement as a “plan of reorganization” within the meaning of Treasury Regulations Sections 1.368-2(g) and 1.368-3(a). From the date hereof through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Closing, and following the Closing, the Parties shall not, and shall not permit or cause their respective Affiliates to, take any action, or knowingly fail to take any action, which action or failure to act prevents or impedes, or would reasonably be expected to prevent or impede, (A) the Merger qualifying for the Intended Tax Treatment, and (B) in the case of CGC, the Domestication qualifying for the Intended Tax Treatment.</w:t>
      </w:r>
    </w:p>
    <w:p>
      <w:pPr>
        <w:spacing w:after="0" w:line="114" w:lineRule="exact"/>
        <w:rPr>
          <w:sz w:val="20"/>
          <w:szCs w:val="20"/>
          <w:color w:val="auto"/>
        </w:rPr>
      </w:pPr>
    </w:p>
    <w:p>
      <w:pPr>
        <w:jc w:val="both"/>
        <w:ind w:left="8" w:firstLine="1296"/>
        <w:spacing w:after="0" w:line="259" w:lineRule="auto"/>
        <w:rPr>
          <w:sz w:val="20"/>
          <w:szCs w:val="20"/>
          <w:color w:val="auto"/>
        </w:rPr>
      </w:pPr>
      <w:r>
        <w:rPr>
          <w:rFonts w:ascii="Times New Roman" w:cs="Times New Roman" w:eastAsia="Times New Roman" w:hAnsi="Times New Roman"/>
          <w:sz w:val="12"/>
          <w:szCs w:val="12"/>
          <w:b w:val="1"/>
          <w:bCs w:val="1"/>
          <w:color w:val="auto"/>
        </w:rPr>
        <w:t>(iii)            </w:t>
      </w:r>
      <w:r>
        <w:rPr>
          <w:rFonts w:ascii="Times New Roman" w:cs="Times New Roman" w:eastAsia="Times New Roman" w:hAnsi="Times New Roman"/>
          <w:sz w:val="12"/>
          <w:szCs w:val="12"/>
          <w:color w:val="auto"/>
        </w:rPr>
        <w:t>If, in connection with the preparation and filing of the Registration Statement / Proxy Statement, the SEC requests or requires that tax opinions be prepared and submitted in such connection, each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CGC and the Company shall deliver to GT and Goodwin, respectively, customary Tax representation letters satisfactory to GT or Goodwin (as applicable), dated and executed as of the date the Registration Statement / Proxy Statement shall have been declared effective by the SEC and such other date(s) as determined reasonably necessary by such counsel in connection with the preparation and filing of the Registration Statement / Proxy Statement, and, if required, GT shall furnish an opinion, subject to customary assumptions and limitations, to the effect that the Intended Tax Treatment should apply to the Domestication and, if required, Goodwin shall furnish an opinion, subject to customary assumptions and limitations, to the effect that the Intended Tax Treatment should apply to the Merger.</w:t>
      </w:r>
    </w:p>
    <w:p>
      <w:pPr>
        <w:spacing w:after="0" w:line="119" w:lineRule="exact"/>
        <w:rPr>
          <w:sz w:val="20"/>
          <w:szCs w:val="20"/>
          <w:color w:val="auto"/>
        </w:rPr>
      </w:pPr>
    </w:p>
    <w:p>
      <w:pPr>
        <w:jc w:val="both"/>
        <w:ind w:left="8" w:firstLine="864"/>
        <w:spacing w:after="0" w:line="256" w:lineRule="auto"/>
        <w:rPr>
          <w:sz w:val="20"/>
          <w:szCs w:val="20"/>
          <w:color w:val="auto"/>
        </w:rPr>
      </w:pPr>
      <w:r>
        <w:rPr>
          <w:rFonts w:ascii="Times New Roman" w:cs="Times New Roman" w:eastAsia="Times New Roman" w:hAnsi="Times New Roman"/>
          <w:sz w:val="12"/>
          <w:szCs w:val="12"/>
          <w:b w:val="1"/>
          <w:bCs w:val="1"/>
          <w:color w:val="auto"/>
        </w:rPr>
        <w:t>(b)            Tax Matters Cooperation</w:t>
      </w:r>
      <w:r>
        <w:rPr>
          <w:rFonts w:ascii="Times New Roman" w:cs="Times New Roman" w:eastAsia="Times New Roman" w:hAnsi="Times New Roman"/>
          <w:sz w:val="12"/>
          <w:szCs w:val="12"/>
          <w:color w:val="auto"/>
        </w:rPr>
        <w:t>. Each of the Parties shall (and shall cause their respective Affiliates to) use commercially reasonable efforts to cooperate fully, as and to the extent reasonably requested by another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Party, in connection with the filing of relevant Tax Returns, and any audit or tax proceeding. Such cooperation shall include the retention and (upon the other Party’s request) the provision (with the right to make copies) of records and information reasonably relevant to any tax proceeding or audit, making employees available on a mutually convenient basis to provide additional information and explanation of any material provided hereunder and making available to the Pre-Closing CGC Holders information reasonably necessary to compute any income of any such holder (or its direct or indirect owners) arising (i) if applicable, as a result of CGC’s status as a “passive foreign investment company” within the meaning of Section 1297(a) of the Code or a “controlled foreign corporation” within the meaning of Section 957(a) of the Code for any taxable period ending on or prior to the Closing, including timely providing (A) a PFIC Annual Information Statement to enable such holders to make a “Qualifying Electing Fund” election under Section 1295 of the Code for such taxable period, and (B) information to enable applicable holders to report their allocable share of “subpart F” income under Section 951 of the Code for such taxable period and (ii) under Section 367(b) of the Code and the Treasury Regulations promulgated thereunder as a result of the Domestication.</w:t>
      </w:r>
    </w:p>
    <w:p>
      <w:pPr>
        <w:spacing w:after="0" w:line="2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65" w:name="page66"/>
    <w:bookmarkEnd w:id="65"/>
    <w:p>
      <w:pPr>
        <w:ind w:left="860"/>
        <w:spacing w:after="0"/>
        <w:rPr>
          <w:sz w:val="20"/>
          <w:szCs w:val="20"/>
          <w:color w:val="auto"/>
        </w:rPr>
      </w:pPr>
      <w:r>
        <w:rPr>
          <w:rFonts w:ascii="Times New Roman" w:cs="Times New Roman" w:eastAsia="Times New Roman" w:hAnsi="Times New Roman"/>
          <w:sz w:val="12"/>
          <w:szCs w:val="12"/>
          <w:b w:val="1"/>
          <w:bCs w:val="1"/>
          <w:color w:val="auto"/>
        </w:rPr>
        <w:t>(c)            CGC Taxable Year</w:t>
      </w:r>
      <w:r>
        <w:rPr>
          <w:rFonts w:ascii="Times New Roman" w:cs="Times New Roman" w:eastAsia="Times New Roman" w:hAnsi="Times New Roman"/>
          <w:sz w:val="12"/>
          <w:szCs w:val="12"/>
          <w:color w:val="auto"/>
        </w:rPr>
        <w:t>. The Parties agree to treat the taxable year of CGC as ending on the date of the Domestication for U.S. federal income tax purposes.</w:t>
      </w:r>
    </w:p>
    <w:p>
      <w:pPr>
        <w:spacing w:after="0" w:line="150" w:lineRule="exact"/>
        <w:rPr>
          <w:sz w:val="20"/>
          <w:szCs w:val="20"/>
          <w:color w:val="auto"/>
        </w:rPr>
      </w:pPr>
    </w:p>
    <w:p>
      <w:pPr>
        <w:jc w:val="both"/>
        <w:ind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(d)            Transfer Taxes. </w:t>
      </w:r>
      <w:r>
        <w:rPr>
          <w:rFonts w:ascii="Times New Roman" w:cs="Times New Roman" w:eastAsia="Times New Roman" w:hAnsi="Times New Roman"/>
          <w:sz w:val="12"/>
          <w:szCs w:val="12"/>
          <w:color w:val="auto"/>
        </w:rPr>
        <w:t>Any transfer, documentary, sales, use, stamp, registration, excise, recording, registration, value added and other such similar Taxes (including any penalties and interest) that become payable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connection with or by reason of the execution of this Agreement and the transactions set forth herein (collectively, “</w:t>
      </w:r>
      <w:r>
        <w:rPr>
          <w:rFonts w:ascii="Times New Roman" w:cs="Times New Roman" w:eastAsia="Times New Roman" w:hAnsi="Times New Roman"/>
          <w:sz w:val="12"/>
          <w:szCs w:val="12"/>
          <w:b w:val="1"/>
          <w:bCs w:val="1"/>
          <w:i w:val="1"/>
          <w:iCs w:val="1"/>
          <w:color w:val="auto"/>
        </w:rPr>
        <w:t>Transfer Taxes</w:t>
      </w:r>
      <w:r>
        <w:rPr>
          <w:rFonts w:ascii="Times New Roman" w:cs="Times New Roman" w:eastAsia="Times New Roman" w:hAnsi="Times New Roman"/>
          <w:sz w:val="12"/>
          <w:szCs w:val="12"/>
          <w:color w:val="auto"/>
        </w:rPr>
        <w:t>”) shall be borne and paid equally between CGC and the Company.</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5.6        Exclusive Dealing</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From the date of this Agreement until the earlier of the Closing or the termination of this Agreement in accordance with its terms, the Company shall not, and shall cause the other Group Companies and its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their respective Representatives not to, directly or indirectly: (i) solicit, initiate, induce, encourage (including by means of furnishing or disclosing information), facilitate, discuss or negotiate, directly or indirectly, any inquiry, proposal or offer (written or oral) that constitutes, or that could reasonably be expected to lead to, a Company Acquisition Proposal; (ii) furnish or disclose any non-public information to any Person in connection with, or that could reasonably be expected to lead to, a Company Acquisition Proposal; (iii) enter into any Contract or other arrangement or understanding regarding a Company Acquisition Proposal; (iv) prepare or take any steps in connection with a public offering of any Equity Securities of any Group Company (or any Affiliate or successor of any Group Company); or (v) otherwise cooperate in any way with, or assist or participate in, or knowingly facilitate or encourage any effort or attempt by any Person to do or seek to do any of the foregoing. The Company agrees to (A) notify CGC promptly upon receipt of any Company Acquisition Proposal by any Group Company, and to describe the material terms and conditions of any such Company Acquisition Proposal in reasonable detail (including the identity of the Persons making such Company Acquisition Proposal) and (B) keep CGC reasonably informed on a current basis of any modifications to such offer or information.</w:t>
      </w:r>
    </w:p>
    <w:p>
      <w:pPr>
        <w:spacing w:after="0" w:line="123"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From the date of this Agreement until the earlier of the Closing or the termination of this Agreement in accordance with its terms, the CGC Parties shall not, and each of them shall cause their Representatives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not to, directly or indirectly: (i) solicit, initiate, induce, encourage (including by means of furnishing or disclosing information), facilitate, discuss or negotiate, directly or indirectly, any inquiry, proposal or offer (written or oral) that constitutes, or that could reasonably be expected to lead to a CGC Acquisition Proposal; (ii) furnish or disclose any non-public information to any Person in connection with, or that could reasonably be expected to lead to, a CGC Acquisition Proposal; (iii) enter into any Contract or other arrangement or understanding regarding an CGC Acquisition Proposal; (iv) prepare or take any steps in connection with an offering of any securities of any CGC Party (or any Affiliate or successor of any CGC Party); or (v) otherwise cooperate in any way with, or assist or participate in, or knowingly facilitate or encourage any effort or attempt by any Person to do or seek to do any of the foregoing. CGC agrees to (A) notify the Company promptly upon receipt of any CGC Acquisition Proposal by any CGC Party, and to describe the material terms and conditions of any such CGC Acquisition Proposal in reasonable detail (including the identity of any person or entity making such CGC Acquisition Proposal) and (B) keep the Company reasonably informed on a current basis of any modifications to such offer or information.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66" w:name="page67"/>
    <w:bookmarkEnd w:id="66"/>
    <w:p>
      <w:pPr>
        <w:jc w:val="both"/>
        <w:ind w:firstLine="432"/>
        <w:spacing w:after="0" w:line="252" w:lineRule="auto"/>
        <w:rPr>
          <w:sz w:val="20"/>
          <w:szCs w:val="20"/>
          <w:color w:val="auto"/>
        </w:rPr>
      </w:pPr>
      <w:r>
        <w:rPr>
          <w:rFonts w:ascii="Times New Roman" w:cs="Times New Roman" w:eastAsia="Times New Roman" w:hAnsi="Times New Roman"/>
          <w:sz w:val="12"/>
          <w:szCs w:val="12"/>
          <w:b w:val="1"/>
          <w:bCs w:val="1"/>
          <w:color w:val="auto"/>
        </w:rPr>
        <w:t>Section 5.7        Preparation of Registration Statement / Proxy Statement</w:t>
      </w:r>
      <w:r>
        <w:rPr>
          <w:rFonts w:ascii="Times New Roman" w:cs="Times New Roman" w:eastAsia="Times New Roman" w:hAnsi="Times New Roman"/>
          <w:sz w:val="12"/>
          <w:szCs w:val="12"/>
          <w:color w:val="auto"/>
        </w:rPr>
        <w:t>. The Company shall promptly provide to CGC such information concerning the Company and the Company Stockholders as is either required by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federal securities laws or reasonably requested by CGC for inclusion in the Registration Statement / Proxy Statement. As promptly as practicable after the receipt by CGC from the Company of all such information, including the PCAOB Financials, CGC and the Company shall prepare and mutually agree upon (such agreement not to be unreasonably withheld, conditioned or delayed by either CGC or the Company, as applicable), and CGC shall file with the SEC, the Registration Statement / Proxy Statement (it being understood that the Registration Statement / Proxy Statement shall include a proxy statement / prospectus of CGC which will be included therein and which will be used for the CGC Shareholders Meeting to adopt and approve the Transaction Proposals, provide its applicable shareholders with the opportunity to elect to effect the CGC Shareholder Redemption, and other matters reasonably related to the Transaction Proposals, all in accordance with and as required by CGC’s Governing Documents, applicable Law, and any applicable rules and regulations of the SEC and Nasdaq). Each of CGC and the Company shall use its reasonable best efforts to (a) cause the Registration Statement / Proxy Statement to comply in all material respects with the applicable rules and regulations promulgated by the SEC (including, with respect to the Group Companies, the provision of financial statements of, and any other information with respect to, the Group Companies for all periods, and in the form, required to be included in the Registration Statement / Proxy Statement under Securities Laws (after giving effect to any waivers received) or in response to any comments from the SEC); (b) promptly notify the others of, reasonably cooperate with each other with respect to, mutually agree upon (such agreement not to be unreasonably withheld, conditioned or delayed by either of CGC or the Company, as applicable) and respond promptly to any comments of the SEC or its staff; (c) have the Registration Statement / Proxy Statement declared effective under the Securities Act as promptly as reasonably practicable after it is filed with the SEC; and (d) keep the Registration Statement / Proxy Statement effective through the Closing in order to permit the consummation of the transactions contemplated by this Agreement. CGC, on the one hand, and the Company, on the other hand, shall use reasonable best efforts to promptly furnish, or cause to be furnished, to the other all information concerning such Party, its Non-Party Affiliates and their respective Representatives that may be required or reasonably requested in connection with any action contemplated by this Section 5.7 or for inclusion in any other statement, filing, notice or application made by or on behalf of CGC to the SEC or Nasdaq in connection with the transactions contemplated by this Agreement or the Ancillary Documents, including using reasonable best efforts to deliver customary Tax representation letters to counsel to enable counsel to deliver any Tax opinions requested or required by the SEC to be submitted in connection therewith as described in Section 5.5(a)(iii). If any Party becomes aware of any information that should be disclosed in an amendment or supplement to the Registration Statement / Proxy Statement, then (i) such Party shall promptly inform, in the case of any CGC Party, the Company, or, in the case of the Company, CGC, thereof; (ii) such Party shall prepare and mutually agree upon with, in the case of CGC, the Company, or, in the case of the Company, CGC (in either case, such agreement not to be unreasonably withheld, conditioned or delayed), an amendment or supplement to the Registration Statement / Proxy Statement; (iii) CGC shall file such mutually agreed upon amendment or supplement with the SEC; and (iv) the Parties shall reasonably cooperate, if appropriate, in mailing such amendment or supplement to the Pre-Closing CGC Holders. CGC shall as promptly as reasonably practicable advise the Company of the time of effectiveness of the Registration Statement / Proxy Statement, the issuance of any stop order relating thereto or the suspension of the qualification of CGC Shares for offering or sale in any jurisdiction, and CGC and the Company shall each use its reasonable best efforts to have any such stop order or suspension lifted, reversed or otherwise terminated. Each of the Parties shall use reasonable best efforts to ensure that none of the information related to him, her or it or any of his, her or its Non-Party Affiliates or its or their respective Representatives, supplied by or on his, her or its behalf for inclusion or incorporation by reference in the Registration Statement / Proxy Statement will, at the time the Registration Statement / Proxy Statement is initially filed with the SEC, at each time at which it is amended, or at the time it becomes effective under the Securities Act contain any untrue statement of a material fact or omit to state any material fact required to be stated therein or necessary to make the statements therein, in light of the circumstances under which they are made, not misleading.</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67" w:name="page68"/>
    <w:bookmarkEnd w:id="67"/>
    <w:p>
      <w:pPr>
        <w:jc w:val="both"/>
        <w:ind w:firstLine="432"/>
        <w:spacing w:after="0" w:line="252" w:lineRule="auto"/>
        <w:rPr>
          <w:sz w:val="20"/>
          <w:szCs w:val="20"/>
          <w:color w:val="auto"/>
        </w:rPr>
      </w:pPr>
      <w:r>
        <w:rPr>
          <w:rFonts w:ascii="Times New Roman" w:cs="Times New Roman" w:eastAsia="Times New Roman" w:hAnsi="Times New Roman"/>
          <w:sz w:val="12"/>
          <w:szCs w:val="12"/>
          <w:b w:val="1"/>
          <w:bCs w:val="1"/>
          <w:color w:val="auto"/>
        </w:rPr>
        <w:t>Section 5.8        CGC Shareholder Approval</w:t>
      </w:r>
      <w:r>
        <w:rPr>
          <w:rFonts w:ascii="Times New Roman" w:cs="Times New Roman" w:eastAsia="Times New Roman" w:hAnsi="Times New Roman"/>
          <w:sz w:val="12"/>
          <w:szCs w:val="12"/>
          <w:color w:val="auto"/>
        </w:rPr>
        <w:t>. As promptly as reasonably practicable following the time at which the Registration Statement / Proxy Statement is declared effective under the Securities Act, CGC shall (a) duly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give notice of and (b) use reasonable best efforts to duly convene and hold a meeting of its shareholders (the “</w:t>
      </w:r>
      <w:r>
        <w:rPr>
          <w:rFonts w:ascii="Times New Roman" w:cs="Times New Roman" w:eastAsia="Times New Roman" w:hAnsi="Times New Roman"/>
          <w:sz w:val="12"/>
          <w:szCs w:val="12"/>
          <w:b w:val="1"/>
          <w:bCs w:val="1"/>
          <w:i w:val="1"/>
          <w:iCs w:val="1"/>
          <w:color w:val="auto"/>
        </w:rPr>
        <w:t>CGC Shareholders Meeting</w:t>
      </w:r>
      <w:r>
        <w:rPr>
          <w:rFonts w:ascii="Times New Roman" w:cs="Times New Roman" w:eastAsia="Times New Roman" w:hAnsi="Times New Roman"/>
          <w:sz w:val="12"/>
          <w:szCs w:val="12"/>
          <w:color w:val="auto"/>
        </w:rPr>
        <w:t>”) in accordance with the Governing Documents of CGC, for the purposes of obtaining the CGC Shareholder Approval and, if applicable, any approvals related thereto and providing its shareholders with the opportunity to elect to effect an CGC Shareholder Redemption. CGC shall, through unanimous approval of its board of directors, recommend to its shareholders (the “</w:t>
      </w:r>
      <w:r>
        <w:rPr>
          <w:rFonts w:ascii="Times New Roman" w:cs="Times New Roman" w:eastAsia="Times New Roman" w:hAnsi="Times New Roman"/>
          <w:sz w:val="12"/>
          <w:szCs w:val="12"/>
          <w:b w:val="1"/>
          <w:bCs w:val="1"/>
          <w:i w:val="1"/>
          <w:iCs w:val="1"/>
          <w:color w:val="auto"/>
        </w:rPr>
        <w:t>CGC Board Recommendation</w:t>
      </w:r>
      <w:r>
        <w:rPr>
          <w:rFonts w:ascii="Times New Roman" w:cs="Times New Roman" w:eastAsia="Times New Roman" w:hAnsi="Times New Roman"/>
          <w:sz w:val="12"/>
          <w:szCs w:val="12"/>
          <w:color w:val="auto"/>
        </w:rPr>
        <w:t>”), (i) the adoption and approval of this Agreement and the transactions contemplated hereby (including the Merger) (the “</w:t>
      </w:r>
      <w:r>
        <w:rPr>
          <w:rFonts w:ascii="Times New Roman" w:cs="Times New Roman" w:eastAsia="Times New Roman" w:hAnsi="Times New Roman"/>
          <w:sz w:val="12"/>
          <w:szCs w:val="12"/>
          <w:b w:val="1"/>
          <w:bCs w:val="1"/>
          <w:i w:val="1"/>
          <w:iCs w:val="1"/>
          <w:color w:val="auto"/>
        </w:rPr>
        <w:t>Business Combination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Proposal</w:t>
      </w:r>
      <w:r>
        <w:rPr>
          <w:rFonts w:ascii="Times New Roman" w:cs="Times New Roman" w:eastAsia="Times New Roman" w:hAnsi="Times New Roman"/>
          <w:sz w:val="12"/>
          <w:szCs w:val="12"/>
          <w:color w:val="auto"/>
        </w:rPr>
        <w:t>”); (ii) the adoption and the approval of the Domestication (the “</w:t>
      </w:r>
      <w:r>
        <w:rPr>
          <w:rFonts w:ascii="Times New Roman" w:cs="Times New Roman" w:eastAsia="Times New Roman" w:hAnsi="Times New Roman"/>
          <w:sz w:val="12"/>
          <w:szCs w:val="12"/>
          <w:b w:val="1"/>
          <w:bCs w:val="1"/>
          <w:i w:val="1"/>
          <w:iCs w:val="1"/>
          <w:color w:val="auto"/>
        </w:rPr>
        <w:t>Domestication Proposal</w:t>
      </w:r>
      <w:r>
        <w:rPr>
          <w:rFonts w:ascii="Times New Roman" w:cs="Times New Roman" w:eastAsia="Times New Roman" w:hAnsi="Times New Roman"/>
          <w:sz w:val="12"/>
          <w:szCs w:val="12"/>
          <w:color w:val="auto"/>
        </w:rPr>
        <w:t>”); (iii) the adoption and approval of the issuance of the CGC Shares in connection with the transactions contemplated by this Agreement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and the PIPE Financing as required by Nasdaq listing requirements (the “</w:t>
      </w:r>
      <w:r>
        <w:rPr>
          <w:rFonts w:ascii="Times New Roman" w:cs="Times New Roman" w:eastAsia="Times New Roman" w:hAnsi="Times New Roman"/>
          <w:sz w:val="12"/>
          <w:szCs w:val="12"/>
          <w:b w:val="1"/>
          <w:bCs w:val="1"/>
          <w:i w:val="1"/>
          <w:iCs w:val="1"/>
          <w:color w:val="auto"/>
        </w:rPr>
        <w:t>Nasdaq Proposal</w:t>
      </w:r>
      <w:r>
        <w:rPr>
          <w:rFonts w:ascii="Times New Roman" w:cs="Times New Roman" w:eastAsia="Times New Roman" w:hAnsi="Times New Roman"/>
          <w:sz w:val="12"/>
          <w:szCs w:val="12"/>
          <w:color w:val="auto"/>
        </w:rPr>
        <w:t>”); (iv) the adoption and approval of the amendments to the Governing Documents of CGC contemplated by the CGC Certificate of Incorporation and the CGC Bylaws (the “</w:t>
      </w:r>
      <w:r>
        <w:rPr>
          <w:rFonts w:ascii="Times New Roman" w:cs="Times New Roman" w:eastAsia="Times New Roman" w:hAnsi="Times New Roman"/>
          <w:sz w:val="12"/>
          <w:szCs w:val="12"/>
          <w:b w:val="1"/>
          <w:bCs w:val="1"/>
          <w:i w:val="1"/>
          <w:iCs w:val="1"/>
          <w:color w:val="auto"/>
        </w:rPr>
        <w:t>Governing Document Proposals</w:t>
      </w:r>
      <w:r>
        <w:rPr>
          <w:rFonts w:ascii="Times New Roman" w:cs="Times New Roman" w:eastAsia="Times New Roman" w:hAnsi="Times New Roman"/>
          <w:sz w:val="12"/>
          <w:szCs w:val="12"/>
          <w:color w:val="auto"/>
        </w:rPr>
        <w:t>”); (v) the adoption and approval of the CGC Equity Incentive Plan (the “</w:t>
      </w:r>
      <w:r>
        <w:rPr>
          <w:rFonts w:ascii="Times New Roman" w:cs="Times New Roman" w:eastAsia="Times New Roman" w:hAnsi="Times New Roman"/>
          <w:sz w:val="12"/>
          <w:szCs w:val="12"/>
          <w:b w:val="1"/>
          <w:bCs w:val="1"/>
          <w:i w:val="1"/>
          <w:iCs w:val="1"/>
          <w:color w:val="auto"/>
        </w:rPr>
        <w:t>Equity Incentive Plan Proposal</w:t>
      </w:r>
      <w:r>
        <w:rPr>
          <w:rFonts w:ascii="Times New Roman" w:cs="Times New Roman" w:eastAsia="Times New Roman" w:hAnsi="Times New Roman"/>
          <w:sz w:val="12"/>
          <w:szCs w:val="12"/>
          <w:color w:val="auto"/>
        </w:rPr>
        <w:t>”); (vi) the adoption and approval of the CGC Employee Stock Purchase Plan (the “</w:t>
      </w:r>
      <w:r>
        <w:rPr>
          <w:rFonts w:ascii="Times New Roman" w:cs="Times New Roman" w:eastAsia="Times New Roman" w:hAnsi="Times New Roman"/>
          <w:sz w:val="12"/>
          <w:szCs w:val="12"/>
          <w:b w:val="1"/>
          <w:bCs w:val="1"/>
          <w:i w:val="1"/>
          <w:iCs w:val="1"/>
          <w:color w:val="auto"/>
        </w:rPr>
        <w:t>ESPP Proposal</w:t>
      </w:r>
      <w:r>
        <w:rPr>
          <w:rFonts w:ascii="Times New Roman" w:cs="Times New Roman" w:eastAsia="Times New Roman" w:hAnsi="Times New Roman"/>
          <w:sz w:val="12"/>
          <w:szCs w:val="12"/>
          <w:color w:val="auto"/>
        </w:rPr>
        <w:t>”); (vii) the adoption and approval of each other proposal that either the SEC or Nasdaq (or the respective staff members thereof) indicates is necessary in its comments to the Registration Statement / Proxy Statement or in correspondence related thereto; (viii) the adoption and approval of each other proposal reasonably agreed to by CGC and the Company as necessary or appropriate in connection with the consummation of the transactions contemplated by this Agreement or the Ancillary Documents; and (ix) the adoption and approval of a proposal for the adjournment of the CGC Shareholders Meeting, if necessary, to permit further solicitation of proxies because there are not sufficient votes to approve and adopt any of the foregoing (such proposals in (i) through (ix) together, the “</w:t>
      </w:r>
      <w:r>
        <w:rPr>
          <w:rFonts w:ascii="Times New Roman" w:cs="Times New Roman" w:eastAsia="Times New Roman" w:hAnsi="Times New Roman"/>
          <w:sz w:val="12"/>
          <w:szCs w:val="12"/>
          <w:b w:val="1"/>
          <w:bCs w:val="1"/>
          <w:i w:val="1"/>
          <w:iCs w:val="1"/>
          <w:color w:val="auto"/>
        </w:rPr>
        <w:t>Transaction Proposals</w:t>
      </w:r>
      <w:r>
        <w:rPr>
          <w:rFonts w:ascii="Times New Roman" w:cs="Times New Roman" w:eastAsia="Times New Roman" w:hAnsi="Times New Roman"/>
          <w:sz w:val="12"/>
          <w:szCs w:val="12"/>
          <w:color w:val="auto"/>
        </w:rPr>
        <w:t>”); provided that CGC may adjourn the CGC Shareholders Meeting (A) to solicit additional proxies for the purpose of obtaining the CGC Shareholder Approval, (B) for the absence of a quorum, (C) to allow reasonable additional time for the filing or mailing of any supplemental or amended disclosures that CGC has determined, based on the advice of outside legal counsel, is reasonably likely to be required under applicable Law and for such supplemental or amended disclosure to be disseminated and reviewed by the Pre-Closing CGC Holders prior to the CGC Shareholders Meeting or (D) if the holders of CGC Class A Shares have elected to redeem a number of CGC Class A Shares as of such time that would reasonably be expected to result in the condition set forth in Section 6.3(d) not being satisfied; provided that, without the consent of the Company, in no event shall CGC adjourn the CGC Shareholders Meeting for more than fifteen (15) Business Days later than the most recently adjourned meeting or to a date that is beyond the Termination Date. The CGC recommendation contemplated by the preceding sentence shall be included in the Registration Statement / Proxy Statement. Except as otherwise required by applicable Law, CGC covenants that none of the CGC Board or CGC nor any committee of the CGC Board shall withdraw or modify, or propose publicly or by formal action of the CGC Board, any committee of the CGC Board or CGC to withdraw or modify, in a manner adverse to the Company, the CGC Board Recommendation or any other recommendation by the CGC Board or CGC of the proposals set forth in the Registration Statement / Proxy Statement.</w:t>
      </w:r>
    </w:p>
    <w:p>
      <w:pPr>
        <w:spacing w:after="0" w:line="127"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Section 5.9        Merger Sub Shareholder Approval</w:t>
      </w:r>
      <w:r>
        <w:rPr>
          <w:rFonts w:ascii="Times New Roman" w:cs="Times New Roman" w:eastAsia="Times New Roman" w:hAnsi="Times New Roman"/>
          <w:sz w:val="12"/>
          <w:szCs w:val="12"/>
          <w:color w:val="auto"/>
        </w:rPr>
        <w:t>. As promptly as reasonably practicable (and in any event within one Business Day) following the date of this Agreement, CGC, as the sole shareholder of Merger Sub, will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approve and adopt this Agreement, the Ancillary Documents to which Merger Sub is or will be a party and the transactions contemplated hereby and thereby (including the Merger).</w:t>
      </w:r>
    </w:p>
    <w:p>
      <w:pPr>
        <w:spacing w:after="0" w:line="10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Section 5.10        Conduct of Business of CGC</w:t>
      </w:r>
      <w:r>
        <w:rPr>
          <w:rFonts w:ascii="Times New Roman" w:cs="Times New Roman" w:eastAsia="Times New Roman" w:hAnsi="Times New Roman"/>
          <w:sz w:val="12"/>
          <w:szCs w:val="12"/>
          <w:color w:val="auto"/>
        </w:rPr>
        <w:t>. From and after the date of this Agreement until the earlier of the Closing or the termination of this Agreement in accordance with its terms, CGC shall not, and shall cause Merger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Sub not to, except as expressly contemplated by this Agreement or any Ancillary Document (including, for the avoidance of doubt, in connection with the Domestication or the PIPE Financing), as required by applicable Law, as set forth on Section 5.10 of the CGC Disclosure Schedules or as consented to in writing by the Company (such consent not to be unreasonably withheld, conditioned or delayed), do any of the following:</w:t>
      </w:r>
    </w:p>
    <w:p>
      <w:pPr>
        <w:spacing w:after="0" w:line="11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adopt any amendments, supplements, restatements or modifications to the Trust Agreement or the Governing Documents of any of the CGC Parties;</w:t>
      </w:r>
    </w:p>
    <w:p>
      <w:pPr>
        <w:spacing w:after="0" w:line="150" w:lineRule="exact"/>
        <w:rPr>
          <w:sz w:val="20"/>
          <w:szCs w:val="20"/>
          <w:color w:val="auto"/>
        </w:rPr>
      </w:pPr>
    </w:p>
    <w:p>
      <w:pPr>
        <w:jc w:val="both"/>
        <w:ind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declare, set aside, make or pay a dividend on, or make any other distribution or payment in respect of, any Equity Securities of any CGC Party, or repurchase, redeem or otherwise acquire, or offer to repurchase,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redeem or otherwise acquire, any outstanding Equity Securities of any of the CGC Parties, as applicable;</w:t>
      </w:r>
    </w:p>
    <w:p>
      <w:pPr>
        <w:spacing w:after="0" w:line="10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split, combine or reclassify any of its capital stock or other Equity Securities or issue any other security in respect of, in lieu of or in substitution for shares of its capital stock;</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b w:val="1"/>
          <w:bCs w:val="1"/>
          <w:color w:val="auto"/>
        </w:rPr>
        <w:t>(d)            </w:t>
      </w:r>
      <w:r>
        <w:rPr>
          <w:rFonts w:ascii="Times New Roman" w:cs="Times New Roman" w:eastAsia="Times New Roman" w:hAnsi="Times New Roman"/>
          <w:sz w:val="12"/>
          <w:szCs w:val="12"/>
          <w:color w:val="auto"/>
        </w:rPr>
        <w:t>other than working capital loans, incur, create or assume any Indebtedness or other Liability;</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b w:val="1"/>
          <w:bCs w:val="1"/>
          <w:color w:val="auto"/>
        </w:rPr>
        <w:t>(e)            </w:t>
      </w:r>
      <w:r>
        <w:rPr>
          <w:rFonts w:ascii="Times New Roman" w:cs="Times New Roman" w:eastAsia="Times New Roman" w:hAnsi="Times New Roman"/>
          <w:sz w:val="12"/>
          <w:szCs w:val="12"/>
          <w:color w:val="auto"/>
        </w:rPr>
        <w:t>make any loans or advances to, or capital contributions in, any other Person, other than to, or in, any of the CGC Parties;</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b w:val="1"/>
          <w:bCs w:val="1"/>
          <w:color w:val="auto"/>
        </w:rPr>
        <w:t>(f)            </w:t>
      </w:r>
      <w:r>
        <w:rPr>
          <w:rFonts w:ascii="Times New Roman" w:cs="Times New Roman" w:eastAsia="Times New Roman" w:hAnsi="Times New Roman"/>
          <w:sz w:val="12"/>
          <w:szCs w:val="12"/>
          <w:color w:val="auto"/>
        </w:rPr>
        <w:t>issue any Equity Securities or grant any additional options, warrants or stock appreciation rights with respect to its Equity Securities;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68" w:name="page69"/>
    <w:bookmarkEnd w:id="68"/>
    <w:p>
      <w:pPr>
        <w:jc w:val="both"/>
        <w:ind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(g)           </w:t>
      </w:r>
      <w:r>
        <w:rPr>
          <w:rFonts w:ascii="Times New Roman" w:cs="Times New Roman" w:eastAsia="Times New Roman" w:hAnsi="Times New Roman"/>
          <w:sz w:val="12"/>
          <w:szCs w:val="12"/>
          <w:color w:val="auto"/>
        </w:rPr>
        <w:t>enter into, renew, modify or revise any CGC Related Party Transaction (or any Contract or agreement that if entered into prior to the execution and delivery of this Agreement would be a CGC Related Party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Transaction), other than for the avoidance of doubt, any expiration or automatic extension or renewal of any Contract pursuant to its terms or working capital loans;</w:t>
      </w:r>
    </w:p>
    <w:p>
      <w:pPr>
        <w:spacing w:after="0" w:line="103" w:lineRule="exact"/>
        <w:rPr>
          <w:sz w:val="20"/>
          <w:szCs w:val="20"/>
          <w:color w:val="auto"/>
        </w:rPr>
      </w:pPr>
    </w:p>
    <w:p>
      <w:pPr>
        <w:jc w:val="both"/>
        <w:ind w:firstLine="864"/>
        <w:spacing w:after="0" w:line="268" w:lineRule="auto"/>
        <w:rPr>
          <w:sz w:val="20"/>
          <w:szCs w:val="20"/>
          <w:color w:val="auto"/>
        </w:rPr>
      </w:pPr>
      <w:r>
        <w:rPr>
          <w:rFonts w:ascii="Times New Roman" w:cs="Times New Roman" w:eastAsia="Times New Roman" w:hAnsi="Times New Roman"/>
          <w:sz w:val="12"/>
          <w:szCs w:val="12"/>
          <w:b w:val="1"/>
          <w:bCs w:val="1"/>
          <w:color w:val="auto"/>
        </w:rPr>
        <w:t>(h)           </w:t>
      </w:r>
      <w:r>
        <w:rPr>
          <w:rFonts w:ascii="Times New Roman" w:cs="Times New Roman" w:eastAsia="Times New Roman" w:hAnsi="Times New Roman"/>
          <w:sz w:val="12"/>
          <w:szCs w:val="12"/>
          <w:color w:val="auto"/>
        </w:rPr>
        <w:t>engage in activities or business, other than any activities or business (i) in connection with or incident or related to such Person’s organization, incorporation or formation, as applicable, or continuing corporate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(or similar) existence, (ii) contemplated by, or incident or related to, this Agreement, any Ancillary Document, the performance of covenants or agreements hereunder or thereunder or the consummation of the transactions contemplated hereby or thereby or (iii) those that are administrative or ministerial in nature;</w:t>
      </w:r>
    </w:p>
    <w:p>
      <w:pPr>
        <w:spacing w:after="0" w:line="114" w:lineRule="exact"/>
        <w:rPr>
          <w:sz w:val="20"/>
          <w:szCs w:val="20"/>
          <w:color w:val="auto"/>
        </w:rPr>
      </w:pPr>
    </w:p>
    <w:p>
      <w:pPr>
        <w:jc w:val="both"/>
        <w:ind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(i)            </w:t>
      </w:r>
      <w:r>
        <w:rPr>
          <w:rFonts w:ascii="Times New Roman" w:cs="Times New Roman" w:eastAsia="Times New Roman" w:hAnsi="Times New Roman"/>
          <w:sz w:val="12"/>
          <w:szCs w:val="12"/>
          <w:color w:val="auto"/>
        </w:rPr>
        <w:t>make, change or revoke any material election concerning Taxes, enter into any material Tax closing agreement, settle any material Tax claim or assessment, or consent to any extension or waiver of the limitation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period applicable to or relating to any material Tax claim or assessment, other than any such extension or waiver that is obtained in the ordinary course of business;</w:t>
      </w:r>
    </w:p>
    <w:p>
      <w:pPr>
        <w:spacing w:after="0" w:line="10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b w:val="1"/>
          <w:bCs w:val="1"/>
          <w:color w:val="auto"/>
        </w:rPr>
        <w:t>(j)            </w:t>
      </w:r>
      <w:r>
        <w:rPr>
          <w:rFonts w:ascii="Times New Roman" w:cs="Times New Roman" w:eastAsia="Times New Roman" w:hAnsi="Times New Roman"/>
          <w:sz w:val="12"/>
          <w:szCs w:val="12"/>
          <w:color w:val="auto"/>
        </w:rPr>
        <w:t>authorize, recommend, propose or announce an intention to adopt a plan of complete or partial liquidation or dissolution;</w:t>
      </w:r>
    </w:p>
    <w:p>
      <w:pPr>
        <w:spacing w:after="0" w:line="150" w:lineRule="exact"/>
        <w:rPr>
          <w:sz w:val="20"/>
          <w:szCs w:val="20"/>
          <w:color w:val="auto"/>
        </w:rPr>
      </w:pPr>
    </w:p>
    <w:p>
      <w:pPr>
        <w:jc w:val="both"/>
        <w:ind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(k)           </w:t>
      </w:r>
      <w:r>
        <w:rPr>
          <w:rFonts w:ascii="Times New Roman" w:cs="Times New Roman" w:eastAsia="Times New Roman" w:hAnsi="Times New Roman"/>
          <w:sz w:val="12"/>
          <w:szCs w:val="12"/>
          <w:color w:val="auto"/>
        </w:rPr>
        <w:t>enter into any Contract with any broker, finder, investment banker or other Person under which such Person is or will be entitled to any brokerage fee, finders’ fee or other commission in connection with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transactions contemplated by this Agreement; or</w:t>
      </w:r>
    </w:p>
    <w:p>
      <w:pPr>
        <w:spacing w:after="0" w:line="10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b w:val="1"/>
          <w:bCs w:val="1"/>
          <w:color w:val="auto"/>
        </w:rPr>
        <w:t>(l)            </w:t>
      </w:r>
      <w:r>
        <w:rPr>
          <w:rFonts w:ascii="Times New Roman" w:cs="Times New Roman" w:eastAsia="Times New Roman" w:hAnsi="Times New Roman"/>
          <w:sz w:val="12"/>
          <w:szCs w:val="12"/>
          <w:color w:val="auto"/>
        </w:rPr>
        <w:t>enter into any Contract to take, or cause to be taken, any of the actions set forth in this Section 5.10.</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Notwithstanding anything in this Section 5.10 or this Agreement to the contrary, (i) nothing set forth in this Agreement shall give the Company, directly or indirectly, the right to control or direct the operations of any of the CGC Parties and (ii) nothing set forth in this Agreement shall prohibit, or otherwise restrict the ability of, any of the CGC Parties from using the funds held by CGC outside the Trust Account to pay any CGC Expenses or from otherwise distributing or paying over any funds held by CGC outside the Trust Account to the Sponsor or any of its Affiliates, in each case, prior to the Closing.</w:t>
      </w:r>
    </w:p>
    <w:p>
      <w:pPr>
        <w:spacing w:after="0" w:line="115"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Section 5.11        Nasdaq Listing</w:t>
      </w:r>
      <w:r>
        <w:rPr>
          <w:rFonts w:ascii="Times New Roman" w:cs="Times New Roman" w:eastAsia="Times New Roman" w:hAnsi="Times New Roman"/>
          <w:sz w:val="12"/>
          <w:szCs w:val="12"/>
          <w:color w:val="auto"/>
        </w:rPr>
        <w:t>. CGC and the Company shall use their respective reasonable best efforts and shall cooperate in good faith to cause: (a) CGC’s initial listing application with Nasdaq in connection with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transactions contemplated by this Agreement to have been approved: (b) CGC, taking into account its contemplated combination with the Company, to satisfy all applicable initial and continuing listing requirements of Nasdaq, including sufficient round lot holders, unrestricted publicly-held CGC shares and public float (including those expected to be held by historic stakeholders of the Company); and (c) the CGC Shares issuable in accordance with this Agreement, including the Domestication and the Merger, to be approved for listing on Nasdaq, subject to official notice of issuance, in each case, as promptly as reasonably practicable after the date of this Agreement, and in any event prior to the Effective Time.</w:t>
      </w:r>
    </w:p>
    <w:p>
      <w:pPr>
        <w:spacing w:after="0" w:line="119"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Section 5.12        Trust Account</w:t>
      </w:r>
      <w:r>
        <w:rPr>
          <w:rFonts w:ascii="Times New Roman" w:cs="Times New Roman" w:eastAsia="Times New Roman" w:hAnsi="Times New Roman"/>
          <w:sz w:val="12"/>
          <w:szCs w:val="12"/>
          <w:color w:val="auto"/>
        </w:rPr>
        <w:t>. Upon satisfaction or, to the extent permitted by applicable Law, waiver of the conditions set forth in Article 6 and provision of notice thereof to the Trustee, (a) at the Closing, CGC shall (i) cause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documents, certificates and notices required to be delivered to the Trustee pursuant to the Trust Agreement to be so delivered, and (ii) make all appropriate arrangements to cause the Trustee to (A) pay as and when due all amounts, if any, payable to the Public Shareholders of CGC pursuant to the CGC Shareholder Redemption, (B) pay the amounts due to the underwriters of CGC’s initial public offering for their deferred underwriting commissions as set forth in the Trust Agreement and (C) immediately thereafter, pay all remaining amounts then available in the Trust Account to CGC in accordance with the Trust Agreement, and (b) thereafter, the Trust Account shall terminate, except as otherwise provided therein.</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5.13        Additional Stockholder Support Agreements; Company Stockholder Approval</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8"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From and after the date hereof, the Company shall use its reasonable best efforts to obtain an executed Stockholder Support Agreement from each of the other Company Stockholder who have not executed such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documents as of the date hereof. The Company shall timely provide to the Company Stockholders all advance notices required to be given to such Company Stockholders in connection with this Agreement, the Merger and the transactions contemplated by this Agreement under the Company’s Governing Documents or other applicable Contracts and under applicable Law (or otherwise obtain waivers with respect to the same).</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69" w:name="page70"/>
    <w:bookmarkEnd w:id="69"/>
    <w:p>
      <w:pPr>
        <w:jc w:val="both"/>
        <w:ind w:firstLine="864"/>
        <w:spacing w:after="0" w:line="256"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As promptly as reasonably practicable (and in any event within two (2) Business Days) following the date on which the Registration Statement / Proxy Statement is declared effective under the Securities Act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i w:val="1"/>
          <w:iCs w:val="1"/>
          <w:color w:val="auto"/>
        </w:rPr>
        <w:t>Company Stockholder Written Consent Deadline</w:t>
      </w:r>
      <w:r>
        <w:rPr>
          <w:rFonts w:ascii="Times New Roman" w:cs="Times New Roman" w:eastAsia="Times New Roman" w:hAnsi="Times New Roman"/>
          <w:sz w:val="12"/>
          <w:szCs w:val="12"/>
          <w:color w:val="auto"/>
        </w:rPr>
        <w:t>”), the Company shall obtain and deliver to CGC a true and correct copy of the adoption and approval of this Agreement and the transactions contemplated hereby by the Company Stockholders acting by written consent in lieu of a meeting (in form and substance reasonably satisfactory to CGC) approving this Agreement, the Ancillary Documents to which the Company is or will be a party and the transactions contemplated hereby and thereby (including the Merger and the Company Preferred Share Conversion) that is duly executed by the Company Stockholders that hold at least (i) the requisite number of issued and outstanding Company Shares required to approve and adopt such matters in accordance with the DGCL, the Company’s Governing Documents and the Company Stockholder Agreements, and (ii) the Requisite Company Preferred Majority (clauses (i) and (ii), collectively, the “</w:t>
      </w:r>
      <w:r>
        <w:rPr>
          <w:rFonts w:ascii="Times New Roman" w:cs="Times New Roman" w:eastAsia="Times New Roman" w:hAnsi="Times New Roman"/>
          <w:sz w:val="12"/>
          <w:szCs w:val="12"/>
          <w:b w:val="1"/>
          <w:bCs w:val="1"/>
          <w:i w:val="1"/>
          <w:iCs w:val="1"/>
          <w:color w:val="auto"/>
        </w:rPr>
        <w:t>Company Stockholder Written Consent</w:t>
      </w:r>
      <w:r>
        <w:rPr>
          <w:rFonts w:ascii="Times New Roman" w:cs="Times New Roman" w:eastAsia="Times New Roman" w:hAnsi="Times New Roman"/>
          <w:sz w:val="12"/>
          <w:szCs w:val="12"/>
          <w:color w:val="auto"/>
        </w:rPr>
        <w:t>”). The Company, through the unanimous approval of the Company Board shall recommend to the holders of Company Shares the approval and adoption of this Agreement and the transactions contemplated by this Agreement (including the Merger and the Company Preferred Share Conversion) (the “</w:t>
      </w:r>
      <w:r>
        <w:rPr>
          <w:rFonts w:ascii="Times New Roman" w:cs="Times New Roman" w:eastAsia="Times New Roman" w:hAnsi="Times New Roman"/>
          <w:sz w:val="12"/>
          <w:szCs w:val="12"/>
          <w:b w:val="1"/>
          <w:bCs w:val="1"/>
          <w:i w:val="1"/>
          <w:iCs w:val="1"/>
          <w:color w:val="auto"/>
        </w:rPr>
        <w:t>Company Board Recommendation</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Promptly following the receipt of the Company Stockholder Written Consent, and in any event within five (5) Business Days thereof, the Company shall prepare and deliver to each Company Stockholder who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has not executed and delivered the Company Stockholder Written Consent an information statement, in form and substance required under the DGCL in connection with the Merger and otherwise reasonably satisfactory to CGC, which information statement shall include (i) copies of this Agreement and the Registration Statement / Proxy Statement, (ii) the Company Board Recommendation, (iii) a description of any dissenters’ rights of the Company Stockholders available under Section 262 of the DGCL and any other disclosure with respect to dissenters’ rights required by applicable Law and (iv) in accordance with the requirements of Section 228(e) of the DGCL, notice to any Company Stockholder who has not executed and delivered the Company Stockholder Written Consent of the corporate action by those Company Stockholders who did execute the Company Stockholder Written Consent. Prior to the Effective Time, the Company shall use commercially reasonable efforts to obtain a written consent from each Company Stockholder who has not previously delivered the Company Stockholder Written Consent in respect of such Company Stockholder’s approval and adoption of this Agreement, the Ancillary Documents to which the Company is or will be a party, the transactions contemplated hereby and thereby (including the Merger).</w:t>
      </w:r>
    </w:p>
    <w:p>
      <w:pPr>
        <w:spacing w:after="0" w:line="122"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b w:val="1"/>
          <w:bCs w:val="1"/>
          <w:color w:val="auto"/>
        </w:rPr>
        <w:t>(d)            </w:t>
      </w:r>
      <w:r>
        <w:rPr>
          <w:rFonts w:ascii="Times New Roman" w:cs="Times New Roman" w:eastAsia="Times New Roman" w:hAnsi="Times New Roman"/>
          <w:sz w:val="12"/>
          <w:szCs w:val="12"/>
          <w:color w:val="auto"/>
        </w:rPr>
        <w:t>CGC may not modify or waive any provisions of an Investor Stock Purchase Agreement without the prior written consent of the Company; provided that any modification or waiver that is solely ministerial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nature or otherwise immaterial and does not affect any economic or any other material term of such agreements shall not require the prior written consent of the Company. Subject to the immediately preceding sentence, CGC shall use its reasonable best efforts, and the Company shall use its reasonable best efforts to cooperate with it, (a) to take, or to cause to be taken, all actions required, necessary or that it otherwise deems to be proper or advisable to consummate the transactions contemplated by the Investor Stock Purchase Agreements on or prior to the Closing on the terms described therein, and (b) to satisfy on a timely basis all conditions and covenants applicable to CGC in such agreements and otherwise comply with its obligations thereunder and to enforce the rights of CGC under the Investor Stock Purchase Agreements to cause the applicable investors to pay to (or as directed by) CGC the applicable purchase price in accordance with the terms of the applicable agreements. As promptly as practicable after CGC acquires knowledge thereof, CGC shall give the Company written notice: (i) of any breach or default (or the occurrence of any event or circumstance that, with or without notice, lapse of time or both, could give rise to any breach or default) by any party to any Investor Stock Purchase Agreement known to CGC; (ii) of the receipt of any written notice or other written communication from any party to any Investor Stock Purchase Agreement with respect to any actual, potential or claimed expiration, lapse, withdrawal, breach, default, termination or repudiation by any party to any such agreement or any provisions of any such agreement; or (iii) if CGC does not expect to receive all or any portion of the PIPE Financing on the terms, in the manner, or from the sources contemplated by such agreements.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70" w:name="page71"/>
    <w:bookmarkEnd w:id="70"/>
    <w:p>
      <w:pPr>
        <w:jc w:val="both"/>
        <w:ind w:firstLine="864"/>
        <w:spacing w:after="0" w:line="256" w:lineRule="auto"/>
        <w:rPr>
          <w:sz w:val="20"/>
          <w:szCs w:val="20"/>
          <w:color w:val="auto"/>
        </w:rPr>
      </w:pPr>
      <w:r>
        <w:rPr>
          <w:rFonts w:ascii="Times New Roman" w:cs="Times New Roman" w:eastAsia="Times New Roman" w:hAnsi="Times New Roman"/>
          <w:sz w:val="12"/>
          <w:szCs w:val="12"/>
          <w:b w:val="1"/>
          <w:bCs w:val="1"/>
          <w:color w:val="auto"/>
        </w:rPr>
        <w:t>(e)            </w:t>
      </w:r>
      <w:r>
        <w:rPr>
          <w:rFonts w:ascii="Times New Roman" w:cs="Times New Roman" w:eastAsia="Times New Roman" w:hAnsi="Times New Roman"/>
          <w:sz w:val="12"/>
          <w:szCs w:val="12"/>
          <w:color w:val="auto"/>
        </w:rPr>
        <w:t>As promptly as reasonably practicable (and in any event prior to the earlier of (x) the time at which the Company delivers the Allocation Schedule to CGC pursuant to Section 2.3 or (y) the time at which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Company is required to deliver to the Allocation Schedule to CGC pursuant to Section 2.3), the Company shall either (i) obtain and deliver to CGC a true and correct copy of a written consent (in form and substance reasonably satisfactory to CGC) approving the Allocation Schedule (and calculations and determinations therein) that is duly executed by the Company Stockholders holding the requisite number of Company Shares required to approve such matter in accordance with the DGCL, the Company’s Governing Documents, the Company Stockholders Agreement and each other Contract to which the Company is a party or bound that governs or otherwise relates to the Company Shares or (ii) amend or otherwise modify, or cause to be amended or otherwise modified, the Governing Documents of the Company, the Company Stockholders Agreement and each other Contract to which the Company is a party or bound that governs or otherwise relates to the Company Shares, in each case, solely to the extent necessary for the Allocation Schedule (and the calculations and determinations therein) to comply with clause (C) of Section 2.3 and otherwise in a form and substance reasonably satisfactory to CGC.</w:t>
      </w:r>
    </w:p>
    <w:p>
      <w:pPr>
        <w:spacing w:after="0" w:line="1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b w:val="1"/>
          <w:bCs w:val="1"/>
          <w:color w:val="auto"/>
        </w:rPr>
        <w:t>(f)            </w:t>
      </w:r>
      <w:r>
        <w:rPr>
          <w:rFonts w:ascii="Times New Roman" w:cs="Times New Roman" w:eastAsia="Times New Roman" w:hAnsi="Times New Roman"/>
          <w:sz w:val="12"/>
          <w:szCs w:val="12"/>
          <w:color w:val="auto"/>
        </w:rPr>
        <w:t>The Company may not amend, modify or waive any provisions of a Stockholder Support Agreement without the prior written consent of CGC.</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5.14        CGC Indemnification; Directors’ and Officers’ Insurance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Each Party agrees that (i) all rights to indemnification or exculpation now existing in favor of the directors and officers of each CGC Party, as provided in the applicable CGC Party’s Governing Documents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otherwise in effect as of immediately prior to the Effective Time, in either case, solely with respect to any matters occurring on or prior to the Effective Time shall survive the transactions contemplated by this Agreement and shall continue in full force and effect from and after the Effective Time for a period of six (6) years and (ii) CGC will perform and discharge, or cause to be performed and discharged, all obligations to provide such indemnity and exculpation during such six (6)-year period. To the maximum extent permitted by applicable Law, during such six (6)-year period, CGC shall advance, or caused to be advanced, expenses in connection with such indemnification as provided in the applicable CGC Party’s Governing Documents or other applicable agreements as in effect immediately prior to the Effective Time. The indemnification and liability limitation or exculpation provisions of the CGC Parties’ Governing Documents shall not, during such six (6)-year period, be amended, repealed or otherwise modified after the Effective Time in any manner that would materially and adversely affect the rights thereunder of individuals who, as of immediately prior to the Effective Time, or at any time prior to such time, were directors or officers of any CGC Party (the “</w:t>
      </w:r>
      <w:r>
        <w:rPr>
          <w:rFonts w:ascii="Times New Roman" w:cs="Times New Roman" w:eastAsia="Times New Roman" w:hAnsi="Times New Roman"/>
          <w:sz w:val="12"/>
          <w:szCs w:val="12"/>
          <w:b w:val="1"/>
          <w:bCs w:val="1"/>
          <w:i w:val="1"/>
          <w:iCs w:val="1"/>
          <w:color w:val="auto"/>
        </w:rPr>
        <w:t>CGC D&amp;O Persons</w:t>
      </w:r>
      <w:r>
        <w:rPr>
          <w:rFonts w:ascii="Times New Roman" w:cs="Times New Roman" w:eastAsia="Times New Roman" w:hAnsi="Times New Roman"/>
          <w:sz w:val="12"/>
          <w:szCs w:val="12"/>
          <w:color w:val="auto"/>
        </w:rPr>
        <w:t>”) entitled to be so indemnified, have their liability limited or be exculpated with respect to any matters occurring on or prior to the Effective Time and relating to the fact that such CGC D&amp;O Person was a director or officer of any CGC Party on or prior to the Effective Time, unless such amendment, repeal or other modification is required by applicable Law.</w:t>
      </w:r>
    </w:p>
    <w:p>
      <w:pPr>
        <w:spacing w:after="0" w:line="126" w:lineRule="exact"/>
        <w:rPr>
          <w:sz w:val="20"/>
          <w:szCs w:val="20"/>
          <w:color w:val="auto"/>
        </w:rPr>
      </w:pPr>
    </w:p>
    <w:p>
      <w:pPr>
        <w:jc w:val="both"/>
        <w:ind w:right="20"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CGC shall not have any obligation under this Section 5.14 to any CGC D&amp;O Person when and if a court of competent jurisdiction shall ultimately determine (and such determination shall have become final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non-appealable) that the indemnification of such CGC D&amp;O Person in the manner contemplated hereby is prohibited by applicable Law.</w:t>
      </w:r>
    </w:p>
    <w:p>
      <w:pPr>
        <w:spacing w:after="0" w:line="103"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For a period of six (6) years following the Effective Time, CGC shall maintain, without any lapses in coverage, directors’ and officers’ liability insurance for the benefit of those Persons who are covered by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comparable insurance policies of the CGC Parties in effect as of the date of this Agreement with respect to matters occurring on or prior to the Effective Time. Such insurance policies shall provide coverage on terms (with respect to coverage and amount) that are substantially the same as (and no less favorable in the aggregate to the Persons covered thereby than) the coverage provided under CGC’s directors’ and officers’ liability insurance policies in effect as of the date of this Agreement; provided that CGC shall not be obligated to pay annual premiums in excess of three hundred percent (300%) of the most recent annual premium paid by CGC prior to the date of this Agreement and, in such event, CGC shall purchase the maximum coverage available for three hundred percent (300%) of the most recent annual premium paid by CGC prior to the date of this Agreement.</w:t>
      </w:r>
    </w:p>
    <w:p>
      <w:pPr>
        <w:spacing w:after="0" w:line="119" w:lineRule="exact"/>
        <w:rPr>
          <w:sz w:val="20"/>
          <w:szCs w:val="20"/>
          <w:color w:val="auto"/>
        </w:rPr>
      </w:pPr>
    </w:p>
    <w:p>
      <w:pPr>
        <w:jc w:val="both"/>
        <w:ind w:firstLine="864"/>
        <w:spacing w:after="0" w:line="268" w:lineRule="auto"/>
        <w:rPr>
          <w:sz w:val="20"/>
          <w:szCs w:val="20"/>
          <w:color w:val="auto"/>
        </w:rPr>
      </w:pPr>
      <w:r>
        <w:rPr>
          <w:rFonts w:ascii="Times New Roman" w:cs="Times New Roman" w:eastAsia="Times New Roman" w:hAnsi="Times New Roman"/>
          <w:sz w:val="12"/>
          <w:szCs w:val="12"/>
          <w:b w:val="1"/>
          <w:bCs w:val="1"/>
          <w:color w:val="auto"/>
        </w:rPr>
        <w:t>(d)            </w:t>
      </w:r>
      <w:r>
        <w:rPr>
          <w:rFonts w:ascii="Times New Roman" w:cs="Times New Roman" w:eastAsia="Times New Roman" w:hAnsi="Times New Roman"/>
          <w:sz w:val="12"/>
          <w:szCs w:val="12"/>
          <w:color w:val="auto"/>
        </w:rPr>
        <w:t>If CGC or any of its successors or assigns (i) shall merge or consolidate with or merge into any other corporation or entity and shall not be the surviving or continuing corporation or entity of such consolidation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or merger or (ii) shall transfer all or substantially all of their respective properties and assets as an entity in one or a series of related transactions to any Person, then in each such case, proper provisions shall be made so that the successors or assigns of CGC shall assume all of the obligations set forth in this Section 5.14.</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71" w:name="page72"/>
    <w:bookmarkEnd w:id="71"/>
    <w:p>
      <w:pPr>
        <w:jc w:val="both"/>
        <w:ind w:right="20"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(e)            </w:t>
      </w:r>
      <w:r>
        <w:rPr>
          <w:rFonts w:ascii="Times New Roman" w:cs="Times New Roman" w:eastAsia="Times New Roman" w:hAnsi="Times New Roman"/>
          <w:sz w:val="12"/>
          <w:szCs w:val="12"/>
          <w:color w:val="auto"/>
        </w:rPr>
        <w:t>The CGC D&amp;O Persons entitled to the indemnification, expense reimbursement, liability limitation, exculpation and insurance set forth in this Section 5.14 are intended to be third-party beneficiaries of this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Section 5.14. This Section 5.14 shall survive the consummation of the transactions contemplated by this Agreement and shall be binding on all successors and assigns of CGC.</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5.15        Company Indemnification; Directors’ and Officers’ Insurance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Each Party agrees that (i) all rights to indemnification or exculpation now existing in favor of the directors and officers of the Group Companies, as provided in the Group Companies’ Governing Documents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otherwise in effect as of immediately prior to the Effective Time, in either case, solely with respect to any matters occurring on or prior to the Effective Time, shall survive the transactions contemplated by this Agreement and shall continue in full force and effect from and after the Effective Time for a period of six (6) years and (ii) CGC will cause the applicable Group Companies to perform and discharge all obligations to provide such indemnity and exculpation during such six (6)-year period. To the maximum extent permitted by applicable Law, during such six (6)-year period, CGC shall cause the applicable Group Companies to advance expenses in connection with such indemnification as provided in the Group Companies’ Governing Documents or other applicable agreements in effect as of immediately prior to the Effective Time. The indemnification and liability limitation or exculpation provisions of the Group Companies’ Governing Documents shall not, during such six (6)-year period, be amended, repealed or otherwise modified following the Effective Time in any manner that would materially and adversely affect the rights thereunder of individuals who, as of the Effective Time or at any time prior to the Effective Time, were directors or officers of the Group Companies (the “</w:t>
      </w:r>
      <w:r>
        <w:rPr>
          <w:rFonts w:ascii="Times New Roman" w:cs="Times New Roman" w:eastAsia="Times New Roman" w:hAnsi="Times New Roman"/>
          <w:sz w:val="12"/>
          <w:szCs w:val="12"/>
          <w:b w:val="1"/>
          <w:bCs w:val="1"/>
          <w:i w:val="1"/>
          <w:iCs w:val="1"/>
          <w:color w:val="auto"/>
        </w:rPr>
        <w:t>Company D&amp;O Persons</w:t>
      </w:r>
      <w:r>
        <w:rPr>
          <w:rFonts w:ascii="Times New Roman" w:cs="Times New Roman" w:eastAsia="Times New Roman" w:hAnsi="Times New Roman"/>
          <w:sz w:val="12"/>
          <w:szCs w:val="12"/>
          <w:color w:val="auto"/>
        </w:rPr>
        <w:t>”) entitled to be so indemnified, have their liability limited or be exculpated with respect to any matters occurring prior to Closing and relating to the fact that such Company D&amp;O Person was a director or officer of any Group Company on or prior to the Effective Time, unless such amendment, repeal or other modification is required by applicable Law.</w:t>
      </w:r>
    </w:p>
    <w:p>
      <w:pPr>
        <w:spacing w:after="0" w:line="126" w:lineRule="exact"/>
        <w:rPr>
          <w:sz w:val="20"/>
          <w:szCs w:val="20"/>
          <w:color w:val="auto"/>
        </w:rPr>
      </w:pPr>
    </w:p>
    <w:p>
      <w:pPr>
        <w:jc w:val="both"/>
        <w:ind w:right="20"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None of CGC or the Group Companies shall have any obligation under this Section 5.15 to any Company D&amp;O Person when and if a court of competent jurisdiction shall ultimately determine (and such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determination shall have become final and non-appealable) that the indemnification of such Company D&amp;O Person in the manner contemplated hereby is prohibited by applicable Law.</w:t>
      </w:r>
    </w:p>
    <w:p>
      <w:pPr>
        <w:spacing w:after="0" w:line="103"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The Company shall purchase, at or prior to the Closing, and CGC shall maintain, or cause to be maintained, in effect for a period of six (6) years following the Effective Time, without lapses in coverage, a “</w:t>
      </w:r>
      <w:r>
        <w:rPr>
          <w:rFonts w:ascii="Times New Roman" w:cs="Times New Roman" w:eastAsia="Times New Roman" w:hAnsi="Times New Roman"/>
          <w:sz w:val="12"/>
          <w:szCs w:val="12"/>
          <w:b w:val="1"/>
          <w:bCs w:val="1"/>
          <w:i w:val="1"/>
          <w:iCs w:val="1"/>
          <w:color w:val="auto"/>
        </w:rPr>
        <w:t>tail</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policy providing directors’ and officers’ liability insurance coverage for the benefit of those Persons who are covered by any comparable insurance policies of the Group Companies as of the date of this Agreement with respect to matters occurring on or prior to the Effective Time (the “</w:t>
      </w:r>
      <w:r>
        <w:rPr>
          <w:rFonts w:ascii="Times New Roman" w:cs="Times New Roman" w:eastAsia="Times New Roman" w:hAnsi="Times New Roman"/>
          <w:sz w:val="12"/>
          <w:szCs w:val="12"/>
          <w:b w:val="1"/>
          <w:bCs w:val="1"/>
          <w:i w:val="1"/>
          <w:iCs w:val="1"/>
          <w:color w:val="auto"/>
        </w:rPr>
        <w:t>Company D&amp;O Tail Policy</w:t>
      </w:r>
      <w:r>
        <w:rPr>
          <w:rFonts w:ascii="Times New Roman" w:cs="Times New Roman" w:eastAsia="Times New Roman" w:hAnsi="Times New Roman"/>
          <w:sz w:val="12"/>
          <w:szCs w:val="12"/>
          <w:color w:val="auto"/>
        </w:rPr>
        <w:t>”). Such “</w:t>
      </w:r>
      <w:r>
        <w:rPr>
          <w:rFonts w:ascii="Times New Roman" w:cs="Times New Roman" w:eastAsia="Times New Roman" w:hAnsi="Times New Roman"/>
          <w:sz w:val="12"/>
          <w:szCs w:val="12"/>
          <w:b w:val="1"/>
          <w:bCs w:val="1"/>
          <w:i w:val="1"/>
          <w:iCs w:val="1"/>
          <w:color w:val="auto"/>
        </w:rPr>
        <w:t>tail</w:t>
      </w:r>
      <w:r>
        <w:rPr>
          <w:rFonts w:ascii="Times New Roman" w:cs="Times New Roman" w:eastAsia="Times New Roman" w:hAnsi="Times New Roman"/>
          <w:sz w:val="12"/>
          <w:szCs w:val="12"/>
          <w:color w:val="auto"/>
        </w:rPr>
        <w:t>” policy shall provide coverage on terms (with respect to coverage and amount) that are substantially the same as (and no less favorable in the aggregate to the Persons covered thereby) the coverage provided under the Group Companies’ directors’ and officers’ liability insurance policies as of the date of this Agreement; provided that none of the Company, CGC or any of their respective Affiliates shall pay a premium for such “tail” policy in excess of three hundred percent (300%) of the most recent annual premium paid by the Group Companies prior to the date of this Agreement and, in such event, the Company, CGC or one of their respective Affiliates shall purchase the maximum coverage available for three hundred percent (300%) of the most recent annual premium paid by the Group Companies prior to the date of this Agreement.</w:t>
      </w:r>
    </w:p>
    <w:p>
      <w:pPr>
        <w:spacing w:after="0" w:line="122" w:lineRule="exact"/>
        <w:rPr>
          <w:sz w:val="20"/>
          <w:szCs w:val="20"/>
          <w:color w:val="auto"/>
        </w:rPr>
      </w:pPr>
    </w:p>
    <w:p>
      <w:pPr>
        <w:jc w:val="both"/>
        <w:ind w:firstLine="864"/>
        <w:spacing w:after="0" w:line="268" w:lineRule="auto"/>
        <w:rPr>
          <w:sz w:val="20"/>
          <w:szCs w:val="20"/>
          <w:color w:val="auto"/>
        </w:rPr>
      </w:pPr>
      <w:r>
        <w:rPr>
          <w:rFonts w:ascii="Times New Roman" w:cs="Times New Roman" w:eastAsia="Times New Roman" w:hAnsi="Times New Roman"/>
          <w:sz w:val="12"/>
          <w:szCs w:val="12"/>
          <w:b w:val="1"/>
          <w:bCs w:val="1"/>
          <w:color w:val="auto"/>
        </w:rPr>
        <w:t>(d)            </w:t>
      </w:r>
      <w:r>
        <w:rPr>
          <w:rFonts w:ascii="Times New Roman" w:cs="Times New Roman" w:eastAsia="Times New Roman" w:hAnsi="Times New Roman"/>
          <w:sz w:val="12"/>
          <w:szCs w:val="12"/>
          <w:color w:val="auto"/>
        </w:rPr>
        <w:t>If CGC or any of its successors or assigns (i) shall merge or consolidate with or merge into any other corporation or entity and shall not be the surviving or continuing corporation or entity of such consolidation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or merger or (ii) shall transfer all or substantially all of their respective properties and assets as an entity in one or a series of related transactions to any Person, then in each such case, proper provisions shall be made so that the successors or assigns of CGC to assume all of the obligations set forth in this Section 5.15.</w:t>
      </w:r>
    </w:p>
    <w:p>
      <w:pPr>
        <w:spacing w:after="0" w:line="114" w:lineRule="exact"/>
        <w:rPr>
          <w:sz w:val="20"/>
          <w:szCs w:val="20"/>
          <w:color w:val="auto"/>
        </w:rPr>
      </w:pPr>
    </w:p>
    <w:p>
      <w:pPr>
        <w:jc w:val="both"/>
        <w:ind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(e)            </w:t>
      </w:r>
      <w:r>
        <w:rPr>
          <w:rFonts w:ascii="Times New Roman" w:cs="Times New Roman" w:eastAsia="Times New Roman" w:hAnsi="Times New Roman"/>
          <w:sz w:val="12"/>
          <w:szCs w:val="12"/>
          <w:color w:val="auto"/>
        </w:rPr>
        <w:t>The Company D&amp;O Persons entitled to the indemnification, liability limitation, exculpation and insurance set forth in this Section 5.15 are intended to be third-party beneficiaries of this Section 5.15. This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Section 5.15 shall survive the consummation of the transactions contemplated by this Agreement and shall be binding on all successors and assigns of CGC.</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72" w:name="page73"/>
    <w:bookmarkEnd w:id="72"/>
    <w:p>
      <w:pPr>
        <w:ind w:left="420"/>
        <w:spacing w:after="0"/>
        <w:rPr>
          <w:sz w:val="20"/>
          <w:szCs w:val="20"/>
          <w:color w:val="auto"/>
        </w:rPr>
      </w:pPr>
      <w:r>
        <w:rPr>
          <w:rFonts w:ascii="Times New Roman" w:cs="Times New Roman" w:eastAsia="Times New Roman" w:hAnsi="Times New Roman"/>
          <w:sz w:val="12"/>
          <w:szCs w:val="12"/>
          <w:b w:val="1"/>
          <w:bCs w:val="1"/>
          <w:color w:val="auto"/>
        </w:rPr>
        <w:t>Section 5.16        Post-Closing Directors and Officers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CGC shall take all such action within its power as may be necessary or appropriate such that effective immediately after the Effective Time (i) the CGC Board shall initially consist of seven (7) directors, which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shall be divided into three (3) classes, designated Class I, II and III, with Class I consisting of two (2) directors, Class II consisting of two (2) directors and Class III consisting of three (3) directors (provided that, prior to the mailing of the Registration Statement / Proxy Statement to the Pre-Closing CGC Holders, the Company may in its sole discretion change which of the foregoing classes is to consist of one (1), two (2) or three (3) directors by notice to CGC, which change shall be reflected in the Registration Statement / Proxy Statement mailed to the Pre-Closing CGC Holders); (ii) the members of the CGC Board are the individuals determined in accordance with Section 5.16(b); (iii) the members of the compensation committee, audit committee and nominating committee of the CGC Board are the individuals determined in accordance with Section 5.16(c); and (iv) the officers of CGC (the “</w:t>
      </w:r>
      <w:r>
        <w:rPr>
          <w:rFonts w:ascii="Times New Roman" w:cs="Times New Roman" w:eastAsia="Times New Roman" w:hAnsi="Times New Roman"/>
          <w:sz w:val="12"/>
          <w:szCs w:val="12"/>
          <w:b w:val="1"/>
          <w:bCs w:val="1"/>
          <w:i w:val="1"/>
          <w:iCs w:val="1"/>
          <w:color w:val="auto"/>
        </w:rPr>
        <w:t>Officers</w:t>
      </w:r>
      <w:r>
        <w:rPr>
          <w:rFonts w:ascii="Times New Roman" w:cs="Times New Roman" w:eastAsia="Times New Roman" w:hAnsi="Times New Roman"/>
          <w:sz w:val="12"/>
          <w:szCs w:val="12"/>
          <w:color w:val="auto"/>
        </w:rPr>
        <w:t>”) are the individuals determined in accordance with Section 5.16(d).</w:t>
      </w:r>
    </w:p>
    <w:p>
      <w:pPr>
        <w:spacing w:after="0" w:line="121"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The individuals identified on Section 5.16(b) of the Company Disclosure Schedules shall be directors on the CGC Board immediately after the Effective Time (each, an “</w:t>
      </w:r>
      <w:r>
        <w:rPr>
          <w:rFonts w:ascii="Times New Roman" w:cs="Times New Roman" w:eastAsia="Times New Roman" w:hAnsi="Times New Roman"/>
          <w:sz w:val="12"/>
          <w:szCs w:val="12"/>
          <w:b w:val="1"/>
          <w:bCs w:val="1"/>
          <w:i w:val="1"/>
          <w:iCs w:val="1"/>
          <w:color w:val="auto"/>
        </w:rPr>
        <w:t>Initial Company Designee</w:t>
      </w:r>
      <w:r>
        <w:rPr>
          <w:rFonts w:ascii="Times New Roman" w:cs="Times New Roman" w:eastAsia="Times New Roman" w:hAnsi="Times New Roman"/>
          <w:sz w:val="12"/>
          <w:szCs w:val="12"/>
          <w:color w:val="auto"/>
        </w:rPr>
        <w:t>”). Prior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mailing of the Registration Statement / Proxy Statement to the Pre-Closing CGC Holders, the Company may in its sole discretion designate four (4) additional individuals to serve as a director on the CGC Board immediately after the Effective Time, each of whom would qualify as an “independent director” under Nasdaq listing regulations (the “</w:t>
      </w:r>
      <w:r>
        <w:rPr>
          <w:rFonts w:ascii="Times New Roman" w:cs="Times New Roman" w:eastAsia="Times New Roman" w:hAnsi="Times New Roman"/>
          <w:sz w:val="12"/>
          <w:szCs w:val="12"/>
          <w:b w:val="1"/>
          <w:bCs w:val="1"/>
          <w:i w:val="1"/>
          <w:iCs w:val="1"/>
          <w:color w:val="auto"/>
        </w:rPr>
        <w:t>Other Company Designee</w:t>
      </w:r>
      <w:r>
        <w:rPr>
          <w:rFonts w:ascii="Times New Roman" w:cs="Times New Roman" w:eastAsia="Times New Roman" w:hAnsi="Times New Roman"/>
          <w:sz w:val="12"/>
          <w:szCs w:val="12"/>
          <w:color w:val="auto"/>
        </w:rPr>
        <w:t>”, and together with the Initial Company Designees, collectively,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Designees</w:t>
      </w:r>
      <w:r>
        <w:rPr>
          <w:rFonts w:ascii="Times New Roman" w:cs="Times New Roman" w:eastAsia="Times New Roman" w:hAnsi="Times New Roman"/>
          <w:sz w:val="12"/>
          <w:szCs w:val="12"/>
          <w:color w:val="auto"/>
        </w:rPr>
        <w:t>”); provided that, if an individual is not designated to serve as the Other Company Designee prior to the mailing of the Registration Statement / Proxy Statement to the Pre-Closing CGC Holders, such unfilled director position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shall be left vacant and shall be filled following the Effective Time in accordance with the Governing Documents of CGC. Prior to the mailing of the Registration Statement / Proxy Statement to the Pre-Closing CGC Holders, the Company may in its sole discretion replace any Company Designee with any individual by notice to CGC. Prior to the mailing of the Registration Statement / Proxy Statement to the Pre-Closing CGC Holders, the board of directors of the Company shall designate whether each individual who will serve on the CGC Board immediately after the Effective Time will be designated as a member of Class I, Class II or Class III.</w:t>
      </w:r>
    </w:p>
    <w:p>
      <w:pPr>
        <w:spacing w:after="0" w:line="122"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Prior to the mailing of the Registration Statement / Proxy Statement to the Pre-Closing CGC Holders, (i) the board of directors of the Company may designate independent directors to serve as a member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compensation committee, the audit committee or the nominating committee of the CGC Board immediately after the Effective Time, subject to CGC’s consent (not to be unreasonably withheld, conditioned or delayed) based on the qualifications of the independent directors, subject to applicable listing rules of Nasdaq and applicable Law, and (ii) the Company shall, subject to clause (i), designate each other director that will serve on the compensation committee, the audit committee and the nominating committee of the CGC Board immediately after the Effective Time, based on the qualifications of each director, subject to applicable listing rules of Nasdaq and applicable Law.</w:t>
      </w:r>
    </w:p>
    <w:p>
      <w:pPr>
        <w:spacing w:after="0" w:line="117"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b w:val="1"/>
          <w:bCs w:val="1"/>
          <w:color w:val="auto"/>
        </w:rPr>
        <w:t>(d)            </w:t>
      </w:r>
      <w:r>
        <w:rPr>
          <w:rFonts w:ascii="Times New Roman" w:cs="Times New Roman" w:eastAsia="Times New Roman" w:hAnsi="Times New Roman"/>
          <w:sz w:val="12"/>
          <w:szCs w:val="12"/>
          <w:color w:val="auto"/>
        </w:rPr>
        <w:t>The individuals identified on Section 5.16(d) of the Company Disclosure Schedules shall be the Officers immediately after the Effective Time, with each such individual holding the title set forth opposite his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her name. In the event that such individuals identified on Section 5.16(d) of the Company Disclosure Schedules is unwilling or unable (whether due to death, disability, termination of service or otherwise) to serve as an Officer, then, prior to the mailing of the Registration Statement / Proxy Statement to the Pre-Closing CGC Holders, the Company may in its sole discretion replace such individual with another individual to serve as such Officer by amending Section 5.16(d) of the Company Disclosure Schedules to include such replacement individual as such Officer.</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b w:val="1"/>
          <w:bCs w:val="1"/>
          <w:color w:val="auto"/>
        </w:rPr>
        <w:t>(e)            </w:t>
      </w:r>
      <w:r>
        <w:rPr>
          <w:rFonts w:ascii="Times New Roman" w:cs="Times New Roman" w:eastAsia="Times New Roman" w:hAnsi="Times New Roman"/>
          <w:sz w:val="12"/>
          <w:szCs w:val="12"/>
          <w:color w:val="auto"/>
        </w:rPr>
        <w:t>Effective immediately after the Effective Time, one (1) individual designated by Sponsor shall be appointed as an observer to the CGC Board (with no power to vote on any matter before the CGC Board).</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73" w:name="page74"/>
    <w:bookmarkEnd w:id="73"/>
    <w:p>
      <w:pPr>
        <w:ind w:left="428"/>
        <w:spacing w:after="0"/>
        <w:rPr>
          <w:sz w:val="20"/>
          <w:szCs w:val="20"/>
          <w:color w:val="auto"/>
        </w:rPr>
      </w:pPr>
      <w:r>
        <w:rPr>
          <w:rFonts w:ascii="Times New Roman" w:cs="Times New Roman" w:eastAsia="Times New Roman" w:hAnsi="Times New Roman"/>
          <w:sz w:val="12"/>
          <w:szCs w:val="12"/>
          <w:b w:val="1"/>
          <w:bCs w:val="1"/>
          <w:color w:val="auto"/>
        </w:rPr>
        <w:t>Section 5.17        PCAOB Financials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3"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As promptly as reasonably practicable, the Company shall deliver to CGC (i) the Closing Company Audited Financial Statements, and (ii) any other audited or unaudited consolidated balance sheets and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related audited or unaudited consolidated statements of operations and comprehensive loss, convertible preferred stock and stockholders’ deficit and cash flows of the Group Companies as of and for a year-to-date period ended as of the end of any other different fiscal quarter (and as of and for the same period from the previous fiscal year) or fiscal year (and as of and for the prior fiscal quarter), as applicable that is required to be included in the Registration Statement / Proxy Statement (collectively, the “</w:t>
      </w:r>
      <w:r>
        <w:rPr>
          <w:rFonts w:ascii="Times New Roman" w:cs="Times New Roman" w:eastAsia="Times New Roman" w:hAnsi="Times New Roman"/>
          <w:sz w:val="12"/>
          <w:szCs w:val="12"/>
          <w:b w:val="1"/>
          <w:bCs w:val="1"/>
          <w:i w:val="1"/>
          <w:iCs w:val="1"/>
          <w:color w:val="auto"/>
        </w:rPr>
        <w:t>PCAOB Financials</w:t>
      </w:r>
      <w:r>
        <w:rPr>
          <w:rFonts w:ascii="Times New Roman" w:cs="Times New Roman" w:eastAsia="Times New Roman" w:hAnsi="Times New Roman"/>
          <w:sz w:val="12"/>
          <w:szCs w:val="12"/>
          <w:color w:val="auto"/>
        </w:rPr>
        <w:t>”). All such financial statements, together with any audited or unaudited consolidated balance sheet and the related audited or unaudited consolidated statements of operations and comprehensive loss, convertible preferred stock and stockholders’ deficit and cash flows of the Group Companies as of and for a year-to-date period ended as of the end of a different fiscal quarter (and as of and for the same period from the previous fiscal year) or fiscal year (and as of and for the prior fiscal quarter) that is required to be included in the Registration Statement / Proxy Statement (A) will fairly present in all material respects the financial position of the Group Companies as at the date thereof, and the results of its operations, shareholders’ equity and cash flows for the respective periods then ended (subject, in the case of any unaudited interim financial statements, to normal year end audit adjustments (none of which is expected to be material) and the absence of footnotes), (B) will be prepared in conformity with GAAP applied on a consistent basis during the periods involved (except, in the case of any audited financial statements, as may be indicated in the notes thereto and subject, in the case of any unaudited financial statements, to normal year-end audit adjustments (none of which is expected to be material) and the absence of footnotes),</w:t>
      </w:r>
    </w:p>
    <w:p>
      <w:pPr>
        <w:spacing w:after="0" w:line="2" w:lineRule="exact"/>
        <w:rPr>
          <w:sz w:val="20"/>
          <w:szCs w:val="20"/>
          <w:color w:val="auto"/>
        </w:rPr>
      </w:pPr>
    </w:p>
    <w:p>
      <w:pPr>
        <w:ind w:left="8" w:hanging="8"/>
        <w:spacing w:after="0" w:line="260" w:lineRule="auto"/>
        <w:tabs>
          <w:tab w:leader="none" w:pos="208"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any audited financial statements, will be audited in accordance with the standards of the PCAOB and contain an unqualified report of the Company’s auditor and (D) will comply in all material respects with the applicable accounting requirements and with the rules and regulations of the SEC, the Exchange Act and the Securities Act in effect as of the respective dates thereof (including Regulation S-X or Regulation S-K, as applicable).</w:t>
      </w:r>
    </w:p>
    <w:p>
      <w:pPr>
        <w:spacing w:after="0" w:line="118" w:lineRule="exact"/>
        <w:rPr>
          <w:sz w:val="20"/>
          <w:szCs w:val="20"/>
          <w:color w:val="auto"/>
        </w:rPr>
      </w:pPr>
    </w:p>
    <w:p>
      <w:pPr>
        <w:jc w:val="both"/>
        <w:ind w:left="8" w:firstLine="864"/>
        <w:spacing w:after="0" w:line="262"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The Company shall use its reasonable best efforts (i) to assist, upon advance written notice, during normal business hours and in a manner such as to not unreasonably interfere with the normal operation of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member of such Group Company, CGC in causing to be prepared in a timely manner any other financial information or statements (including customary pro forma financial statements) that are required to be included in the Registration Statement / Proxy Statement and any other filings to be made by CGC with the SEC in connection with the transactions contemplated by this Agreement or any Ancillary Document and (ii) to obtain the consents of its auditors with respect thereto as may be required by applicable Law or requested by the SEC.</w:t>
      </w:r>
    </w:p>
    <w:p>
      <w:pPr>
        <w:spacing w:after="0" w:line="11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color w:val="auto"/>
        </w:rPr>
        <w:t>Section 5.18        CGC Equity Incentive Plan; CGC Employee Stock Purchase Plan</w:t>
      </w:r>
    </w:p>
    <w:p>
      <w:pPr>
        <w:spacing w:after="0" w:line="154" w:lineRule="exact"/>
        <w:rPr>
          <w:sz w:val="20"/>
          <w:szCs w:val="20"/>
          <w:color w:val="auto"/>
        </w:rPr>
      </w:pPr>
    </w:p>
    <w:p>
      <w:pPr>
        <w:jc w:val="both"/>
        <w:ind w:left="8" w:hanging="8"/>
        <w:spacing w:after="0" w:line="252" w:lineRule="auto"/>
        <w:tabs>
          <w:tab w:leader="none" w:pos="68"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Prior to the effectiveness of the Registration Statement / Proxy Statement, the CGC Board shall approve and adopt an equity incentive plan, the form of which will be mutually agreed between CGC and the Company prior to the initial filing of the Registration Statement / Proxy Statement (the “</w:t>
      </w:r>
      <w:r>
        <w:rPr>
          <w:rFonts w:ascii="Times New Roman" w:cs="Times New Roman" w:eastAsia="Times New Roman" w:hAnsi="Times New Roman"/>
          <w:sz w:val="12"/>
          <w:szCs w:val="12"/>
          <w:b w:val="1"/>
          <w:bCs w:val="1"/>
          <w:i w:val="1"/>
          <w:iCs w:val="1"/>
          <w:color w:val="auto"/>
        </w:rPr>
        <w:t>CGC Equity Incentive Plan</w:t>
      </w:r>
      <w:r>
        <w:rPr>
          <w:rFonts w:ascii="Times New Roman" w:cs="Times New Roman" w:eastAsia="Times New Roman" w:hAnsi="Times New Roman"/>
          <w:sz w:val="12"/>
          <w:szCs w:val="12"/>
          <w:color w:val="auto"/>
        </w:rPr>
        <w:t>”), in the manner prescribed under applicable Laws, effective as of one day prior to the Closing Date, reserving fifteen percent (15%) of the issued and outstanding CGC Shares on a fully-diluted basis, determined as of the effective date of such plan for grant thereunder, which shall include (and not be in addition to) the CGC Shares issuable upon the exercise or conversion of the Unvested Rollover Options and Unvested Rollover RSU Awards. The CGC Equity Incentive Plan will provide that the CGC Shares reserved for issuance thereunder will automatically increase annually on the first day of each fiscal year beginning with the 2027 fiscal year in an amount equal to five percent (5%) of CGC Shares issued and outstanding on the last day of the immediately preceding fiscal year or such lesser amount as determined by the administrator of the CGC Equity Incentive Plan. The Unvested Rollover Options and the Unvested Rollover RSU Awards shall, for the avoidance of doubt, be deemed to have been granted pursuant to the CGC Equity Incentive Plan and shall reduce the number of CGC Shares reserved for grant thereunder, while the Vested Rollover Options and the Vested Rollover RSU Awards may be subject to such CGC Equity Incentive Plan, but shall be in addition to the CGC Shares available for grant thereunder without any reduction to the number of CGC Shares reserved for grant thereunder. Prior to the effectiveness of the Registration Statement/Proxy Statement, the CGC Board shall approve and adopt an employee stock purchase plan, the form of which will be mutually agreed between CGC and the Company prior to the initial filing of the Registration Statement / Proxy Statement (the “</w:t>
      </w:r>
      <w:r>
        <w:rPr>
          <w:rFonts w:ascii="Times New Roman" w:cs="Times New Roman" w:eastAsia="Times New Roman" w:hAnsi="Times New Roman"/>
          <w:sz w:val="12"/>
          <w:szCs w:val="12"/>
          <w:b w:val="1"/>
          <w:bCs w:val="1"/>
          <w:i w:val="1"/>
          <w:iCs w:val="1"/>
          <w:color w:val="auto"/>
        </w:rPr>
        <w:t>CGC Employee Stock Purchase Plan</w:t>
      </w:r>
      <w:r>
        <w:rPr>
          <w:rFonts w:ascii="Times New Roman" w:cs="Times New Roman" w:eastAsia="Times New Roman" w:hAnsi="Times New Roman"/>
          <w:sz w:val="12"/>
          <w:szCs w:val="12"/>
          <w:color w:val="auto"/>
        </w:rPr>
        <w:t>”), in the manner prescribed under Section 423 of the Code and other applicable Laws, effective as of one day prior to the Closing Date, reserving two percent (2%) of the issued and outstanding CGC Shares, determined as of the effective date of such plan, for grant thereunder. The CGC Employee Stock Purchase Plan will provide that the CGC Shares reserved for issuance thereunder will automatically increase annually on the first day of each fiscal year beginning with the 2027 fiscal year and ending with the 2036 fiscal year in an amount equal to the least of two percent (2%) of CGC Shares outstanding on the last day of the immediately preceding fiscal year, a fixed number of CGC Shares or such amount as determined by the administrator of the CGC Employee Stock Purchase Plan.</w:t>
      </w:r>
    </w:p>
    <w:p>
      <w:pPr>
        <w:spacing w:after="0" w:line="27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74" w:name="page75"/>
    <w:bookmarkEnd w:id="74"/>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Section 5.19        FIRPTA Certificates</w:t>
      </w:r>
      <w:r>
        <w:rPr>
          <w:rFonts w:ascii="Times New Roman" w:cs="Times New Roman" w:eastAsia="Times New Roman" w:hAnsi="Times New Roman"/>
          <w:sz w:val="12"/>
          <w:szCs w:val="12"/>
          <w:color w:val="auto"/>
        </w:rPr>
        <w:t>. At or prior to the Closing, the Company shall deliver, or cause to be delivered, to CGC a certificate, duly executed by the Company, complying with Treasury Regulations Section 1.1445-2(c)(3), together with evidence that the Company has provided notice to the Internal Revenue Service in accordance with the provisions of Treasury Regulations Section 1.897-2(h)(2), in each case, in a form and substance reasonably acceptable to CGC.</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5.20        Registration Rights Agreement</w:t>
      </w:r>
      <w:r>
        <w:rPr>
          <w:rFonts w:ascii="Times New Roman" w:cs="Times New Roman" w:eastAsia="Times New Roman" w:hAnsi="Times New Roman"/>
          <w:sz w:val="12"/>
          <w:szCs w:val="12"/>
          <w:color w:val="auto"/>
        </w:rPr>
        <w:t>. The Company shall use commercially reasonable efforts to cause the Registration Rights Agreement to be duly executed by the Company Stockholders that are parties thereto.</w:t>
      </w:r>
    </w:p>
    <w:p>
      <w:pPr>
        <w:spacing w:after="0" w:line="150" w:lineRule="exact"/>
        <w:rPr>
          <w:sz w:val="20"/>
          <w:szCs w:val="20"/>
          <w:color w:val="auto"/>
        </w:rPr>
      </w:pPr>
    </w:p>
    <w:p>
      <w:pPr>
        <w:jc w:val="both"/>
        <w:ind w:right="20"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Section 5.21        CGC Public Warrants Exchange</w:t>
      </w:r>
      <w:r>
        <w:rPr>
          <w:rFonts w:ascii="Times New Roman" w:cs="Times New Roman" w:eastAsia="Times New Roman" w:hAnsi="Times New Roman"/>
          <w:sz w:val="12"/>
          <w:szCs w:val="12"/>
          <w:color w:val="auto"/>
        </w:rPr>
        <w:t>. CGC and the Company shall, applying good faith efforts, seek support and, if practicable, approval of the significant holders of the CGC Public Warrants to amend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Warrant Agreement to provide for the conversion of each CGC Public Warrant into shares of CGC Series A Common Stock as promptly as possible at a ratio and time to be determined based on negotiations with and approval of such holders (the “</w:t>
      </w:r>
      <w:r>
        <w:rPr>
          <w:rFonts w:ascii="Times New Roman" w:cs="Times New Roman" w:eastAsia="Times New Roman" w:hAnsi="Times New Roman"/>
          <w:sz w:val="12"/>
          <w:szCs w:val="12"/>
          <w:b w:val="1"/>
          <w:bCs w:val="1"/>
          <w:i w:val="1"/>
          <w:iCs w:val="1"/>
          <w:color w:val="auto"/>
        </w:rPr>
        <w:t>Warrant Amendment</w:t>
      </w:r>
      <w:r>
        <w:rPr>
          <w:rFonts w:ascii="Times New Roman" w:cs="Times New Roman" w:eastAsia="Times New Roman" w:hAnsi="Times New Roman"/>
          <w:sz w:val="12"/>
          <w:szCs w:val="12"/>
          <w:color w:val="auto"/>
        </w:rPr>
        <w:t>”).</w:t>
      </w:r>
    </w:p>
    <w:p>
      <w:pPr>
        <w:spacing w:after="0" w:line="114"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Section 5.22        CGC Private Warrants Exchange</w:t>
      </w:r>
      <w:r>
        <w:rPr>
          <w:rFonts w:ascii="Times New Roman" w:cs="Times New Roman" w:eastAsia="Times New Roman" w:hAnsi="Times New Roman"/>
          <w:sz w:val="12"/>
          <w:szCs w:val="12"/>
          <w:color w:val="auto"/>
        </w:rPr>
        <w:t>. At or prior to the Closing, CGC shall cause the CGC Private Warrant Exchange Agreement to be executed to provide that each CGC Private Warrant will convert into shares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CGC Series A Common Stock at the same exchange ratio as the CGC Public Warrants are exchanged pursuant to the Warrant Amendment.</w:t>
      </w:r>
    </w:p>
    <w:p>
      <w:pPr>
        <w:spacing w:after="0" w:line="10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Section 5.23        Additional Engagements(i)        </w:t>
      </w:r>
      <w:r>
        <w:rPr>
          <w:rFonts w:ascii="Times New Roman" w:cs="Times New Roman" w:eastAsia="Times New Roman" w:hAnsi="Times New Roman"/>
          <w:sz w:val="12"/>
          <w:szCs w:val="12"/>
          <w:color w:val="auto"/>
        </w:rPr>
        <w:t>. Each Party agrees that, from and after the date hereof until the Closing, neither Party shall enter into any new engagement letter or other agreement with any investment bank,</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placement agent, financial advisor, or similar advisor in connection with respect to the PIPE Financing or any other capital raising activity in connection with the transactions contemplated by this Agreement without the prior written consent of the other Party (such consent not to be unreasonably withheld, conditioned or delayed).</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5.24        Complementary Financing</w:t>
      </w:r>
      <w:r>
        <w:rPr>
          <w:rFonts w:ascii="Times New Roman" w:cs="Times New Roman" w:eastAsia="Times New Roman" w:hAnsi="Times New Roman"/>
          <w:sz w:val="12"/>
          <w:szCs w:val="12"/>
          <w:color w:val="auto"/>
        </w:rPr>
        <w:t>. The Company shall consult with CGC in good faith and shall keep CGC reasonably informed with respect to any Complementary Financing transaction.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Section 5.25        Minimize CGC Shareholder Redemption</w:t>
      </w:r>
      <w:r>
        <w:rPr>
          <w:rFonts w:ascii="Times New Roman" w:cs="Times New Roman" w:eastAsia="Times New Roman" w:hAnsi="Times New Roman"/>
          <w:sz w:val="12"/>
          <w:szCs w:val="12"/>
          <w:color w:val="auto"/>
        </w:rPr>
        <w:t>. The Company and CGC will use commercially reasonable efforts and jointly devote resources to minimize the CGC Shareholder Redemption.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6</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CONDITIONS TO CONSUMMATION OF THE TRANSACTIONS CONTEMPLATED BY THIS AGREEMENT</w:t>
      </w:r>
    </w:p>
    <w:p>
      <w:pPr>
        <w:spacing w:after="0" w:line="135"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Section 6.1        Conditions to the Obligations of the Parties</w:t>
      </w:r>
      <w:r>
        <w:rPr>
          <w:rFonts w:ascii="Times New Roman" w:cs="Times New Roman" w:eastAsia="Times New Roman" w:hAnsi="Times New Roman"/>
          <w:sz w:val="12"/>
          <w:szCs w:val="12"/>
          <w:color w:val="auto"/>
        </w:rPr>
        <w:t>. The obligations of the Parties to consummate the transactions contemplated by this Agreement are subject to the satisfaction or, if permitted by applicable Law,</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written waiver by the Party for whose benefit such condition exists of the following conditions:</w:t>
      </w:r>
    </w:p>
    <w:p>
      <w:pPr>
        <w:spacing w:after="0" w:line="103" w:lineRule="exact"/>
        <w:rPr>
          <w:sz w:val="20"/>
          <w:szCs w:val="20"/>
          <w:color w:val="auto"/>
        </w:rPr>
      </w:pPr>
    </w:p>
    <w:p>
      <w:pPr>
        <w:jc w:val="both"/>
        <w:ind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each applicable waiting period under the HSR Act relating to the transactions contemplated by this Agreement, and any agreement between a Party with any Governmental Entity not to consummate transactions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contemplated by this Agreement, shall have expired or been terminated or obtained (or deemed, by applicable Law, to have been obtained), as applicable;</w:t>
      </w:r>
    </w:p>
    <w:p>
      <w:pPr>
        <w:spacing w:after="0" w:line="103" w:lineRule="exact"/>
        <w:rPr>
          <w:sz w:val="20"/>
          <w:szCs w:val="20"/>
          <w:color w:val="auto"/>
        </w:rPr>
      </w:pPr>
    </w:p>
    <w:p>
      <w:pPr>
        <w:jc w:val="both"/>
        <w:ind w:right="20"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no Order or Law or other legal restraint or prohibition issued by any court of competent jurisdiction or other Governmental Entity enjoining, prohibiting or preventing the consummation of the transactions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contemplated by this Agreement (including the Domestication and the Merger) shall be in effect;</w:t>
      </w:r>
    </w:p>
    <w:p>
      <w:pPr>
        <w:spacing w:after="0" w:line="103" w:lineRule="exact"/>
        <w:rPr>
          <w:sz w:val="20"/>
          <w:szCs w:val="20"/>
          <w:color w:val="auto"/>
        </w:rPr>
      </w:pPr>
    </w:p>
    <w:p>
      <w:pPr>
        <w:jc w:val="both"/>
        <w:ind w:right="20"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the Registration Statement / Proxy Statement shall have become effective in accordance with the provisions of the Securities Act, no stop order shall have been issued by the SEC and shall remain in effect with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respect to the Registration Statement / Proxy Statement, and no proceeding seeking such a stop order shall have been threatened or initiated by the SEC and remain pending;</w:t>
      </w:r>
    </w:p>
    <w:p>
      <w:pPr>
        <w:spacing w:after="0" w:line="10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b w:val="1"/>
          <w:bCs w:val="1"/>
          <w:color w:val="auto"/>
        </w:rPr>
        <w:t>(d)            </w:t>
      </w:r>
      <w:r>
        <w:rPr>
          <w:rFonts w:ascii="Times New Roman" w:cs="Times New Roman" w:eastAsia="Times New Roman" w:hAnsi="Times New Roman"/>
          <w:sz w:val="12"/>
          <w:szCs w:val="12"/>
          <w:color w:val="auto"/>
        </w:rPr>
        <w:t>the Company Stockholder Written Consent shall have been obtained;</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b w:val="1"/>
          <w:bCs w:val="1"/>
          <w:color w:val="auto"/>
        </w:rPr>
        <w:t>(e)            </w:t>
      </w:r>
      <w:r>
        <w:rPr>
          <w:rFonts w:ascii="Times New Roman" w:cs="Times New Roman" w:eastAsia="Times New Roman" w:hAnsi="Times New Roman"/>
          <w:sz w:val="12"/>
          <w:szCs w:val="12"/>
          <w:color w:val="auto"/>
        </w:rPr>
        <w:t>the Required CGC Shareholder Approval shall have been obtained;</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75" w:name="page76"/>
    <w:bookmarkEnd w:id="75"/>
    <w:p>
      <w:pPr>
        <w:jc w:val="both"/>
        <w:ind w:firstLine="864"/>
        <w:spacing w:after="0" w:line="262" w:lineRule="auto"/>
        <w:rPr>
          <w:sz w:val="20"/>
          <w:szCs w:val="20"/>
          <w:color w:val="auto"/>
        </w:rPr>
      </w:pPr>
      <w:r>
        <w:rPr>
          <w:rFonts w:ascii="Times New Roman" w:cs="Times New Roman" w:eastAsia="Times New Roman" w:hAnsi="Times New Roman"/>
          <w:sz w:val="12"/>
          <w:szCs w:val="12"/>
          <w:b w:val="1"/>
          <w:bCs w:val="1"/>
          <w:color w:val="auto"/>
        </w:rPr>
        <w:t>(f)            </w:t>
      </w:r>
      <w:r>
        <w:rPr>
          <w:rFonts w:ascii="Times New Roman" w:cs="Times New Roman" w:eastAsia="Times New Roman" w:hAnsi="Times New Roman"/>
          <w:sz w:val="12"/>
          <w:szCs w:val="12"/>
          <w:color w:val="auto"/>
        </w:rPr>
        <w:t>CGC’s initial listing application with Nasdaq in connection with the transactions contemplated by this Agreement shall have been approved and, immediately following the Effective Time, CGC shall satisfy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applicable initial and continuing listing requirements of Nasdaq, and CGC shall not have received any notice of non-compliance therewith that has not been cured or would not be cured at or immediately following the Effective Time, and the CGC Shares (after giving effect, for the avoidance of doubt, to the Domestication and, including, for the avoidance of doubt, the CGC Shares to be issued pursuant to the Merger) shall have been approved for listing on Nasdaq; and</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b w:val="1"/>
          <w:bCs w:val="1"/>
          <w:color w:val="auto"/>
        </w:rPr>
        <w:t>(g)            </w:t>
      </w:r>
      <w:r>
        <w:rPr>
          <w:rFonts w:ascii="Times New Roman" w:cs="Times New Roman" w:eastAsia="Times New Roman" w:hAnsi="Times New Roman"/>
          <w:sz w:val="12"/>
          <w:szCs w:val="12"/>
          <w:color w:val="auto"/>
        </w:rPr>
        <w:t>the Required Transaction Proposals shall have been approved.</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Section 6.2        Other Conditions to the Obligations of the CGC Parties</w:t>
      </w:r>
      <w:r>
        <w:rPr>
          <w:rFonts w:ascii="Times New Roman" w:cs="Times New Roman" w:eastAsia="Times New Roman" w:hAnsi="Times New Roman"/>
          <w:sz w:val="12"/>
          <w:szCs w:val="12"/>
          <w:color w:val="auto"/>
        </w:rPr>
        <w:t>. The obligations of the CGC Parties to consummate the transactions contemplated by this Agreement are subject to the satisfaction or, if permitted by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applicable Law, prior written waiver by CGC (on behalf of itself and the other CGC Parties) of the following further conditions:</w:t>
      </w:r>
    </w:p>
    <w:p>
      <w:pPr>
        <w:spacing w:after="0" w:line="103"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(i) the Company Fundamental Representations (other than the representations and warranties set forth in Section 3.2(a) and Section 3.8(a) shall be true and correct (without giving effect to any limitation as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“materiality” or “Company Material Adverse Effect” or any similar limitation set forth herein) in all material respects as of the Closing Date, as though made on and as of the Closing Date (except to the extent that any such representation and warranty is made as of an earlier date, in which case such representation and warranty shall be true and correct in all material respects as of such earlier date), (ii) the representations and warranties set forth in Section 3.2(a) shall be true and correct in all respects (except for </w:t>
      </w:r>
      <w:r>
        <w:rPr>
          <w:rFonts w:ascii="Times New Roman" w:cs="Times New Roman" w:eastAsia="Times New Roman" w:hAnsi="Times New Roman"/>
          <w:sz w:val="12"/>
          <w:szCs w:val="12"/>
          <w:i w:val="1"/>
          <w:iCs w:val="1"/>
          <w:color w:val="auto"/>
        </w:rPr>
        <w:t>de minimis</w:t>
      </w:r>
      <w:r>
        <w:rPr>
          <w:rFonts w:ascii="Times New Roman" w:cs="Times New Roman" w:eastAsia="Times New Roman" w:hAnsi="Times New Roman"/>
          <w:sz w:val="12"/>
          <w:szCs w:val="12"/>
          <w:color w:val="auto"/>
        </w:rPr>
        <w:t xml:space="preserve"> inaccuracies) as of Closing Date, as though made on and as of the Closing Date (except to the extent that any such representation and warranty is made as of an earlier date, in which case such representation and warranty shall be true and correct in all respects (except for </w:t>
      </w:r>
      <w:r>
        <w:rPr>
          <w:rFonts w:ascii="Times New Roman" w:cs="Times New Roman" w:eastAsia="Times New Roman" w:hAnsi="Times New Roman"/>
          <w:sz w:val="12"/>
          <w:szCs w:val="12"/>
          <w:i w:val="1"/>
          <w:iCs w:val="1"/>
          <w:color w:val="auto"/>
        </w:rPr>
        <w:t>de minimis</w:t>
      </w:r>
      <w:r>
        <w:rPr>
          <w:rFonts w:ascii="Times New Roman" w:cs="Times New Roman" w:eastAsia="Times New Roman" w:hAnsi="Times New Roman"/>
          <w:sz w:val="12"/>
          <w:szCs w:val="12"/>
          <w:color w:val="auto"/>
        </w:rPr>
        <w:t xml:space="preserve"> inaccuracies) as of such earlier date), (iii) the representations and warranties set forth in Section 3.8(a) shall be true and correct in all respects as of the Closing Date, as though made on and as of the Closing Date (except to the extent that any such representation and warranty is made as of an earlier date, in which case such representation and warranty shall be true and correct in all respects as of such earlier date);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this clause (iii) shall be deemed to be satisfied if no Company Material Adverse Effect is continuing, and (iv) the representations and warranties of the of the Company set forth in Article 3 (other than the Company Fundamental Representations and the representations and warranties of the Company set forth in Section 3.16(n)) shall be true and correct (without giving effect to any limitation as to “materiality” or “Company Material Adverse Effect” or any similar limitation set forth herein) in all respects as of the Closing Date, as though made on and as of the Closing Date (except to the extent that any such representation and warranty is made as of an earlier date, in which case such representation and warranty shall be true and correct in all respects as of such earlier date), except where the failure of such representations and warranties to be true and correct, taken as a whole, does not cause a Company Material Adverse Effect;</w:t>
      </w:r>
    </w:p>
    <w:p>
      <w:pPr>
        <w:spacing w:after="0" w:line="1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the Company shall have performed and complied in all material respects with the covenants and agreements required to be performed or complied with by the Company under this Agreement at or prior to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Closing;</w:t>
      </w:r>
    </w:p>
    <w:p>
      <w:pPr>
        <w:spacing w:after="0" w:line="1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since the date of this Agreement, no Company Material Adverse Effect shall have occurred that is continuing;</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b w:val="1"/>
          <w:bCs w:val="1"/>
          <w:color w:val="auto"/>
        </w:rPr>
        <w:t>(d)            </w:t>
      </w:r>
      <w:r>
        <w:rPr>
          <w:rFonts w:ascii="Times New Roman" w:cs="Times New Roman" w:eastAsia="Times New Roman" w:hAnsi="Times New Roman"/>
          <w:sz w:val="12"/>
          <w:szCs w:val="12"/>
          <w:color w:val="auto"/>
        </w:rPr>
        <w:t>at or prior to the Closing, the Company shall have delivered, or caused to be delivered, to CGC the following documents:</w:t>
      </w:r>
    </w:p>
    <w:p>
      <w:pPr>
        <w:spacing w:after="0" w:line="150"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2"/>
          <w:szCs w:val="12"/>
          <w:b w:val="1"/>
          <w:bCs w:val="1"/>
          <w:color w:val="auto"/>
        </w:rPr>
        <w:t>(i)            </w:t>
      </w:r>
      <w:r>
        <w:rPr>
          <w:rFonts w:ascii="Times New Roman" w:cs="Times New Roman" w:eastAsia="Times New Roman" w:hAnsi="Times New Roman"/>
          <w:sz w:val="12"/>
          <w:szCs w:val="12"/>
          <w:color w:val="auto"/>
        </w:rPr>
        <w:t>a certificate duly executed by an authorized officer of the Company, dated as of the Closing Date, to the effect that the conditions specified in Section 6.2(a), Section 6.2(b) and Section 6.2(c) are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satisfied, in a form and substance reasonably satisfactory to CGC; and</w:t>
      </w:r>
    </w:p>
    <w:p>
      <w:pPr>
        <w:spacing w:after="0" w:line="103"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2"/>
          <w:szCs w:val="12"/>
          <w:b w:val="1"/>
          <w:bCs w:val="1"/>
          <w:color w:val="auto"/>
        </w:rPr>
        <w:t>(ii)            </w:t>
      </w:r>
      <w:r>
        <w:rPr>
          <w:rFonts w:ascii="Times New Roman" w:cs="Times New Roman" w:eastAsia="Times New Roman" w:hAnsi="Times New Roman"/>
          <w:sz w:val="12"/>
          <w:szCs w:val="12"/>
          <w:color w:val="auto"/>
        </w:rPr>
        <w:t>Stockholder Support Agreements duly executed by Company Stockholders holding, as of immediately prior to the Effective Time, representing at least Requisite Company Preferred Majority, including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each Key Supporting Company Stockholder.</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76" w:name="page77"/>
    <w:bookmarkEnd w:id="76"/>
    <w:p>
      <w:pPr>
        <w:ind w:left="8"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Section 6.3        Other Conditions to the Obligations of the Company</w:t>
      </w:r>
      <w:r>
        <w:rPr>
          <w:rFonts w:ascii="Times New Roman" w:cs="Times New Roman" w:eastAsia="Times New Roman" w:hAnsi="Times New Roman"/>
          <w:sz w:val="12"/>
          <w:szCs w:val="12"/>
          <w:color w:val="auto"/>
        </w:rPr>
        <w:t>. The obligations of the Company to consummate the transactions contemplated by this Agreement are subject to the satisfaction or, if permitted by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applicable Law, written waiver by the Company of the following further conditions:</w:t>
      </w:r>
    </w:p>
    <w:p>
      <w:pPr>
        <w:spacing w:after="0" w:line="103" w:lineRule="exact"/>
        <w:rPr>
          <w:sz w:val="20"/>
          <w:szCs w:val="20"/>
          <w:color w:val="auto"/>
        </w:rPr>
      </w:pPr>
    </w:p>
    <w:p>
      <w:pPr>
        <w:jc w:val="both"/>
        <w:ind w:left="8" w:firstLine="864"/>
        <w:spacing w:after="0" w:line="287" w:lineRule="auto"/>
        <w:rPr>
          <w:sz w:val="20"/>
          <w:szCs w:val="20"/>
          <w:color w:val="auto"/>
        </w:rPr>
      </w:pPr>
      <w:r>
        <w:rPr>
          <w:rFonts w:ascii="Times New Roman" w:cs="Times New Roman" w:eastAsia="Times New Roman" w:hAnsi="Times New Roman"/>
          <w:sz w:val="11"/>
          <w:szCs w:val="11"/>
          <w:b w:val="1"/>
          <w:bCs w:val="1"/>
          <w:color w:val="auto"/>
        </w:rPr>
        <w:t>(a)            </w:t>
      </w:r>
      <w:r>
        <w:rPr>
          <w:rFonts w:ascii="Times New Roman" w:cs="Times New Roman" w:eastAsia="Times New Roman" w:hAnsi="Times New Roman"/>
          <w:sz w:val="11"/>
          <w:szCs w:val="11"/>
          <w:color w:val="auto"/>
        </w:rPr>
        <w:t>(i) the CGC Fundamental Representations (other than the representations and warranties set forth in Section 4.6(a)) shall be true and correct in all material respects as of the Closing Date, as though made on and</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as of the Closing Date (except to the extent that any such representation and warranty is made as of an earlier date, in which case such representation and warranty shall be true and correct in all material respects as of such earlier date),</w:t>
      </w:r>
    </w:p>
    <w:p>
      <w:pPr>
        <w:jc w:val="both"/>
        <w:ind w:left="8" w:hanging="8"/>
        <w:spacing w:after="0" w:line="252" w:lineRule="auto"/>
        <w:tabs>
          <w:tab w:leader="none" w:pos="185"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representations and warranties set forth in Section 4.6(a) shall be true and correct in all respects (except for </w:t>
      </w:r>
      <w:r>
        <w:rPr>
          <w:rFonts w:ascii="Times New Roman" w:cs="Times New Roman" w:eastAsia="Times New Roman" w:hAnsi="Times New Roman"/>
          <w:sz w:val="12"/>
          <w:szCs w:val="12"/>
          <w:i w:val="1"/>
          <w:iCs w:val="1"/>
          <w:color w:val="auto"/>
        </w:rPr>
        <w:t>de minimis</w:t>
      </w:r>
      <w:r>
        <w:rPr>
          <w:rFonts w:ascii="Times New Roman" w:cs="Times New Roman" w:eastAsia="Times New Roman" w:hAnsi="Times New Roman"/>
          <w:sz w:val="12"/>
          <w:szCs w:val="12"/>
          <w:color w:val="auto"/>
        </w:rPr>
        <w:t xml:space="preserve"> inaccuracies) as of the Closing Date, as though made on and as of the Closing Date (except to the extent that any such representation and warranty is made as of an earlier date, in which case such representation and warranty shall be true and correct in all respects (except for </w:t>
      </w:r>
      <w:r>
        <w:rPr>
          <w:rFonts w:ascii="Times New Roman" w:cs="Times New Roman" w:eastAsia="Times New Roman" w:hAnsi="Times New Roman"/>
          <w:sz w:val="12"/>
          <w:szCs w:val="12"/>
          <w:i w:val="1"/>
          <w:iCs w:val="1"/>
          <w:color w:val="auto"/>
        </w:rPr>
        <w:t>de minimis</w:t>
      </w:r>
      <w:r>
        <w:rPr>
          <w:rFonts w:ascii="Times New Roman" w:cs="Times New Roman" w:eastAsia="Times New Roman" w:hAnsi="Times New Roman"/>
          <w:sz w:val="12"/>
          <w:szCs w:val="12"/>
          <w:color w:val="auto"/>
        </w:rPr>
        <w:t xml:space="preserve"> inaccuracies) as of such earlier date), (iii) the representations and warranties of the CGC Parties (other than the CGC Fundamental Representations) contained in Article 4 of this Agreement shall be true and correct (without giving effect to any limitation as to “materiality” or “CGC Material Adverse Effect” or any similar limitation set forth herein) in all respects as of the Closing Date, as though made on and as of the Closing Date (except to the extent that any such representation and warranty is made as of an earlier date, in which case such representation and warranty shall be true and correct as of such earlier date), except where the failure of such representations and warranties to be true and correct, taken as a whole, does not cause a CGC Material Adverse Effect;</w:t>
      </w:r>
    </w:p>
    <w:p>
      <w:pPr>
        <w:spacing w:after="0" w:line="124"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the CGC Parties shall have performed and complied in all material respects with the covenants and agreements required to be performed or complied with by them under this Agreement at or prior to the</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Closing;</w:t>
      </w:r>
    </w:p>
    <w:p>
      <w:pPr>
        <w:spacing w:after="0" w:line="135"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since the date of this Agreement, no CGC Material Adverse Effect shall have occurred that is continuing;</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b w:val="1"/>
          <w:bCs w:val="1"/>
          <w:color w:val="auto"/>
        </w:rPr>
        <w:t>(d)            </w:t>
      </w:r>
      <w:r>
        <w:rPr>
          <w:rFonts w:ascii="Times New Roman" w:cs="Times New Roman" w:eastAsia="Times New Roman" w:hAnsi="Times New Roman"/>
          <w:sz w:val="12"/>
          <w:szCs w:val="12"/>
          <w:color w:val="auto"/>
        </w:rPr>
        <w:t>the CGC Board shall consist of the number of directors, and be comprised of the individuals, determined pursuant to Section 5.16;</w:t>
      </w:r>
    </w:p>
    <w:p>
      <w:pPr>
        <w:spacing w:after="0" w:line="150" w:lineRule="exact"/>
        <w:rPr>
          <w:sz w:val="20"/>
          <w:szCs w:val="20"/>
          <w:color w:val="auto"/>
        </w:rPr>
      </w:pPr>
    </w:p>
    <w:p>
      <w:pPr>
        <w:jc w:val="both"/>
        <w:ind w:left="8" w:firstLine="864"/>
        <w:spacing w:after="0" w:line="259" w:lineRule="auto"/>
        <w:rPr>
          <w:sz w:val="20"/>
          <w:szCs w:val="20"/>
          <w:color w:val="auto"/>
        </w:rPr>
      </w:pPr>
      <w:r>
        <w:rPr>
          <w:rFonts w:ascii="Times New Roman" w:cs="Times New Roman" w:eastAsia="Times New Roman" w:hAnsi="Times New Roman"/>
          <w:sz w:val="12"/>
          <w:szCs w:val="12"/>
          <w:b w:val="1"/>
          <w:bCs w:val="1"/>
          <w:color w:val="auto"/>
        </w:rPr>
        <w:t>(e)            </w:t>
      </w:r>
      <w:r>
        <w:rPr>
          <w:rFonts w:ascii="Times New Roman" w:cs="Times New Roman" w:eastAsia="Times New Roman" w:hAnsi="Times New Roman"/>
          <w:sz w:val="12"/>
          <w:szCs w:val="12"/>
          <w:color w:val="auto"/>
        </w:rPr>
        <w:t>each PIPE Investor shall have funded the Purchase Price for such PIPE Investor’s Purchased Shares pursuant to Section 2.1 of such PIPE Investor’s Investor Stock Purchase Agreement into the Escrow Account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(as defined in such PIPE Investor’s Stock Purchase Agreement) with release of such funds held in the Escrow Account to CGC conditioned only upon evidence that the conditions to closing in this Article 6 have been satisfied and such PIPE Investor shall have otherwise fully performed its obligations thereunder and CGC shall have issued to the Escrow Agent (as defined in such Investor Stock Purchase Agreement) such escrow release instructions as are required by Section 2.1 of the Investor Stock Purchase Agreement and/or such PIPE Investor shall have purchased any shares subject to any non-redemption agreement (in accordance with the provisions of Section 2.1 of such Investor Stock Purchase Agreement) to which such PIPE Investor is a party and otherwise fully performed its obligations under such non-redemption agreement;</w:t>
      </w:r>
    </w:p>
    <w:p>
      <w:pPr>
        <w:spacing w:after="0" w:line="119"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b w:val="1"/>
          <w:bCs w:val="1"/>
          <w:color w:val="auto"/>
        </w:rPr>
        <w:t>(f)            </w:t>
      </w:r>
      <w:r>
        <w:rPr>
          <w:rFonts w:ascii="Times New Roman" w:cs="Times New Roman" w:eastAsia="Times New Roman" w:hAnsi="Times New Roman"/>
          <w:sz w:val="12"/>
          <w:szCs w:val="12"/>
          <w:color w:val="auto"/>
        </w:rPr>
        <w:t>the Domestication shall have been consummated on the Closing Date prior to the Effective Time;</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b w:val="1"/>
          <w:bCs w:val="1"/>
          <w:color w:val="auto"/>
        </w:rPr>
        <w:t>(g)            </w:t>
      </w:r>
      <w:r>
        <w:rPr>
          <w:rFonts w:ascii="Times New Roman" w:cs="Times New Roman" w:eastAsia="Times New Roman" w:hAnsi="Times New Roman"/>
          <w:sz w:val="12"/>
          <w:szCs w:val="12"/>
          <w:color w:val="auto"/>
        </w:rPr>
        <w:t>at or prior to the Closing, CGC shall have delivered, or caused to be delivered, the following documents:</w:t>
      </w:r>
    </w:p>
    <w:p>
      <w:pPr>
        <w:spacing w:after="0" w:line="150" w:lineRule="exact"/>
        <w:rPr>
          <w:sz w:val="20"/>
          <w:szCs w:val="20"/>
          <w:color w:val="auto"/>
        </w:rPr>
      </w:pPr>
    </w:p>
    <w:p>
      <w:pPr>
        <w:jc w:val="both"/>
        <w:ind w:left="8" w:firstLine="1296"/>
        <w:spacing w:after="0" w:line="286" w:lineRule="auto"/>
        <w:rPr>
          <w:sz w:val="20"/>
          <w:szCs w:val="20"/>
          <w:color w:val="auto"/>
        </w:rPr>
      </w:pPr>
      <w:r>
        <w:rPr>
          <w:rFonts w:ascii="Times New Roman" w:cs="Times New Roman" w:eastAsia="Times New Roman" w:hAnsi="Times New Roman"/>
          <w:sz w:val="12"/>
          <w:szCs w:val="12"/>
          <w:b w:val="1"/>
          <w:bCs w:val="1"/>
          <w:color w:val="auto"/>
        </w:rPr>
        <w:t>(i)            </w:t>
      </w:r>
      <w:r>
        <w:rPr>
          <w:rFonts w:ascii="Times New Roman" w:cs="Times New Roman" w:eastAsia="Times New Roman" w:hAnsi="Times New Roman"/>
          <w:sz w:val="12"/>
          <w:szCs w:val="12"/>
          <w:color w:val="auto"/>
        </w:rPr>
        <w:t>a certificate duly executed by an authorized officer of CGC, dated as of the Closing Date, to the effect that the conditions specified in Section 6.3(a), Section 6.3(b) and Section 6.3(c) are satisfied, in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form and substance reasonably satisfactory to the Company; and</w:t>
      </w:r>
    </w:p>
    <w:p>
      <w:pPr>
        <w:spacing w:after="0" w:line="103"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b w:val="1"/>
          <w:bCs w:val="1"/>
          <w:color w:val="auto"/>
        </w:rPr>
        <w:t>(ii)            </w:t>
      </w:r>
      <w:r>
        <w:rPr>
          <w:rFonts w:ascii="Times New Roman" w:cs="Times New Roman" w:eastAsia="Times New Roman" w:hAnsi="Times New Roman"/>
          <w:sz w:val="12"/>
          <w:szCs w:val="12"/>
          <w:color w:val="auto"/>
        </w:rPr>
        <w:t>the Registration Rights Agreement, duly executed by CGC and the CGC Shareholders.</w:t>
      </w:r>
    </w:p>
    <w:p>
      <w:pPr>
        <w:spacing w:after="0" w:line="29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77" w:name="page78"/>
    <w:bookmarkEnd w:id="77"/>
    <w:p>
      <w:pPr>
        <w:jc w:val="both"/>
        <w:ind w:left="8"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Section 6.4        Frustration of Closing Conditions</w:t>
      </w:r>
      <w:r>
        <w:rPr>
          <w:rFonts w:ascii="Times New Roman" w:cs="Times New Roman" w:eastAsia="Times New Roman" w:hAnsi="Times New Roman"/>
          <w:sz w:val="12"/>
          <w:szCs w:val="12"/>
          <w:color w:val="auto"/>
        </w:rPr>
        <w:t>. The Company may not rely on the failure of any condition set forth in this Article 6 to be satisfied if such failure was proximately caused by the Company’s failure to use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reasonable best efforts to cause the Closing to occur, as required by Section 5.2. None of the CGC Parties may rely on the failure of any condition set forth in this Article 6 to be satisfied if such failure was proximately caused by a CGC Party’s failure to use reasonable best efforts to cause the Closing to occur, as required by Section 5.2.</w:t>
      </w:r>
    </w:p>
    <w:p>
      <w:pPr>
        <w:spacing w:after="0" w:line="1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ARTICLE 7</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TERMINATION</w:t>
      </w:r>
    </w:p>
    <w:p>
      <w:pPr>
        <w:spacing w:after="0" w:line="13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color w:val="auto"/>
        </w:rPr>
        <w:t>Section 7.1        Termination</w:t>
      </w:r>
      <w:r>
        <w:rPr>
          <w:rFonts w:ascii="Times New Roman" w:cs="Times New Roman" w:eastAsia="Times New Roman" w:hAnsi="Times New Roman"/>
          <w:sz w:val="12"/>
          <w:szCs w:val="12"/>
          <w:color w:val="auto"/>
        </w:rPr>
        <w:t>. This Agreement may be terminated, and the transactions contemplated by this Agreement may be abandoned at any time prior to the Closing, solely:</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by mutual written consent of CGC and the Company;</w:t>
      </w:r>
    </w:p>
    <w:p>
      <w:pPr>
        <w:spacing w:after="0" w:line="150" w:lineRule="exact"/>
        <w:rPr>
          <w:sz w:val="20"/>
          <w:szCs w:val="20"/>
          <w:color w:val="auto"/>
        </w:rPr>
      </w:pPr>
    </w:p>
    <w:p>
      <w:pPr>
        <w:jc w:val="both"/>
        <w:ind w:left="8" w:firstLine="864"/>
        <w:spacing w:after="0" w:line="259"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by CGC, if any of the representations or warranties set forth in Article 3 shall not be true and correct or if the Company has failed to perform or has otherwise breached any of its covenants or agreements set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forth in this Agreement (including an obligation to consummate the Closing) such that the condition to Closing set forth in either Section 6.2(a) or Section 6.2(b) would not be satisfied (assuming the Closing occurred as of such date) and the breach or breaches causing such representations or warranties not to be true and correct, or the failures to perform any covenant or agreement, as applicable, is (or are) not cured or cannot be cured within the earlier of (i) thirty</w:t>
      </w:r>
    </w:p>
    <w:p>
      <w:pPr>
        <w:ind w:left="8" w:hanging="8"/>
        <w:spacing w:after="0" w:line="260" w:lineRule="auto"/>
        <w:tabs>
          <w:tab w:leader="none" w:pos="238"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days after written notice thereof is delivered to the Company by CGC, and (ii) the Termination Date;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none of the CGC Parties is then in breach of this Agreement so as to prevent the condition to Closing set forth in either Section 6.3(a) or Section 6.3(b) from being satisfied (assuming the Closing occurred as of such date);</w:t>
      </w:r>
    </w:p>
    <w:p>
      <w:pPr>
        <w:spacing w:after="0" w:line="118" w:lineRule="exact"/>
        <w:rPr>
          <w:sz w:val="20"/>
          <w:szCs w:val="20"/>
          <w:color w:val="auto"/>
        </w:rPr>
      </w:pPr>
    </w:p>
    <w:p>
      <w:pPr>
        <w:jc w:val="both"/>
        <w:ind w:left="8" w:firstLine="864"/>
        <w:spacing w:after="0" w:line="259" w:lineRule="auto"/>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by the Company, if any of the representations or warranties set forth in Article 4 shall not be true and correct or if any CGC Party has failed to perform any covenant or agreement on the part of such applicable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CGC Party set forth in this Agreement (including an obligation to consummate the Closing) such that the condition to Closing set forth in either Section 6.3(a) or Section 6.3(b) could not be satisfied (assuming the Closing occurred as of such date) and the breach or breaches causing such representations or warranties not to be true and correct, or the failures to perform any covenant or agreement, as applicable, is (or are) not cured or cannot be cured within the earlier of (i) thirty (30) days after written notice thereof is delivered to CGC by the Company and (ii) the Termination Date;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the Company is not then in breach of this Agreement so as to prevent the condition to Closing set forth in Section 6.2(a) or Section 6.2(b) from being satisfied (assuming the Closing occurred as of such date);</w:t>
      </w:r>
    </w:p>
    <w:p>
      <w:pPr>
        <w:spacing w:after="0" w:line="119" w:lineRule="exact"/>
        <w:rPr>
          <w:sz w:val="20"/>
          <w:szCs w:val="20"/>
          <w:color w:val="auto"/>
        </w:rPr>
      </w:pPr>
    </w:p>
    <w:p>
      <w:pPr>
        <w:jc w:val="both"/>
        <w:ind w:left="8" w:firstLine="864"/>
        <w:spacing w:after="0" w:line="259" w:lineRule="auto"/>
        <w:rPr>
          <w:sz w:val="20"/>
          <w:szCs w:val="20"/>
          <w:color w:val="auto"/>
        </w:rPr>
      </w:pPr>
      <w:r>
        <w:rPr>
          <w:rFonts w:ascii="Times New Roman" w:cs="Times New Roman" w:eastAsia="Times New Roman" w:hAnsi="Times New Roman"/>
          <w:sz w:val="12"/>
          <w:szCs w:val="12"/>
          <w:b w:val="1"/>
          <w:bCs w:val="1"/>
          <w:color w:val="auto"/>
        </w:rPr>
        <w:t>(d)            </w:t>
      </w:r>
      <w:r>
        <w:rPr>
          <w:rFonts w:ascii="Times New Roman" w:cs="Times New Roman" w:eastAsia="Times New Roman" w:hAnsi="Times New Roman"/>
          <w:sz w:val="12"/>
          <w:szCs w:val="12"/>
          <w:color w:val="auto"/>
        </w:rPr>
        <w:t>by either CGC or the Company, if the transactions contemplated by this Agreement shall not have been consummated on or prior to November 12, 2026 (the “</w:t>
      </w:r>
      <w:r>
        <w:rPr>
          <w:rFonts w:ascii="Times New Roman" w:cs="Times New Roman" w:eastAsia="Times New Roman" w:hAnsi="Times New Roman"/>
          <w:sz w:val="12"/>
          <w:szCs w:val="12"/>
          <w:b w:val="1"/>
          <w:bCs w:val="1"/>
          <w:i w:val="1"/>
          <w:iCs w:val="1"/>
          <w:color w:val="auto"/>
        </w:rPr>
        <w:t>Termination Date</w:t>
      </w:r>
      <w:r>
        <w:rPr>
          <w:rFonts w:ascii="Times New Roman" w:cs="Times New Roman" w:eastAsia="Times New Roman" w:hAnsi="Times New Roman"/>
          <w:sz w:val="12"/>
          <w:szCs w:val="12"/>
          <w:color w:val="auto"/>
        </w:rPr>
        <w:t>”); provided that (i) the right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terminate this Agreement pursuant to this Section 7.1(d) shall not be available to CGC if any CGC Party’s breach of any of its covenants or obligations under this Agreement, or any Ancillary Documents to which it is a party, shall have proximately caused the failure to consummate the transactions contemplated by this Agreement on or before the Termination Date, and (ii) the right to terminate this Agreement pursuant to this Section 7.1(d) shall not be available to the Company if the Company’s breach of any of its covenants or obligations under this Agreement, or any Ancillary Documents to which it is a party, shall have proximately caused the failure to consummate the transactions contemplated by this Agreement on or before the Termination Date;</w:t>
      </w:r>
    </w:p>
    <w:p>
      <w:pPr>
        <w:spacing w:after="0" w:line="119" w:lineRule="exact"/>
        <w:rPr>
          <w:sz w:val="20"/>
          <w:szCs w:val="20"/>
          <w:color w:val="auto"/>
        </w:rPr>
      </w:pPr>
    </w:p>
    <w:p>
      <w:pPr>
        <w:jc w:val="both"/>
        <w:ind w:left="8"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(e)            </w:t>
      </w:r>
      <w:r>
        <w:rPr>
          <w:rFonts w:ascii="Times New Roman" w:cs="Times New Roman" w:eastAsia="Times New Roman" w:hAnsi="Times New Roman"/>
          <w:sz w:val="12"/>
          <w:szCs w:val="12"/>
          <w:color w:val="auto"/>
        </w:rPr>
        <w:t>by either CGC or the Company, if any Governmental Entity shall have issued an Order or taken any other action permanently enjoining, restraining or otherwise prohibiting the transactions contemplated by this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Agreement (including the Domestication and the Merger) and such Order or other action shall have become final and nonappealable;</w:t>
      </w:r>
    </w:p>
    <w:p>
      <w:pPr>
        <w:spacing w:after="0" w:line="103" w:lineRule="exact"/>
        <w:rPr>
          <w:sz w:val="20"/>
          <w:szCs w:val="20"/>
          <w:color w:val="auto"/>
        </w:rPr>
      </w:pPr>
    </w:p>
    <w:p>
      <w:pPr>
        <w:jc w:val="both"/>
        <w:ind w:left="8"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(f)            </w:t>
      </w:r>
      <w:r>
        <w:rPr>
          <w:rFonts w:ascii="Times New Roman" w:cs="Times New Roman" w:eastAsia="Times New Roman" w:hAnsi="Times New Roman"/>
          <w:sz w:val="12"/>
          <w:szCs w:val="12"/>
          <w:color w:val="auto"/>
        </w:rPr>
        <w:t>by either CGC or the Company if the CGC Shareholders Meeting has been held (including any adjournment thereof), has concluded, CGC’s shareholders have duly voted and the Required CGC Shareholder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Approval was not obtained; or</w:t>
      </w:r>
    </w:p>
    <w:p>
      <w:pPr>
        <w:spacing w:after="0" w:line="25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78" w:name="page79"/>
    <w:bookmarkEnd w:id="78"/>
    <w:p>
      <w:pPr>
        <w:jc w:val="both"/>
        <w:ind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(g)            </w:t>
      </w:r>
      <w:r>
        <w:rPr>
          <w:rFonts w:ascii="Times New Roman" w:cs="Times New Roman" w:eastAsia="Times New Roman" w:hAnsi="Times New Roman"/>
          <w:sz w:val="12"/>
          <w:szCs w:val="12"/>
          <w:color w:val="auto"/>
        </w:rPr>
        <w:t>by CGC, if the Company has not delivered, or caused to be delivered, to CGC, the written consents of the Company Stockholders sufficient to constitute the Company Stockholder Written Consent in accordance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with Section 5.13(a) on or prior to the Company Stockholder Written Consent Deadline.</w:t>
      </w:r>
    </w:p>
    <w:p>
      <w:pPr>
        <w:spacing w:after="0" w:line="103"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b w:val="1"/>
          <w:bCs w:val="1"/>
          <w:color w:val="auto"/>
        </w:rPr>
        <w:t>Section 7.2        Effect of Termination</w:t>
      </w:r>
      <w:r>
        <w:rPr>
          <w:rFonts w:ascii="Times New Roman" w:cs="Times New Roman" w:eastAsia="Times New Roman" w:hAnsi="Times New Roman"/>
          <w:sz w:val="12"/>
          <w:szCs w:val="12"/>
          <w:color w:val="auto"/>
        </w:rPr>
        <w:t>. In the event of the termination of this Agreement pursuant to Section 7.1, (a) this entire Agreement shall forthwith become void (and there shall be no Liability or obligation on the part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Parties and their respective Non-Party Affiliates) with the exception of Section 5.3(a), this Section 7.2, Article 8 and Article 1 (to the extent related to the foregoing), each of which shall survive such termination and remain valid and binding obligations of the Parties and (b) the Confidentiality Agreements, which shall survive such termination and remain valid and binding obligations of the parties thereto in accordance with their respective terms. Notwithstanding the foregoing or anything to the contrary herein, the termination of this Agreement pursuant to Section 7.1 shall not affect (i) any Liability on the part of any Party for any Willful Breach of any covenant or agreement set forth in this Agreement prior to such termination or Fraud or (ii) any Person’s Liability under any Investor Stock Purchase Agreement, any Confidentiality Agreement, any Stockholder Support Agreement or the Sponsor Support Agreement to which he, she or it is a party to the extent arising from a claim against such Person by another Person party to such agreement on the terms and subject to the conditions thereunder.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8</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MISCELLANEOUS</w:t>
      </w:r>
    </w:p>
    <w:p>
      <w:pPr>
        <w:spacing w:after="0" w:line="135"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Section 8.1        Non-Survival</w:t>
      </w:r>
      <w:r>
        <w:rPr>
          <w:rFonts w:ascii="Times New Roman" w:cs="Times New Roman" w:eastAsia="Times New Roman" w:hAnsi="Times New Roman"/>
          <w:sz w:val="12"/>
          <w:szCs w:val="12"/>
          <w:color w:val="auto"/>
        </w:rPr>
        <w:t>. All of the representations and warranties set forth in this Agreement, shall terminate at the Effective Time, such that no claim for breach of any such representation, warranty, agreement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covenant, detrimental reliance or other right or remedy (whether in contract, in tort, at law, in equity or otherwise) may be brought with respect thereto after the Effective Time against any Party, any Company Non-Party Affiliate or any CGC Non-Party Affiliate, except in the case of Fraud. Each covenant and agreement contained herein that, by its terms, expressly contemplates performance after the Effective Time shall so survive the Effective Time in accordance with its terms, and each covenant and agreement contained in any Ancillary Document that, by its terms, expressly contemplates performance after the Effective Time shall so survive the Effective Time in accordance with its terms and any other provision in any Ancillary Document that expressly survives the Effective Time shall so survive the Effective Time in accordance with the terms of such Ancillary Document.</w:t>
      </w:r>
    </w:p>
    <w:p>
      <w:pPr>
        <w:spacing w:after="0" w:line="119"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Section 8.2        Entire Agreement; Assignment</w:t>
      </w:r>
      <w:r>
        <w:rPr>
          <w:rFonts w:ascii="Times New Roman" w:cs="Times New Roman" w:eastAsia="Times New Roman" w:hAnsi="Times New Roman"/>
          <w:sz w:val="12"/>
          <w:szCs w:val="12"/>
          <w:color w:val="auto"/>
        </w:rPr>
        <w:t>. This Agreement (together with the Ancillary Documents and the Confidentiality Agreement) constitutes the entire agreement among the Parties with respect to the subject matter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hereof and supersedes all other prior agreements and understandings, both written and oral, among the Parties with respect to the subject matter hereof. This Agreement may not be assigned by any Party (whether by operation of law or otherwise) without the prior written consent of CGC and the Company.</w:t>
      </w:r>
    </w:p>
    <w:p>
      <w:pPr>
        <w:spacing w:after="0" w:line="114"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Section 8.3        Amendment</w:t>
      </w:r>
      <w:r>
        <w:rPr>
          <w:rFonts w:ascii="Times New Roman" w:cs="Times New Roman" w:eastAsia="Times New Roman" w:hAnsi="Times New Roman"/>
          <w:sz w:val="12"/>
          <w:szCs w:val="12"/>
          <w:color w:val="auto"/>
        </w:rPr>
        <w:t>. This Agreement may be amended or modified only by a written agreement executed and delivered by CGC and the Company. This Agreement may not be modified or amended except as provided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in the immediately preceding sentence and any purported amendment by any Party or Parties effected in a manner which does not comply with this Section 8.3 shall be void, </w:t>
      </w:r>
      <w:r>
        <w:rPr>
          <w:rFonts w:ascii="Times New Roman" w:cs="Times New Roman" w:eastAsia="Times New Roman" w:hAnsi="Times New Roman"/>
          <w:sz w:val="12"/>
          <w:szCs w:val="12"/>
          <w:i w:val="1"/>
          <w:iCs w:val="1"/>
          <w:color w:val="auto"/>
        </w:rPr>
        <w:t>ab initio</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Section 8.4        Notices</w:t>
      </w:r>
      <w:r>
        <w:rPr>
          <w:rFonts w:ascii="Times New Roman" w:cs="Times New Roman" w:eastAsia="Times New Roman" w:hAnsi="Times New Roman"/>
          <w:sz w:val="12"/>
          <w:szCs w:val="12"/>
          <w:color w:val="auto"/>
        </w:rPr>
        <w:t>. All notices, requests, claims, demands and other communications hereunder shall be in writing and shall be given (and shall be deemed to have been duly given) by delivery in person, by e-mail (having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11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If to any CGC Party, or the Sponsor, to:</w:t>
      </w:r>
    </w:p>
    <w:p>
      <w:pPr>
        <w:spacing w:after="0" w:line="1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505 Fifth Avenue, Suite 1500</w:t>
      </w:r>
    </w:p>
    <w:p>
      <w:pPr>
        <w:spacing w:after="0" w:line="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New York, NY 10017</w:t>
      </w:r>
    </w:p>
    <w:p>
      <w:pPr>
        <w:spacing w:after="0" w:line="6" w:lineRule="exact"/>
        <w:rPr>
          <w:sz w:val="20"/>
          <w:szCs w:val="20"/>
          <w:color w:val="auto"/>
        </w:rPr>
      </w:pPr>
    </w:p>
    <w:p>
      <w:pPr>
        <w:ind w:left="1280"/>
        <w:spacing w:after="0"/>
        <w:tabs>
          <w:tab w:leader="none" w:pos="1960" w:val="left"/>
        </w:tabs>
        <w:rPr>
          <w:sz w:val="20"/>
          <w:szCs w:val="20"/>
          <w:color w:val="auto"/>
        </w:rPr>
      </w:pPr>
      <w:r>
        <w:rPr>
          <w:rFonts w:ascii="Times New Roman" w:cs="Times New Roman" w:eastAsia="Times New Roman" w:hAnsi="Times New Roman"/>
          <w:sz w:val="12"/>
          <w:szCs w:val="12"/>
          <w:color w:val="auto"/>
        </w:rPr>
        <w:t>Attention:</w:t>
      </w:r>
      <w:r>
        <w:rPr>
          <w:sz w:val="20"/>
          <w:szCs w:val="20"/>
          <w:color w:val="auto"/>
        </w:rPr>
        <w:tab/>
      </w:r>
      <w:r>
        <w:rPr>
          <w:rFonts w:ascii="Times New Roman" w:cs="Times New Roman" w:eastAsia="Times New Roman" w:hAnsi="Times New Roman"/>
          <w:sz w:val="12"/>
          <w:szCs w:val="12"/>
          <w:color w:val="auto"/>
        </w:rPr>
        <w:t>Peter Yu</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E-mail: peter@cartesiangrowth.com</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79" w:name="page80"/>
    <w:bookmarkEnd w:id="79"/>
    <w:p>
      <w:pPr>
        <w:ind w:left="1280"/>
        <w:spacing w:after="0"/>
        <w:rPr>
          <w:sz w:val="20"/>
          <w:szCs w:val="20"/>
          <w:color w:val="auto"/>
        </w:rPr>
      </w:pPr>
      <w:r>
        <w:rPr>
          <w:rFonts w:ascii="Times New Roman" w:cs="Times New Roman" w:eastAsia="Times New Roman" w:hAnsi="Times New Roman"/>
          <w:sz w:val="12"/>
          <w:szCs w:val="12"/>
          <w:color w:val="auto"/>
        </w:rPr>
        <w:t>with a copy (which shall not constitute notice) to:</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Greenberg Traurig, LLP</w:t>
      </w:r>
    </w:p>
    <w:p>
      <w:pPr>
        <w:spacing w:after="0" w:line="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One Vanderbilt Avenue</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New York, New York 10017</w:t>
      </w:r>
    </w:p>
    <w:p>
      <w:pPr>
        <w:spacing w:after="0" w:line="6" w:lineRule="exact"/>
        <w:rPr>
          <w:sz w:val="20"/>
          <w:szCs w:val="20"/>
          <w:color w:val="auto"/>
        </w:rPr>
      </w:pPr>
    </w:p>
    <w:p>
      <w:pPr>
        <w:ind w:left="1280"/>
        <w:spacing w:after="0"/>
        <w:tabs>
          <w:tab w:leader="none" w:pos="1960" w:val="left"/>
        </w:tabs>
        <w:rPr>
          <w:sz w:val="20"/>
          <w:szCs w:val="20"/>
          <w:color w:val="auto"/>
        </w:rPr>
      </w:pPr>
      <w:r>
        <w:rPr>
          <w:rFonts w:ascii="Times New Roman" w:cs="Times New Roman" w:eastAsia="Times New Roman" w:hAnsi="Times New Roman"/>
          <w:sz w:val="12"/>
          <w:szCs w:val="12"/>
          <w:color w:val="auto"/>
        </w:rPr>
        <w:t>Attention:</w:t>
      </w:r>
      <w:r>
        <w:rPr>
          <w:sz w:val="20"/>
          <w:szCs w:val="20"/>
          <w:color w:val="auto"/>
        </w:rPr>
        <w:tab/>
      </w:r>
      <w:r>
        <w:rPr>
          <w:rFonts w:ascii="Times New Roman" w:cs="Times New Roman" w:eastAsia="Times New Roman" w:hAnsi="Times New Roman"/>
          <w:sz w:val="12"/>
          <w:szCs w:val="12"/>
          <w:color w:val="auto"/>
        </w:rPr>
        <w:t>Adam Namoury; Thomas Martin</w:t>
      </w:r>
    </w:p>
    <w:p>
      <w:pPr>
        <w:spacing w:after="0" w:line="6" w:lineRule="exact"/>
        <w:rPr>
          <w:sz w:val="20"/>
          <w:szCs w:val="20"/>
          <w:color w:val="auto"/>
        </w:rPr>
      </w:pPr>
    </w:p>
    <w:p>
      <w:pPr>
        <w:ind w:left="1280"/>
        <w:spacing w:after="0"/>
        <w:tabs>
          <w:tab w:leader="none" w:pos="1960" w:val="left"/>
        </w:tabs>
        <w:rPr>
          <w:sz w:val="20"/>
          <w:szCs w:val="20"/>
          <w:color w:val="auto"/>
        </w:rPr>
      </w:pPr>
      <w:r>
        <w:rPr>
          <w:rFonts w:ascii="Times New Roman" w:cs="Times New Roman" w:eastAsia="Times New Roman" w:hAnsi="Times New Roman"/>
          <w:sz w:val="12"/>
          <w:szCs w:val="12"/>
          <w:color w:val="auto"/>
        </w:rPr>
        <w:t>E-mail:</w:t>
      </w:r>
      <w:r>
        <w:rPr>
          <w:sz w:val="20"/>
          <w:szCs w:val="20"/>
          <w:color w:val="auto"/>
        </w:rPr>
        <w:tab/>
      </w:r>
      <w:r>
        <w:rPr>
          <w:rFonts w:ascii="Times New Roman" w:cs="Times New Roman" w:eastAsia="Times New Roman" w:hAnsi="Times New Roman"/>
          <w:sz w:val="11"/>
          <w:szCs w:val="11"/>
          <w:color w:val="auto"/>
        </w:rPr>
        <w:t>adam.namoury@gtlaw.com; thomas.martin@gtlaw.com</w:t>
      </w:r>
    </w:p>
    <w:p>
      <w:pPr>
        <w:spacing w:after="0" w:line="1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If to the Company, to:</w:t>
      </w:r>
    </w:p>
    <w:p>
      <w:pPr>
        <w:spacing w:after="0" w:line="1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Factorial Inc.</w:t>
      </w:r>
    </w:p>
    <w:p>
      <w:pPr>
        <w:spacing w:after="0" w:line="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805 Middlesex Turnpike</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Billerica, MA 01821</w:t>
      </w:r>
    </w:p>
    <w:p>
      <w:pPr>
        <w:spacing w:after="0" w:line="6" w:lineRule="exact"/>
        <w:rPr>
          <w:sz w:val="20"/>
          <w:szCs w:val="20"/>
          <w:color w:val="auto"/>
        </w:rPr>
      </w:pPr>
    </w:p>
    <w:p>
      <w:pPr>
        <w:ind w:left="1280"/>
        <w:spacing w:after="0"/>
        <w:tabs>
          <w:tab w:leader="none" w:pos="1960" w:val="left"/>
        </w:tabs>
        <w:rPr>
          <w:sz w:val="20"/>
          <w:szCs w:val="20"/>
          <w:color w:val="auto"/>
        </w:rPr>
      </w:pPr>
      <w:r>
        <w:rPr>
          <w:rFonts w:ascii="Times New Roman" w:cs="Times New Roman" w:eastAsia="Times New Roman" w:hAnsi="Times New Roman"/>
          <w:sz w:val="12"/>
          <w:szCs w:val="12"/>
          <w:color w:val="auto"/>
        </w:rPr>
        <w:t>Attention:</w:t>
      </w:r>
      <w:r>
        <w:rPr>
          <w:sz w:val="20"/>
          <w:szCs w:val="20"/>
          <w:color w:val="auto"/>
        </w:rPr>
        <w:tab/>
      </w:r>
      <w:r>
        <w:rPr>
          <w:rFonts w:ascii="Times New Roman" w:cs="Times New Roman" w:eastAsia="Times New Roman" w:hAnsi="Times New Roman"/>
          <w:sz w:val="12"/>
          <w:szCs w:val="12"/>
          <w:color w:val="auto"/>
        </w:rPr>
        <w:t>Siyu Huang</w:t>
      </w:r>
    </w:p>
    <w:p>
      <w:pPr>
        <w:spacing w:after="0" w:line="6" w:lineRule="exact"/>
        <w:rPr>
          <w:sz w:val="20"/>
          <w:szCs w:val="20"/>
          <w:color w:val="auto"/>
        </w:rPr>
      </w:pPr>
    </w:p>
    <w:p>
      <w:pPr>
        <w:ind w:left="1280"/>
        <w:spacing w:after="0"/>
        <w:tabs>
          <w:tab w:leader="none" w:pos="1960" w:val="left"/>
        </w:tabs>
        <w:rPr>
          <w:sz w:val="20"/>
          <w:szCs w:val="20"/>
          <w:color w:val="auto"/>
        </w:rPr>
      </w:pPr>
      <w:r>
        <w:rPr>
          <w:rFonts w:ascii="Times New Roman" w:cs="Times New Roman" w:eastAsia="Times New Roman" w:hAnsi="Times New Roman"/>
          <w:sz w:val="12"/>
          <w:szCs w:val="12"/>
          <w:color w:val="auto"/>
        </w:rPr>
        <w:t>Email:</w:t>
      </w:r>
      <w:r>
        <w:rPr>
          <w:sz w:val="20"/>
          <w:szCs w:val="20"/>
          <w:color w:val="auto"/>
        </w:rPr>
        <w:tab/>
      </w:r>
      <w:r>
        <w:rPr>
          <w:rFonts w:ascii="Times New Roman" w:cs="Times New Roman" w:eastAsia="Times New Roman" w:hAnsi="Times New Roman"/>
          <w:sz w:val="12"/>
          <w:szCs w:val="12"/>
          <w:color w:val="auto"/>
        </w:rPr>
        <w:t>sh1@factorialenergy.com</w:t>
      </w:r>
    </w:p>
    <w:p>
      <w:pPr>
        <w:spacing w:after="0" w:line="1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with a copy (which shall not constitute notice) to:</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Goodwin Procter LLP</w:t>
      </w:r>
    </w:p>
    <w:p>
      <w:pPr>
        <w:spacing w:after="0" w:line="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100 Northern Avenue</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Boston, MA 02210</w:t>
      </w:r>
    </w:p>
    <w:p>
      <w:pPr>
        <w:spacing w:after="0" w:line="6" w:lineRule="exact"/>
        <w:rPr>
          <w:sz w:val="20"/>
          <w:szCs w:val="20"/>
          <w:color w:val="auto"/>
        </w:rPr>
      </w:pPr>
    </w:p>
    <w:p>
      <w:pPr>
        <w:ind w:left="1280"/>
        <w:spacing w:after="0"/>
        <w:tabs>
          <w:tab w:leader="none" w:pos="1960" w:val="left"/>
        </w:tabs>
        <w:rPr>
          <w:sz w:val="20"/>
          <w:szCs w:val="20"/>
          <w:color w:val="auto"/>
        </w:rPr>
      </w:pPr>
      <w:r>
        <w:rPr>
          <w:rFonts w:ascii="Times New Roman" w:cs="Times New Roman" w:eastAsia="Times New Roman" w:hAnsi="Times New Roman"/>
          <w:sz w:val="12"/>
          <w:szCs w:val="12"/>
          <w:color w:val="auto"/>
        </w:rPr>
        <w:t>Attention:</w:t>
      </w:r>
      <w:r>
        <w:rPr>
          <w:sz w:val="20"/>
          <w:szCs w:val="20"/>
          <w:color w:val="auto"/>
        </w:rPr>
        <w:tab/>
      </w:r>
      <w:r>
        <w:rPr>
          <w:rFonts w:ascii="Times New Roman" w:cs="Times New Roman" w:eastAsia="Times New Roman" w:hAnsi="Times New Roman"/>
          <w:sz w:val="12"/>
          <w:szCs w:val="12"/>
          <w:color w:val="auto"/>
        </w:rPr>
        <w:t>Jocelyn Arel; Jeffrey A. Letalien</w:t>
      </w:r>
    </w:p>
    <w:p>
      <w:pPr>
        <w:spacing w:after="0" w:line="6" w:lineRule="exact"/>
        <w:rPr>
          <w:sz w:val="20"/>
          <w:szCs w:val="20"/>
          <w:color w:val="auto"/>
        </w:rPr>
      </w:pPr>
    </w:p>
    <w:p>
      <w:pPr>
        <w:ind w:left="1280"/>
        <w:spacing w:after="0"/>
        <w:tabs>
          <w:tab w:leader="none" w:pos="1960" w:val="left"/>
        </w:tabs>
        <w:rPr>
          <w:sz w:val="20"/>
          <w:szCs w:val="20"/>
          <w:color w:val="auto"/>
        </w:rPr>
      </w:pPr>
      <w:r>
        <w:rPr>
          <w:rFonts w:ascii="Times New Roman" w:cs="Times New Roman" w:eastAsia="Times New Roman" w:hAnsi="Times New Roman"/>
          <w:sz w:val="12"/>
          <w:szCs w:val="12"/>
          <w:color w:val="auto"/>
        </w:rPr>
        <w:t>E-mail:</w:t>
      </w:r>
      <w:r>
        <w:rPr>
          <w:sz w:val="20"/>
          <w:szCs w:val="20"/>
          <w:color w:val="auto"/>
        </w:rPr>
        <w:tab/>
      </w:r>
      <w:r>
        <w:rPr>
          <w:rFonts w:ascii="Times New Roman" w:cs="Times New Roman" w:eastAsia="Times New Roman" w:hAnsi="Times New Roman"/>
          <w:sz w:val="11"/>
          <w:szCs w:val="11"/>
          <w:color w:val="auto"/>
        </w:rPr>
        <w:t>JArel@goodwinlaw.com; JLetalien@goodwinlaw.com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or to such other address as the Party to whom notice is given may have previously furnished to the others in writing in the manner set forth above.</w:t>
      </w:r>
    </w:p>
    <w:p>
      <w:pPr>
        <w:spacing w:after="0" w:line="146" w:lineRule="exact"/>
        <w:rPr>
          <w:sz w:val="20"/>
          <w:szCs w:val="20"/>
          <w:color w:val="auto"/>
        </w:rPr>
      </w:pPr>
    </w:p>
    <w:p>
      <w:pPr>
        <w:jc w:val="both"/>
        <w:ind w:right="20" w:firstLine="432"/>
        <w:spacing w:after="0" w:line="334" w:lineRule="auto"/>
        <w:rPr>
          <w:sz w:val="20"/>
          <w:szCs w:val="20"/>
          <w:color w:val="auto"/>
        </w:rPr>
      </w:pPr>
      <w:r>
        <w:rPr>
          <w:rFonts w:ascii="Times New Roman" w:cs="Times New Roman" w:eastAsia="Times New Roman" w:hAnsi="Times New Roman"/>
          <w:sz w:val="11"/>
          <w:szCs w:val="11"/>
          <w:b w:val="1"/>
          <w:bCs w:val="1"/>
          <w:color w:val="auto"/>
        </w:rPr>
        <w:t>Section 8.5        Governing Law</w:t>
      </w:r>
      <w:r>
        <w:rPr>
          <w:rFonts w:ascii="Times New Roman" w:cs="Times New Roman" w:eastAsia="Times New Roman" w:hAnsi="Times New Roman"/>
          <w:sz w:val="11"/>
          <w:szCs w:val="11"/>
          <w:color w:val="auto"/>
        </w:rPr>
        <w:t>. This Agreement shall be governed by and construed in accordance with the laws of the State of New York, without giving effect to any choice of law or conflict of law provision or rule (whether</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of the State of New York or any other jurisdiction) that would cause the application of the law of any jurisdiction other than the State of New York (except that the laws of the Cayman Islands shall also apply to the Domestication).</w:t>
      </w:r>
    </w:p>
    <w:p>
      <w:pPr>
        <w:spacing w:after="0" w:line="80"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Section 8.6        Fees and Expenses</w:t>
      </w:r>
      <w:r>
        <w:rPr>
          <w:rFonts w:ascii="Times New Roman" w:cs="Times New Roman" w:eastAsia="Times New Roman" w:hAnsi="Times New Roman"/>
          <w:sz w:val="12"/>
          <w:szCs w:val="12"/>
          <w:color w:val="auto"/>
        </w:rPr>
        <w:t>. Except as otherwise set forth in this Agreement, all fees and expenses incurred in connection with this Agreement, the Ancillary Documents and the transactions contemplated hereby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thereby, including the fees and disbursements of counsel, financial advisors and accountants, shall be paid by the Party incurring such fees or expenses;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for the avoidance of doubt, (a) if this Agreement is terminated in accordance with its terms, the Company shall pay, or cause to be paid, all Unpaid Company Expenses and CGC shall pay, or cause to be paid, all Unpaid CGC Expenses and (b) if the Closing occurs, then the Surviving Company shall pay, or cause to be paid, all Unpaid Company Expenses and all Unpaid CGC Expenses.</w:t>
      </w:r>
    </w:p>
    <w:p>
      <w:pPr>
        <w:spacing w:after="0" w:line="117"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b w:val="1"/>
          <w:bCs w:val="1"/>
          <w:color w:val="auto"/>
        </w:rPr>
        <w:t>Section 8.7        Construction; Interpretation</w:t>
      </w:r>
      <w:r>
        <w:rPr>
          <w:rFonts w:ascii="Times New Roman" w:cs="Times New Roman" w:eastAsia="Times New Roman" w:hAnsi="Times New Roman"/>
          <w:sz w:val="12"/>
          <w:szCs w:val="12"/>
          <w:color w:val="auto"/>
        </w:rPr>
        <w:t>. The term “this Agreement” means this Business Combination Agreement together with the Schedules and Exhibits hereto, as the same may from time to time be amended,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modified, supplemented or restated in accordance with the terms hereof. The headings set forth in this Agreement are inserted for convenience only and shall not affect in any way the meaning or interpretation of this Agreement. No Party, nor its respective counsel, shall be deemed the drafter of this Agreement for purposes of construing the provisions hereof, and all provisions of this Agreement shall be construed according to their fair meaning and not strictly for or against any Party. Unless otherwise indicated to the contrary herein by the context or use thereof: (a) the words, “herein,” “hereto,” “hereof” and words of similar import refer to this Agreement as a whole, including the Schedules and Exhibits, and not to any particular section, subsection, paragraph, subparagraph or clause set forth in this Agreement; (b) masculine gender shall also include the feminine and neutral genders, and vice versa; (c) words importing the singular shall also include the plural, and vice versa; (d) the words “include,” “includes” or “including” shall be deemed to be followed by the words “without limitation”; (e) references to “$” or “dollar” or “US$” shall be references to United States dollars; (f) the word “or” is disjunctive but not necessarily exclusive; (g) the words “writing”, “written” and comparable terms refer to printing, typing and other means of reproducing words (including electronic media) in a visible form; (h) the word “day” means calendar day unless Business Day is expressly specified; (i) references from or through any date mean from and including or through and including such date, respectively, (j) the word “extent” in the phrase “to the extent” means the degree to which a subject or other thing extends, and such phrase shall not mean simply “if”; (k) all references to Articles, Sections, Exhibits or Schedules are to Articles, Sections, Exhibits and Schedules of this Agreement; (l) the words “made available” (regardless of whether capitalized or not) shall mean, when used with reference to documents or other materials required to be provided or made available to CGC, any documents or other materials posted to the electronic data room on Venue Hub made available to CGC and its advisors under the project name “Project Fenway” as of 10:00 p.m., Eastern Time, on the date of this Agreement; (m) all references to any Law will be to such Law as amended, supplemented or otherwise modified or re-enacted from time to time; and (n) all references to any Contract are to that Contract as amended or modified from time to time in accordance with the terms thereof (subject to any restrictions on amendments or modifications set forth in this Agreement). If any action under this Agreement is required to be done or taken on a day that is not a Business Day, then such action shall be required to be done or taken not on such day but on the first succeeding Business Day thereafter.</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0" w:name="page81"/>
    <w:bookmarkEnd w:id="80"/>
    <w:p>
      <w:pPr>
        <w:jc w:val="both"/>
        <w:ind w:firstLine="432"/>
        <w:spacing w:after="0" w:line="257" w:lineRule="auto"/>
        <w:rPr>
          <w:sz w:val="20"/>
          <w:szCs w:val="20"/>
          <w:color w:val="auto"/>
        </w:rPr>
      </w:pPr>
      <w:r>
        <w:rPr>
          <w:rFonts w:ascii="Times New Roman" w:cs="Times New Roman" w:eastAsia="Times New Roman" w:hAnsi="Times New Roman"/>
          <w:sz w:val="12"/>
          <w:szCs w:val="12"/>
          <w:b w:val="1"/>
          <w:bCs w:val="1"/>
          <w:color w:val="auto"/>
        </w:rPr>
        <w:t>Section 8.8        Exhibits and Schedules</w:t>
      </w:r>
      <w:r>
        <w:rPr>
          <w:rFonts w:ascii="Times New Roman" w:cs="Times New Roman" w:eastAsia="Times New Roman" w:hAnsi="Times New Roman"/>
          <w:sz w:val="12"/>
          <w:szCs w:val="12"/>
          <w:color w:val="auto"/>
        </w:rPr>
        <w:t>. All Exhibits and Schedules, or documents expressly incorporated into this Agreement, are hereby incorporated into this Agreement and are hereby made a part hereof as if set out in full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 this Agreement. The Schedules shall be arranged in sections and subsections corresponding to the numbered and lettered Sections and subsections set forth in this Agreement. Any item disclosed in the Company Disclosure Schedules or in the CGC Disclosure Schedules corresponding to any Section or subsection of Article 3 (in the case of the Company Disclosure Schedules) or Article 4 (in the case of the CGC Disclosure Schedules), respectively, shall be deemed to have been disclosed with respect to every other section and subsection of Article 3 (in the case of the Company Disclosure Schedules) or Article 4 (in the case of the CGC Disclosure Schedules), respectively, where the relevance of such disclosure to such other Section or subsection is reasonably apparent on the face of the disclosure. The information and disclosures set forth in the Schedules that correspond to the section or subsections of Article 3 or Article 4 may not be limited to matters required to be disclosed in the Schedules, and any such additional information or disclosure is for informational purposes only and does not necessarily include other matters of a similar nature.</w:t>
      </w:r>
    </w:p>
    <w:p>
      <w:pPr>
        <w:spacing w:after="0" w:line="121"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Section 8.9        Parties in Interest</w:t>
      </w:r>
      <w:r>
        <w:rPr>
          <w:rFonts w:ascii="Times New Roman" w:cs="Times New Roman" w:eastAsia="Times New Roman" w:hAnsi="Times New Roman"/>
          <w:sz w:val="12"/>
          <w:szCs w:val="12"/>
          <w:color w:val="auto"/>
        </w:rPr>
        <w:t>. This Agreement shall be binding upon and inure solely to the benefit of each Party and its successors and permitted assigns and, except as provided in Section 5.14 and Section 5.15, nothing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this Agreement, express or implied, is intended to or shall confer upon any other Person any rights, benefits or remedies of any nature whatsoever under or by reason of this Agreement. Each of the Non-Party Affiliates shall be an express third-party beneficiary of Section 8.13.</w:t>
      </w:r>
    </w:p>
    <w:p>
      <w:pPr>
        <w:spacing w:after="0" w:line="114"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Section 8.10        Severability</w:t>
      </w:r>
      <w:r>
        <w:rPr>
          <w:rFonts w:ascii="Times New Roman" w:cs="Times New Roman" w:eastAsia="Times New Roman" w:hAnsi="Times New Roman"/>
          <w:sz w:val="12"/>
          <w:szCs w:val="12"/>
          <w:color w:val="auto"/>
        </w:rPr>
        <w:t>. Whenever possible, each provision of this Agreement will be interpreted in such a manner as to be effective and valid under applicable Law, but if any term or other provision of this Agreement 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held to be invalid, illegal or unenforceable under applicable Law, all other provisions of this Agreement shall remain in full force and effect so long as the economic or legal substance of the transactions contemplated hereby is not affected in any manner materially adverse to any Party. Upon such determination that any term or other provision of this Agreement is invalid, illegal or unenforceable under applicable Law,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19"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Section 8.11        Counterparts; Electronic Signatures</w:t>
      </w:r>
      <w:r>
        <w:rPr>
          <w:rFonts w:ascii="Times New Roman" w:cs="Times New Roman" w:eastAsia="Times New Roman" w:hAnsi="Times New Roman"/>
          <w:sz w:val="12"/>
          <w:szCs w:val="12"/>
          <w:color w:val="auto"/>
        </w:rPr>
        <w:t>. This Agreement and each Ancillary Document (including any of the closing deliverables contemplated hereby) may be executed in one or more counterparts, each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which shall be deemed to be an original, but all of which shall constitute one and the same agreement. Delivery of an executed counterpart of a signature page to this Agreement or any Ancillary Document (including any of the closing deliverables contemplated hereby) by e-mail, or scanned pages shall be effective as delivery of a manually executed counterpart to this Agreement or any such Ancillary Document.</w:t>
      </w:r>
    </w:p>
    <w:p>
      <w:pPr>
        <w:spacing w:after="0" w:line="114"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Section 8.12        Knowledge of Company; Knowledge of CGC</w:t>
      </w:r>
      <w:r>
        <w:rPr>
          <w:rFonts w:ascii="Times New Roman" w:cs="Times New Roman" w:eastAsia="Times New Roman" w:hAnsi="Times New Roman"/>
          <w:sz w:val="12"/>
          <w:szCs w:val="12"/>
          <w:color w:val="auto"/>
        </w:rPr>
        <w:t>. For all purposes of this Agreement, the phrase “to the Company’s knowledge”, “to the knowledge of the Company” and “known by the Company” and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derivations thereof shall mean as of the applicable date, the actual knowledge of the individuals set forth on Section 8.12(a) of the Company Disclosure Schedules, assuming reasonable due inquiry. For all purposes of this Agreement, the phrase “to CGC’s knowledge”, “to the knowledge of CGC” and “known by CGC” and any derivations thereof shall mean as of the applicable date, the actual knowledge of the individuals set forth on Section 8.12(b) of the CGC Disclosure Schedules, assuming reasonable due inquiry. For the avoidance of doubt, none of the individuals set forth on Section 8.12(a) of the Company Disclosure Schedules or Section 8.12(b) of the CGC Disclosure Schedules shall have any personal Liability or obligations regarding such knowledge.</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81" w:name="page82"/>
    <w:bookmarkEnd w:id="81"/>
    <w:p>
      <w:pPr>
        <w:jc w:val="both"/>
        <w:ind w:firstLine="432"/>
        <w:spacing w:after="0" w:line="256" w:lineRule="auto"/>
        <w:rPr>
          <w:sz w:val="20"/>
          <w:szCs w:val="20"/>
          <w:color w:val="auto"/>
        </w:rPr>
      </w:pPr>
      <w:r>
        <w:rPr>
          <w:rFonts w:ascii="Times New Roman" w:cs="Times New Roman" w:eastAsia="Times New Roman" w:hAnsi="Times New Roman"/>
          <w:sz w:val="12"/>
          <w:szCs w:val="12"/>
          <w:b w:val="1"/>
          <w:bCs w:val="1"/>
          <w:color w:val="auto"/>
        </w:rPr>
        <w:t>Section 8.13        No Recourse</w:t>
      </w:r>
      <w:r>
        <w:rPr>
          <w:rFonts w:ascii="Times New Roman" w:cs="Times New Roman" w:eastAsia="Times New Roman" w:hAnsi="Times New Roman"/>
          <w:sz w:val="12"/>
          <w:szCs w:val="12"/>
          <w:color w:val="auto"/>
        </w:rPr>
        <w:t>. Except for claims pursuant to any Ancillary Document by any party(ies) thereto against any Company Non-Party Affiliate or any CGC Non-Party Affiliate (each, a “</w:t>
      </w:r>
      <w:r>
        <w:rPr>
          <w:rFonts w:ascii="Times New Roman" w:cs="Times New Roman" w:eastAsia="Times New Roman" w:hAnsi="Times New Roman"/>
          <w:sz w:val="12"/>
          <w:szCs w:val="12"/>
          <w:b w:val="1"/>
          <w:bCs w:val="1"/>
          <w:i w:val="1"/>
          <w:iCs w:val="1"/>
          <w:color w:val="auto"/>
        </w:rPr>
        <w:t>Non-Party Affiliate</w:t>
      </w:r>
      <w:r>
        <w:rPr>
          <w:rFonts w:ascii="Times New Roman" w:cs="Times New Roman" w:eastAsia="Times New Roman" w:hAnsi="Times New Roman"/>
          <w:sz w:val="12"/>
          <w:szCs w:val="12"/>
          <w:color w:val="auto"/>
        </w:rPr>
        <w:t>”),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then solely with respect to claims against the Non-Party Affiliates that are party to the applicable Ancillary Document, each Party agrees on behalf of itself and on behalf of the Company Non-Party Affiliates, in the case of the Company, and the CGC Non-Party Affiliates, in the case of CGC, that (a) this Agreement may only be enforced against, and any action for breach of this Agreement may only be made against, the Parties, and no claims of any nature whatsoever arising under or relating to this Agreement, the negotiation hereof or its subject matter, or the transactions contemplated hereby shall be asserted against any Non-Party Affiliate, and (b) none of the Non-Party Affiliates shall have any Liability arising out of or relating to this Agreement, the negotiation hereof or its subject matter, or the transactions contemplated hereby, including with respect to any claim (whether in tort, contract or otherwise) for breach of this Agreement or in respect of any written or oral representations made or alleged to be made in connection herewith, as expressly provided herein, or for any actual or alleged inaccuracies, misstatements or omissions with respect to any information or materials of any kind furnished by the Company, CGC or any Non-Party Affiliate concerning any Group Company, any CGC Party, this Agreement or the transactions contemplated hereby.</w:t>
      </w:r>
    </w:p>
    <w:p>
      <w:pPr>
        <w:spacing w:after="0" w:line="12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b w:val="1"/>
          <w:bCs w:val="1"/>
          <w:color w:val="auto"/>
        </w:rPr>
        <w:t>Section 8.14        Extension; Waiver</w:t>
      </w:r>
      <w:r>
        <w:rPr>
          <w:rFonts w:ascii="Times New Roman" w:cs="Times New Roman" w:eastAsia="Times New Roman" w:hAnsi="Times New Roman"/>
          <w:sz w:val="12"/>
          <w:szCs w:val="12"/>
          <w:color w:val="auto"/>
        </w:rPr>
        <w:t>. The Company may (a) extend the time for the performance of any of the obligations or other acts of the CGC Parties set forth herein, (b) waive any inaccuracies in the representations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warranties of the CGC Parties set forth herein or (c) waive compliance by the CGC Parties with any of the agreements or conditions set forth herein. CGC may (i) extend the time for the performance of any of the obligations or other acts of the Company set forth herein, (ii) waive any inaccuracies in the representations and warranties of the Company set forth herein or (iii) waive compliance by the Company with any of the agreements or conditions set forth herein. Any agreement on the part of any such Party to any such extension or waiver shall be valid only if set forth in a written instrument signed on behalf of such Party. Any waiver of any term or condition shall not be construed as a waiver of any subsequent breach or a subsequent waiver of the same term or condition, or a waiver of any other term or condition of this Agreement. The failure of any Party to assert any of its rights hereunder shall not constitute a waiver of such rights.</w:t>
      </w:r>
    </w:p>
    <w:p>
      <w:pPr>
        <w:spacing w:after="0" w:line="12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b w:val="1"/>
          <w:bCs w:val="1"/>
          <w:color w:val="auto"/>
        </w:rPr>
        <w:t>Section 8.15        Waiver of Jury Trial</w:t>
      </w:r>
      <w:r>
        <w:rPr>
          <w:rFonts w:ascii="Times New Roman" w:cs="Times New Roman" w:eastAsia="Times New Roman" w:hAnsi="Times New Roman"/>
          <w:sz w:val="12"/>
          <w:szCs w:val="12"/>
          <w:color w:val="auto"/>
        </w:rPr>
        <w:t>. THE PARTIES EACH HEREBY WAIVES, TO THE FULLEST EXTENT PERMITTED BY LAW, ANY RIGHT TO TRIAL BY JURY OF ANY PROCEEDING, CLAIM, DEMAND,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ACTION, OR CAUSE OF ACTION (I) ARISING UNDER THIS AGREEMENT OR UNDER ANY ANCILLARY DOCUMENT OR (II) IN ANY WAY CONNECTED WITH OR RELATED OR INCIDENTAL TO THE DEALINGS OF THE PARTIES IN RESPECT OF THIS AGREEMENT OR ANY ANCILLARY DOCUMENT OR ANY OF THE TRANSACTIONS RELATED HERETO OR THERETO OR ANY FINANCING IN CONNECTION WITH THE TRANSACTIONS CONTEMPLATED HEREBY OR ANY OF THE TRANSACTIONS CONTEMPLATED THEREBY, IN EACH CASE, WHETHER NOW EXISTING OR HEREAFTER ARISING, AND WHETHER IN CONTRACT, TORT, EQUITY, OR OTHERWISE. THE PARTIES EACH HEREBY AGREES AND CONSENTS THAT ANY SUCH PROCEEDING, CLAIM, DEMAND, ACTION OR CAUSE OF ACTION SHALL BE DECIDED BY COURT TRIAL WITHOUT A JURY AND THAT THE PARTIES MAY FILE AN ORIGINAL COUNTERPART OF A COPY OF THIS AGREEMENT WITH ANY COURT AS WRITTEN EVIDENCE OF THE CONSENT OF THE PARTIES HERETO TO THE WAIVER OF THEIR RIGHT TO TRIAL BY JURY. EACH PARTY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SECTION 8.15.</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82" w:name="page83"/>
    <w:bookmarkEnd w:id="82"/>
    <w:p>
      <w:pPr>
        <w:jc w:val="both"/>
        <w:ind w:firstLine="432"/>
        <w:spacing w:after="0" w:line="254" w:lineRule="auto"/>
        <w:rPr>
          <w:sz w:val="20"/>
          <w:szCs w:val="20"/>
          <w:color w:val="auto"/>
        </w:rPr>
      </w:pPr>
      <w:r>
        <w:rPr>
          <w:rFonts w:ascii="Times New Roman" w:cs="Times New Roman" w:eastAsia="Times New Roman" w:hAnsi="Times New Roman"/>
          <w:sz w:val="12"/>
          <w:szCs w:val="12"/>
          <w:b w:val="1"/>
          <w:bCs w:val="1"/>
          <w:color w:val="auto"/>
        </w:rPr>
        <w:t>Section 8.16        Submission to Jurisdiction</w:t>
      </w:r>
      <w:r>
        <w:rPr>
          <w:rFonts w:ascii="Times New Roman" w:cs="Times New Roman" w:eastAsia="Times New Roman" w:hAnsi="Times New Roman"/>
          <w:sz w:val="12"/>
          <w:szCs w:val="12"/>
          <w:color w:val="auto"/>
        </w:rPr>
        <w:t>. Each of the Parties irrevocably and unconditionally submits to the exclusive jurisdiction of any New York State court or Federal court of the United States of America sitting in New</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York City in the Borough of Manhattan for the purposes of any Proceeding, claim, demand, action or cause of action (a) arising under this Agreement or under any Ancillary Document or (b) in any way connected with or related or incidental to the dealings of the Parties in respect of this Agreement or any Ancillary Document or any of the transactions contemplated hereby or any of the transactions contemplated thereby, and irrevocably and unconditionally waives any objection to the laying of venue of any such Proceeding in any such court, and further irrevocably and unconditionally waives and agrees not to plead or claim in any such court that any such Proceeding has been brought in an inconvenient forum. Each Party hereby irrevocably and unconditionally waives, and agrees not to assert, by way of motion or as a defense, counterclaim or otherwise, in any Proceeding claim, demand, action or cause of action against such Party (i) arising under this Agreement or under any Ancillary Document or (ii) in any way connected with or related or incidental to the dealings of the Parties in respect of this Agreement or any Ancillary Document or any of the transactions contemplated hereby or any of the transactions contemplated thereby, (A) any claim that such Party is not personally subject to the jurisdiction of the courts as described in this Section 8.16 for any reason, (B) that such Party or such Party’s property is exempt or immune from the jurisdiction of any such court or from any legal process commenced in such courts (whether through service of notice, attachment prior to judgment, attachment in aid of execution of judgment, execution of judgment or otherwise) and (C) that (x) the Proceeding, claim, demand, action or cause of action in any such court is brought against such Party in an inconvenient forum, (y) the venue of such Proceeding, claim, demand, action or cause of action against such Party is improper or (z) this Agreement, or the subject matter hereof, may not be enforced against such Party in or by such courts. Each Party agrees that service of any process, summons, notice or document by registered mail to such party’s respective address set forth in Section 8.4 shall be effective service of process for any such Proceeding, claim, demand, action or cause of action.</w:t>
      </w:r>
    </w:p>
    <w:p>
      <w:pPr>
        <w:spacing w:after="0" w:line="12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b w:val="1"/>
          <w:bCs w:val="1"/>
          <w:color w:val="auto"/>
        </w:rPr>
        <w:t>Section 8.17        Remedies</w:t>
      </w:r>
      <w:r>
        <w:rPr>
          <w:rFonts w:ascii="Times New Roman" w:cs="Times New Roman" w:eastAsia="Times New Roman" w:hAnsi="Times New Roman"/>
          <w:sz w:val="12"/>
          <w:szCs w:val="12"/>
          <w:color w:val="auto"/>
        </w:rPr>
        <w:t>. Except as otherwise expressly provided herein, any and all remedies provided herein will be deemed cumulative with and not exclusive of any other remedy conferred hereby, or by law or equity upon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such Party, and the exercise by a Party of any one remedy will not preclude the exercise of any other remedy. The Parties agree that irreparable damage for which monetary damages, even if available, would not be an adequate remedy, would occur in the event that the Parties do not perform their respective obligations under the provisions of this Agreement (including failing to take such actions as are required of them hereunder to consummate the transactions contemplated by this Agreement) in accordance with their specific terms or otherwise breach such provisions. It is accordingly agreed that the Parties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of the Parties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22"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b w:val="1"/>
          <w:bCs w:val="1"/>
          <w:color w:val="auto"/>
        </w:rPr>
        <w:t>Section 8.18        Trust Account Waiver</w:t>
      </w:r>
      <w:r>
        <w:rPr>
          <w:rFonts w:ascii="Times New Roman" w:cs="Times New Roman" w:eastAsia="Times New Roman" w:hAnsi="Times New Roman"/>
          <w:sz w:val="12"/>
          <w:szCs w:val="12"/>
          <w:color w:val="auto"/>
        </w:rPr>
        <w:t>. Reference is made to the final prospectus of CGC, filed with the SEC (File No. 333-284565) on May 1, 2025 (the “</w:t>
      </w:r>
      <w:r>
        <w:rPr>
          <w:rFonts w:ascii="Times New Roman" w:cs="Times New Roman" w:eastAsia="Times New Roman" w:hAnsi="Times New Roman"/>
          <w:sz w:val="12"/>
          <w:szCs w:val="12"/>
          <w:b w:val="1"/>
          <w:bCs w:val="1"/>
          <w:i w:val="1"/>
          <w:iCs w:val="1"/>
          <w:color w:val="auto"/>
        </w:rPr>
        <w:t>Prospectus</w:t>
      </w:r>
      <w:r>
        <w:rPr>
          <w:rFonts w:ascii="Times New Roman" w:cs="Times New Roman" w:eastAsia="Times New Roman" w:hAnsi="Times New Roman"/>
          <w:sz w:val="12"/>
          <w:szCs w:val="12"/>
          <w:color w:val="auto"/>
        </w:rPr>
        <w:t>”). The Company acknowledges and agrees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understands that CGC has established a trust account (the “</w:t>
      </w:r>
      <w:r>
        <w:rPr>
          <w:rFonts w:ascii="Times New Roman" w:cs="Times New Roman" w:eastAsia="Times New Roman" w:hAnsi="Times New Roman"/>
          <w:sz w:val="12"/>
          <w:szCs w:val="12"/>
          <w:b w:val="1"/>
          <w:bCs w:val="1"/>
          <w:i w:val="1"/>
          <w:iCs w:val="1"/>
          <w:color w:val="auto"/>
        </w:rPr>
        <w:t>Trust Account</w:t>
      </w:r>
      <w:r>
        <w:rPr>
          <w:rFonts w:ascii="Times New Roman" w:cs="Times New Roman" w:eastAsia="Times New Roman" w:hAnsi="Times New Roman"/>
          <w:sz w:val="12"/>
          <w:szCs w:val="12"/>
          <w:color w:val="auto"/>
        </w:rPr>
        <w:t>”) containing the proceeds of its initial public offering (the “</w:t>
      </w:r>
      <w:r>
        <w:rPr>
          <w:rFonts w:ascii="Times New Roman" w:cs="Times New Roman" w:eastAsia="Times New Roman" w:hAnsi="Times New Roman"/>
          <w:sz w:val="12"/>
          <w:szCs w:val="12"/>
          <w:b w:val="1"/>
          <w:bCs w:val="1"/>
          <w:i w:val="1"/>
          <w:iCs w:val="1"/>
          <w:color w:val="auto"/>
        </w:rPr>
        <w:t>IPO</w:t>
      </w:r>
      <w:r>
        <w:rPr>
          <w:rFonts w:ascii="Times New Roman" w:cs="Times New Roman" w:eastAsia="Times New Roman" w:hAnsi="Times New Roman"/>
          <w:sz w:val="12"/>
          <w:szCs w:val="12"/>
          <w:color w:val="auto"/>
        </w:rPr>
        <w:t>”) and from certain private placements occurring simultaneously with the IPO (including interest accrued from time to time thereon) for the benefit of CGC’s public shareholders (including overallotment shares acquired by CGC’s underwriters, the “</w:t>
      </w:r>
      <w:r>
        <w:rPr>
          <w:rFonts w:ascii="Times New Roman" w:cs="Times New Roman" w:eastAsia="Times New Roman" w:hAnsi="Times New Roman"/>
          <w:sz w:val="12"/>
          <w:szCs w:val="12"/>
          <w:b w:val="1"/>
          <w:bCs w:val="1"/>
          <w:i w:val="1"/>
          <w:iCs w:val="1"/>
          <w:color w:val="auto"/>
        </w:rPr>
        <w:t>Public Shareholders</w:t>
      </w:r>
      <w:r>
        <w:rPr>
          <w:rFonts w:ascii="Times New Roman" w:cs="Times New Roman" w:eastAsia="Times New Roman" w:hAnsi="Times New Roman"/>
          <w:sz w:val="12"/>
          <w:szCs w:val="12"/>
          <w:color w:val="auto"/>
        </w:rPr>
        <w:t>”), and CGC may disburse monies from the Trust Account only in the express circumstances described in the Prospectus. For and in consideration of CGC entering into this Agreement, and for other good and valuable consideration, the receipt and sufficiency of which is hereby acknowledged, the Company hereby agrees on behalf of itself and its Representatives that, notwithstanding the foregoing or anything to the contrary in this Agreement, none of the Company nor any of their respective Representatives does now or shall at any time hereafter have any right, title, interest or claim of any kind in or to any monies in the Trust Account or distributions therefrom, or make any claim against the Trust Account (including any distributions therefrom), regardless of whether such claim arises as a result of, in connection with or relating in any way to, this Agreement or any proposed or actual business relationship between CGC or any of its Representatives, on the one hand, and, the Company or any of its respective Representatives, on the other hand, or any other matter, and regardless of whether such claim arises based on contract, tort, equity or any other theory of legal liability (any and all such claims are collectively referred to hereafter as the “</w:t>
      </w:r>
      <w:r>
        <w:rPr>
          <w:rFonts w:ascii="Times New Roman" w:cs="Times New Roman" w:eastAsia="Times New Roman" w:hAnsi="Times New Roman"/>
          <w:sz w:val="12"/>
          <w:szCs w:val="12"/>
          <w:b w:val="1"/>
          <w:bCs w:val="1"/>
          <w:i w:val="1"/>
          <w:iCs w:val="1"/>
          <w:color w:val="auto"/>
        </w:rPr>
        <w:t>Trust Account Released Claims</w:t>
      </w:r>
      <w:r>
        <w:rPr>
          <w:rFonts w:ascii="Times New Roman" w:cs="Times New Roman" w:eastAsia="Times New Roman" w:hAnsi="Times New Roman"/>
          <w:sz w:val="12"/>
          <w:szCs w:val="12"/>
          <w:color w:val="auto"/>
        </w:rPr>
        <w:t>”). The Company (on its own behalf and on behalf of its Representatives) hereby irrevocably waives any Trust Account Released Claims that it or any of its Representatives may have against the Trust Account (including any distributions therefrom) now or in the future as a result of, or arising out of, any negotiations, or Contracts with CGC or its Representatives and will not seek recourse against the Trust Account (including any distributions therefrom) for any reason whatsoever (including for an alleged breach of any agreement with CGC or its Affiliates).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83" w:name="page84"/>
    <w:bookmarkEnd w:id="83"/>
    <w:p>
      <w:pPr>
        <w:ind w:left="420"/>
        <w:spacing w:after="0"/>
        <w:rPr>
          <w:sz w:val="20"/>
          <w:szCs w:val="20"/>
          <w:color w:val="auto"/>
        </w:rPr>
      </w:pPr>
      <w:r>
        <w:rPr>
          <w:rFonts w:ascii="Times New Roman" w:cs="Times New Roman" w:eastAsia="Times New Roman" w:hAnsi="Times New Roman"/>
          <w:sz w:val="12"/>
          <w:szCs w:val="12"/>
          <w:b w:val="1"/>
          <w:bCs w:val="1"/>
          <w:color w:val="auto"/>
        </w:rPr>
        <w:t>Section 8.19        Legal Representation; Privilege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The Parties agree that, notwithstanding the fact that Greenberg Traurig, LLP (“</w:t>
      </w:r>
      <w:r>
        <w:rPr>
          <w:rFonts w:ascii="Times New Roman" w:cs="Times New Roman" w:eastAsia="Times New Roman" w:hAnsi="Times New Roman"/>
          <w:sz w:val="12"/>
          <w:szCs w:val="12"/>
          <w:b w:val="1"/>
          <w:bCs w:val="1"/>
          <w:i w:val="1"/>
          <w:iCs w:val="1"/>
          <w:color w:val="auto"/>
        </w:rPr>
        <w:t>GT</w:t>
      </w:r>
      <w:r>
        <w:rPr>
          <w:rFonts w:ascii="Times New Roman" w:cs="Times New Roman" w:eastAsia="Times New Roman" w:hAnsi="Times New Roman"/>
          <w:sz w:val="12"/>
          <w:szCs w:val="12"/>
          <w:color w:val="auto"/>
        </w:rPr>
        <w:t>”) may have, prior to Closing, jointly represented CGC, Merger Sub, and/or the Sponsor in connection with this Agreement,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Ancillary Documents and the transactions contemplated hereby and thereby, and has also represented CGC and/or its Affiliates in connection with matters other than the transaction that is the subject of this Agreement, GT will be permitted in the future, after Closing, to represent the Sponsor or its Affiliates in connection with matters in which such Persons are adverse to CGC or any of its Affiliates, including any disputes arising out of, or related to, this Agreement. The Company, hereby agrees, in advance, to waive (and to cause their Affiliates to waive) any actual or potential conflict of interest that may hereafter arise in connection with GT’s future representation of one or more of the Sponsor or its respective Affiliates in which the interests of such Person are adverse to the interests of CGC, the Company or any of its respective Affiliates, including any matters that arise out of this Agreement or that are substantially related to this Agreement or to any prior representation by GT of CGC, Merger Sub, any Sponsor, or any of their respective Affiliates. The Parties acknowledge and agree that, for the purposes of the attorney-client privilege, the Sponsor shall be deemed the client of GT with respect to the negotiation, execution and performance of this Agreement and the Ancillary Documents. All such communications shall remain privileged after the Closing and the privilege and the expectation of client confidence relating thereto shall belong solely to the Sponsor shall be controlled by the Sponsor and shall not pass to or be claimed by CGC or the Surviving Company; </w:t>
      </w:r>
      <w:r>
        <w:rPr>
          <w:rFonts w:ascii="Times New Roman" w:cs="Times New Roman" w:eastAsia="Times New Roman" w:hAnsi="Times New Roman"/>
          <w:sz w:val="12"/>
          <w:szCs w:val="12"/>
          <w:i w:val="1"/>
          <w:iCs w:val="1"/>
          <w:color w:val="auto"/>
        </w:rPr>
        <w:t>provided, further,</w:t>
      </w:r>
      <w:r>
        <w:rPr>
          <w:rFonts w:ascii="Times New Roman" w:cs="Times New Roman" w:eastAsia="Times New Roman" w:hAnsi="Times New Roman"/>
          <w:sz w:val="12"/>
          <w:szCs w:val="12"/>
          <w:color w:val="auto"/>
        </w:rPr>
        <w:t xml:space="preserve"> that nothing contained herein shall be deemed to be a waiver by CGC or any of its Affiliates (including, after the Effective Time, the Surviving Company and its Affiliates) of any applicable privileges or protections that can or may be asserted to prevent disclosure of any such communications to any third party.</w:t>
      </w:r>
    </w:p>
    <w:p>
      <w:pPr>
        <w:spacing w:after="0" w:line="124"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The Parties agree that, notwithstanding the fact that Goodwin Procter LLP (“</w:t>
      </w:r>
      <w:r>
        <w:rPr>
          <w:rFonts w:ascii="Times New Roman" w:cs="Times New Roman" w:eastAsia="Times New Roman" w:hAnsi="Times New Roman"/>
          <w:sz w:val="12"/>
          <w:szCs w:val="12"/>
          <w:b w:val="1"/>
          <w:bCs w:val="1"/>
          <w:i w:val="1"/>
          <w:iCs w:val="1"/>
          <w:color w:val="auto"/>
        </w:rPr>
        <w:t>Goodwin</w:t>
      </w:r>
      <w:r>
        <w:rPr>
          <w:rFonts w:ascii="Times New Roman" w:cs="Times New Roman" w:eastAsia="Times New Roman" w:hAnsi="Times New Roman"/>
          <w:sz w:val="12"/>
          <w:szCs w:val="12"/>
          <w:color w:val="auto"/>
        </w:rPr>
        <w:t>”) may have, prior to Closing, jointly represented the Company and/or its Affiliates in connection with this Agreement,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Ancillary Documents and the transactions contemplated hereby and thereby, and has also represented the Company and/or its Affiliates in connection with matters other than the transaction that is the subject of this Agreement, Goodwin will be permitted in the future, after Closing, to represent the Company or its Affiliates in connection with matters in which such Persons are adverse to CGC or any of its Affiliates, including any disputes arising out of, or related to, this Agreement. CGC, Merger Sub, and/or the Sponsor, who are or have the right to be represented by independent counsel in connection with the transactions contemplated by this Agreement, hereby agree, in advance, to waive (and to cause their Affiliates to waive) any actual or potential conflict of interest that may hereafter arise in connection with Goodwin’s future representation of one or more of the Company or its respective Affiliates in which the interests of such Person are adverse to the interests of CGC, Merger Sub, and/or the Sponsor or any of their respective Affiliates, including any matters that arise out of this Agreement or that are substantially related to this Agreement or to any prior representation by Goodwin of the Company or any of its respective Affiliates. The Parties acknowledge and agree that, for the purposes of the attorney-client privilege, the Company shall be deemed the client of Goodwin with respect to the negotiation, execution and performance of this Agreement and the Ancillary Documents. All such communications shall remain privileged after the Closing and the privilege and the expectation of client confidence relating thereto shall belong solely to the Company shall be controlled by the Company and shall not pass to or be claimed by CGC or the Surviving Company; </w:t>
      </w:r>
      <w:r>
        <w:rPr>
          <w:rFonts w:ascii="Times New Roman" w:cs="Times New Roman" w:eastAsia="Times New Roman" w:hAnsi="Times New Roman"/>
          <w:sz w:val="12"/>
          <w:szCs w:val="12"/>
          <w:i w:val="1"/>
          <w:iCs w:val="1"/>
          <w:color w:val="auto"/>
        </w:rPr>
        <w:t>provided, further,</w:t>
      </w:r>
      <w:r>
        <w:rPr>
          <w:rFonts w:ascii="Times New Roman" w:cs="Times New Roman" w:eastAsia="Times New Roman" w:hAnsi="Times New Roman"/>
          <w:sz w:val="12"/>
          <w:szCs w:val="12"/>
          <w:color w:val="auto"/>
        </w:rPr>
        <w:t xml:space="preserve"> that nothing contained herein shall be deemed to be a waiver by CGC or any of its Affiliates (including, after the Effective Time, the Surviving Company and its Affiliates) of any applicable privileges or protections that can or may be asserted to prevent disclosure of any such communications to any third party.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 * * * *</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84" w:name="page85"/>
    <w:bookmarkEnd w:id="84"/>
    <w:p>
      <w:pPr>
        <w:ind w:left="420"/>
        <w:spacing w:after="0"/>
        <w:rPr>
          <w:sz w:val="20"/>
          <w:szCs w:val="20"/>
          <w:color w:val="auto"/>
        </w:rPr>
      </w:pPr>
      <w:r>
        <w:rPr>
          <w:rFonts w:ascii="Times New Roman" w:cs="Times New Roman" w:eastAsia="Times New Roman" w:hAnsi="Times New Roman"/>
          <w:sz w:val="12"/>
          <w:szCs w:val="12"/>
          <w:b w:val="1"/>
          <w:bCs w:val="1"/>
          <w:color w:val="auto"/>
        </w:rPr>
        <w:t>IN WITNESS WHEREOF</w:t>
      </w:r>
      <w:r>
        <w:rPr>
          <w:rFonts w:ascii="Times New Roman" w:cs="Times New Roman" w:eastAsia="Times New Roman" w:hAnsi="Times New Roman"/>
          <w:sz w:val="12"/>
          <w:szCs w:val="12"/>
          <w:color w:val="auto"/>
        </w:rPr>
        <w:t>, each of the Parties has caused this Business Combination Agreement to be duly executed on its behalf as of the day and year first above written.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CARTESIAN GROWTH CORPORATION III</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Peter Yu</w:t>
            </w:r>
          </w:p>
        </w:tc>
        <w:tc>
          <w:tcPr>
            <w:tcW w:w="5660" w:type="dxa"/>
            <w:vAlign w:val="bottom"/>
          </w:tcPr>
          <w:p>
            <w:pPr>
              <w:spacing w:after="0"/>
              <w:rPr>
                <w:sz w:val="13"/>
                <w:szCs w:val="13"/>
                <w:color w:val="auto"/>
              </w:rPr>
            </w:pP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Peter Yu</w:t>
            </w:r>
          </w:p>
        </w:tc>
        <w:tc>
          <w:tcPr>
            <w:tcW w:w="5660" w:type="dxa"/>
            <w:vAlign w:val="bottom"/>
          </w:tcPr>
          <w:p>
            <w:pPr>
              <w:spacing w:after="0"/>
              <w:rPr>
                <w:sz w:val="11"/>
                <w:szCs w:val="11"/>
                <w:color w:val="auto"/>
              </w:rPr>
            </w:pP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Title:</w:t>
            </w:r>
          </w:p>
        </w:tc>
        <w:tc>
          <w:tcPr>
            <w:tcW w:w="508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Chairman &amp; Chief Executive Officer</w:t>
            </w:r>
          </w:p>
        </w:tc>
        <w:tc>
          <w:tcPr>
            <w:tcW w:w="5660" w:type="dxa"/>
            <w:vAlign w:val="bottom"/>
          </w:tcPr>
          <w:p>
            <w:pPr>
              <w:spacing w:after="0"/>
              <w:rPr>
                <w:sz w:val="11"/>
                <w:szCs w:val="11"/>
                <w:color w:val="auto"/>
              </w:rPr>
            </w:pPr>
          </w:p>
        </w:tc>
      </w:tr>
      <w:tr>
        <w:trPr>
          <w:trHeight w:val="277"/>
        </w:trPr>
        <w:tc>
          <w:tcPr>
            <w:tcW w:w="56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FENWAY MS, INC.</w:t>
            </w:r>
          </w:p>
        </w:tc>
        <w:tc>
          <w:tcPr>
            <w:tcW w:w="5660" w:type="dxa"/>
            <w:vAlign w:val="bottom"/>
          </w:tcPr>
          <w:p>
            <w:pPr>
              <w:spacing w:after="0"/>
              <w:rPr>
                <w:sz w:val="24"/>
                <w:szCs w:val="24"/>
                <w:color w:val="auto"/>
              </w:rPr>
            </w:pPr>
          </w:p>
        </w:tc>
      </w:tr>
      <w:tr>
        <w:trPr>
          <w:trHeight w:val="288"/>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Peter Yu</w:t>
            </w:r>
          </w:p>
        </w:tc>
        <w:tc>
          <w:tcPr>
            <w:tcW w:w="5660" w:type="dxa"/>
            <w:vAlign w:val="bottom"/>
          </w:tcPr>
          <w:p>
            <w:pPr>
              <w:spacing w:after="0"/>
              <w:rPr>
                <w:sz w:val="24"/>
                <w:szCs w:val="24"/>
                <w:color w:val="auto"/>
              </w:rPr>
            </w:pP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Peter Yu</w:t>
            </w:r>
          </w:p>
        </w:tc>
        <w:tc>
          <w:tcPr>
            <w:tcW w:w="5660" w:type="dxa"/>
            <w:vAlign w:val="bottom"/>
          </w:tcPr>
          <w:p>
            <w:pPr>
              <w:spacing w:after="0"/>
              <w:rPr>
                <w:sz w:val="11"/>
                <w:szCs w:val="11"/>
                <w:color w:val="auto"/>
              </w:rPr>
            </w:pP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Title:</w:t>
            </w:r>
          </w:p>
        </w:tc>
        <w:tc>
          <w:tcPr>
            <w:tcW w:w="508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Director &amp; President</w:t>
            </w:r>
          </w:p>
        </w:tc>
        <w:tc>
          <w:tcPr>
            <w:tcW w:w="5660" w:type="dxa"/>
            <w:vAlign w:val="bottom"/>
          </w:tcPr>
          <w:p>
            <w:pPr>
              <w:spacing w:after="0"/>
              <w:rPr>
                <w:sz w:val="11"/>
                <w:szCs w:val="11"/>
                <w:color w:val="auto"/>
              </w:rPr>
            </w:pPr>
          </w:p>
        </w:tc>
      </w:tr>
      <w:tr>
        <w:trPr>
          <w:trHeight w:val="277"/>
        </w:trPr>
        <w:tc>
          <w:tcPr>
            <w:tcW w:w="56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FACTORIAL INC.</w:t>
            </w:r>
          </w:p>
        </w:tc>
        <w:tc>
          <w:tcPr>
            <w:tcW w:w="5660" w:type="dxa"/>
            <w:vAlign w:val="bottom"/>
          </w:tcPr>
          <w:p>
            <w:pPr>
              <w:spacing w:after="0"/>
              <w:rPr>
                <w:sz w:val="24"/>
                <w:szCs w:val="24"/>
                <w:color w:val="auto"/>
              </w:rPr>
            </w:pPr>
          </w:p>
        </w:tc>
      </w:tr>
      <w:tr>
        <w:trPr>
          <w:trHeight w:val="288"/>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Siyu Huang</w:t>
            </w:r>
          </w:p>
        </w:tc>
        <w:tc>
          <w:tcPr>
            <w:tcW w:w="5660" w:type="dxa"/>
            <w:vAlign w:val="bottom"/>
          </w:tcPr>
          <w:p>
            <w:pPr>
              <w:spacing w:after="0"/>
              <w:rPr>
                <w:sz w:val="24"/>
                <w:szCs w:val="24"/>
                <w:color w:val="auto"/>
              </w:rPr>
            </w:pP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Siyu Huang</w:t>
            </w:r>
          </w:p>
        </w:tc>
        <w:tc>
          <w:tcPr>
            <w:tcW w:w="5660" w:type="dxa"/>
            <w:vAlign w:val="bottom"/>
          </w:tcPr>
          <w:p>
            <w:pPr>
              <w:spacing w:after="0"/>
              <w:rPr>
                <w:sz w:val="11"/>
                <w:szCs w:val="11"/>
                <w:color w:val="auto"/>
              </w:rPr>
            </w:pP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Title:</w:t>
            </w:r>
          </w:p>
        </w:tc>
        <w:tc>
          <w:tcPr>
            <w:tcW w:w="508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Chief Executive Officer</w:t>
            </w:r>
          </w:p>
        </w:tc>
        <w:tc>
          <w:tcPr>
            <w:tcW w:w="5660" w:type="dxa"/>
            <w:vAlign w:val="bottom"/>
          </w:tcPr>
          <w:p>
            <w:pPr>
              <w:spacing w:after="0"/>
              <w:rPr>
                <w:sz w:val="11"/>
                <w:szCs w:val="11"/>
                <w:color w:val="auto"/>
              </w:rPr>
            </w:pPr>
          </w:p>
        </w:tc>
      </w:tr>
      <w:tr>
        <w:trPr>
          <w:trHeight w:val="439"/>
        </w:trPr>
        <w:tc>
          <w:tcPr>
            <w:tcW w:w="56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85" w:name="page86"/>
    <w:bookmarkEnd w:id="85"/>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Annex A</w:t>
      </w:r>
    </w:p>
    <w:p>
      <w:pPr>
        <w:spacing w:after="0" w:line="150" w:lineRule="exact"/>
        <w:rPr>
          <w:sz w:val="20"/>
          <w:szCs w:val="20"/>
          <w:color w:val="auto"/>
        </w:rPr>
      </w:pPr>
    </w:p>
    <w:p>
      <w:pPr>
        <w:jc w:val="right"/>
        <w:ind w:right="3499"/>
        <w:spacing w:after="0"/>
        <w:rPr>
          <w:sz w:val="20"/>
          <w:szCs w:val="20"/>
          <w:color w:val="auto"/>
        </w:rPr>
      </w:pPr>
      <w:r>
        <w:rPr>
          <w:rFonts w:ascii="Times New Roman" w:cs="Times New Roman" w:eastAsia="Times New Roman" w:hAnsi="Times New Roman"/>
          <w:sz w:val="12"/>
          <w:szCs w:val="12"/>
          <w:b w:val="1"/>
          <w:bCs w:val="1"/>
          <w:color w:val="auto"/>
        </w:rPr>
        <w:t>Key Supporting Company Stockholders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7" w:right="1440" w:bottom="1440" w:gutter="0" w:footer="0" w:header="0"/>
        </w:sectPr>
      </w:pPr>
    </w:p>
    <w:bookmarkStart w:id="86" w:name="page87"/>
    <w:bookmarkEnd w:id="86"/>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Annex B</w:t>
      </w:r>
    </w:p>
    <w:p>
      <w:pPr>
        <w:spacing w:after="0" w:line="150" w:lineRule="exact"/>
        <w:rPr>
          <w:sz w:val="20"/>
          <w:szCs w:val="20"/>
          <w:color w:val="auto"/>
        </w:rPr>
      </w:pPr>
    </w:p>
    <w:p>
      <w:pPr>
        <w:jc w:val="right"/>
        <w:ind w:right="4199"/>
        <w:spacing w:after="0"/>
        <w:rPr>
          <w:sz w:val="20"/>
          <w:szCs w:val="20"/>
          <w:color w:val="auto"/>
        </w:rPr>
      </w:pPr>
      <w:r>
        <w:rPr>
          <w:rFonts w:ascii="Times New Roman" w:cs="Times New Roman" w:eastAsia="Times New Roman" w:hAnsi="Times New Roman"/>
          <w:sz w:val="12"/>
          <w:szCs w:val="12"/>
          <w:b w:val="1"/>
          <w:bCs w:val="1"/>
          <w:color w:val="auto"/>
        </w:rPr>
        <w:t>Key Persons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7" w:right="1440"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1"/>
          <w:szCs w:val="11"/>
          <w:i w:val="1"/>
          <w:iCs w:val="1"/>
          <w:color w:val="auto"/>
        </w:rPr>
        <w:t>Exhibits A through D 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304800</wp:posOffset>
            </wp:positionV>
            <wp:extent cx="717804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9" w:right="1440"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2"/>
          <w:szCs w:val="12"/>
          <w:b w:val="1"/>
          <w:bCs w:val="1"/>
          <w:i w:val="1"/>
          <w:iCs w:val="1"/>
          <w:color w:val="auto"/>
        </w:rPr>
        <w:t>Exhibit E</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Form of CGC Certificate of Incorporation</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297815</wp:posOffset>
            </wp:positionV>
            <wp:extent cx="717804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7" w:right="1440"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2"/>
          <w:szCs w:val="12"/>
          <w:color w:val="auto"/>
        </w:rPr>
        <w:t>Final Form</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CERTIFICATE OF INCORPORATION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FACTORIAL HOLDINGS, INC.</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name of the Corporation is Factorial Holdings, Inc. (the “</w:t>
      </w:r>
      <w:r>
        <w:rPr>
          <w:rFonts w:ascii="Times New Roman" w:cs="Times New Roman" w:eastAsia="Times New Roman" w:hAnsi="Times New Roman"/>
          <w:sz w:val="12"/>
          <w:szCs w:val="12"/>
          <w:b w:val="1"/>
          <w:bCs w:val="1"/>
          <w:i w:val="1"/>
          <w:iCs w:val="1"/>
          <w:color w:val="auto"/>
        </w:rPr>
        <w:t>Corporation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II</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address of the Corporation’s registered office in the State of Delaware is [•]. The name of its registered agent at such address is [•].</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III</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purpose of the Corporation is to engage in any lawful act or activity for which corporations may be organized under the General Corporation Law of the State of Delaware (the “</w:t>
      </w:r>
      <w:r>
        <w:rPr>
          <w:rFonts w:ascii="Times New Roman" w:cs="Times New Roman" w:eastAsia="Times New Roman" w:hAnsi="Times New Roman"/>
          <w:sz w:val="12"/>
          <w:szCs w:val="12"/>
          <w:b w:val="1"/>
          <w:bCs w:val="1"/>
          <w:i w:val="1"/>
          <w:iCs w:val="1"/>
          <w:color w:val="auto"/>
        </w:rPr>
        <w:t>DGCL</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IV</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A. </w:t>
      </w:r>
      <w:r>
        <w:rPr>
          <w:rFonts w:ascii="Times New Roman" w:cs="Times New Roman" w:eastAsia="Times New Roman" w:hAnsi="Times New Roman"/>
          <w:sz w:val="12"/>
          <w:szCs w:val="12"/>
          <w:u w:val="single" w:color="auto"/>
          <w:color w:val="auto"/>
        </w:rPr>
        <w:t>CAPITAL STOCK</w:t>
      </w:r>
    </w:p>
    <w:p>
      <w:pPr>
        <w:spacing w:after="0" w:line="150"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The total number of shares of capital stock that the Corporation shall have authority to issue is [•], which shall consist of two classes as follows: (a) [•] shares shall be a class designated as common stock, par value $0.00001 per share (the “</w:t>
      </w:r>
      <w:r>
        <w:rPr>
          <w:rFonts w:ascii="Times New Roman" w:cs="Times New Roman" w:eastAsia="Times New Roman" w:hAnsi="Times New Roman"/>
          <w:sz w:val="12"/>
          <w:szCs w:val="12"/>
          <w:b w:val="1"/>
          <w:bCs w:val="1"/>
          <w:i w:val="1"/>
          <w:iCs w:val="1"/>
          <w:color w:val="auto"/>
        </w:rPr>
        <w:t>Common Stock</w:t>
      </w:r>
      <w:r>
        <w:rPr>
          <w:rFonts w:ascii="Times New Roman" w:cs="Times New Roman" w:eastAsia="Times New Roman" w:hAnsi="Times New Roman"/>
          <w:sz w:val="12"/>
          <w:szCs w:val="12"/>
          <w:color w:val="auto"/>
        </w:rPr>
        <w:t>”), which class of Common Stock shall be subdivided into two series consisting of (i) [•] shares designated as Series A common stock (the “</w:t>
      </w:r>
      <w:r>
        <w:rPr>
          <w:rFonts w:ascii="Times New Roman" w:cs="Times New Roman" w:eastAsia="Times New Roman" w:hAnsi="Times New Roman"/>
          <w:sz w:val="12"/>
          <w:szCs w:val="12"/>
          <w:b w:val="1"/>
          <w:bCs w:val="1"/>
          <w:i w:val="1"/>
          <w:iCs w:val="1"/>
          <w:color w:val="auto"/>
        </w:rPr>
        <w:t>Series A Common Stock</w:t>
      </w:r>
      <w:r>
        <w:rPr>
          <w:rFonts w:ascii="Times New Roman" w:cs="Times New Roman" w:eastAsia="Times New Roman" w:hAnsi="Times New Roman"/>
          <w:sz w:val="12"/>
          <w:szCs w:val="12"/>
          <w:color w:val="auto"/>
        </w:rPr>
        <w:t>”) and (ii) [•] shares designated as Series B common stock (the “</w:t>
      </w:r>
      <w:r>
        <w:rPr>
          <w:rFonts w:ascii="Times New Roman" w:cs="Times New Roman" w:eastAsia="Times New Roman" w:hAnsi="Times New Roman"/>
          <w:sz w:val="12"/>
          <w:szCs w:val="12"/>
          <w:b w:val="1"/>
          <w:bCs w:val="1"/>
          <w:i w:val="1"/>
          <w:iCs w:val="1"/>
          <w:color w:val="auto"/>
        </w:rPr>
        <w:t>Series B Common Stock</w:t>
      </w:r>
      <w:r>
        <w:rPr>
          <w:rFonts w:ascii="Times New Roman" w:cs="Times New Roman" w:eastAsia="Times New Roman" w:hAnsi="Times New Roman"/>
          <w:sz w:val="12"/>
          <w:szCs w:val="12"/>
          <w:color w:val="auto"/>
        </w:rPr>
        <w:t>”); and (b) [•] shares shall be a class designated as preferred stock, par value $0.00001 per share (the “</w:t>
      </w:r>
      <w:r>
        <w:rPr>
          <w:rFonts w:ascii="Times New Roman" w:cs="Times New Roman" w:eastAsia="Times New Roman" w:hAnsi="Times New Roman"/>
          <w:sz w:val="12"/>
          <w:szCs w:val="12"/>
          <w:b w:val="1"/>
          <w:bCs w:val="1"/>
          <w:i w:val="1"/>
          <w:iCs w:val="1"/>
          <w:color w:val="auto"/>
        </w:rPr>
        <w:t>Preferred Stock</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ind w:right="40" w:firstLine="216"/>
        <w:spacing w:after="0" w:line="256" w:lineRule="auto"/>
        <w:rPr>
          <w:sz w:val="20"/>
          <w:szCs w:val="20"/>
          <w:color w:val="auto"/>
        </w:rPr>
      </w:pPr>
      <w:r>
        <w:rPr>
          <w:rFonts w:ascii="Times New Roman" w:cs="Times New Roman" w:eastAsia="Times New Roman" w:hAnsi="Times New Roman"/>
          <w:sz w:val="12"/>
          <w:szCs w:val="12"/>
          <w:color w:val="auto"/>
        </w:rPr>
        <w:t xml:space="preserve">Except as otherwise provided in any certificate of designation of any series of Preferred Stock or in Sections 242(d)(1) or (d)(2) of the DGCL, the number of authorized shares of any class of Common Stock or Preferred Stock may from time to time be increased or decreased (but not below the number of shares of such class then outstanding) by the affirmative vote of the holders of a majority in voting power of the outstanding shares of capital stock of the Corporation entitled to vote thereon irrespective of the provisions of Section 242(b)(2) of the DGCL, and no vote of the holders of any of the Common Stock or the Preferred Stock voting separately as a class shall be required therefor;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however</w:t>
      </w:r>
      <w:r>
        <w:rPr>
          <w:rFonts w:ascii="Times New Roman" w:cs="Times New Roman" w:eastAsia="Times New Roman" w:hAnsi="Times New Roman"/>
          <w:sz w:val="12"/>
          <w:szCs w:val="12"/>
          <w:color w:val="auto"/>
        </w:rPr>
        <w:t>, that the number of authorized shares of Series B Common Stock shall not be increased or decreased without the affirmative vote of the holders of a majority of shares of Series B Common Stock then outstanding,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voting as a separate class. For the avoidance of doubt, the elimination and reduction of the voting requirements of Section 242 of the DGCL, as permitted by Section 242(d) of the DGCL, shall apply to any amendments to this Certificate of Incorporation, as it may be amended, restated or otherwise modified from time to time, including the terms of any certificate of designations of any class or series of Preferred Stock (the “</w:t>
      </w:r>
      <w:r>
        <w:rPr>
          <w:rFonts w:ascii="Times New Roman" w:cs="Times New Roman" w:eastAsia="Times New Roman" w:hAnsi="Times New Roman"/>
          <w:sz w:val="12"/>
          <w:szCs w:val="12"/>
          <w:b w:val="1"/>
          <w:bCs w:val="1"/>
          <w:i w:val="1"/>
          <w:iCs w:val="1"/>
          <w:color w:val="auto"/>
        </w:rPr>
        <w:t>Certificate of Incorporation</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 xml:space="preserve">The powers, preferences and rights of, and the qualifications, limitations and restrictions upon, each class or series of stock shall be determined in accordance with, or as set forth below in, this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B. </w:t>
      </w:r>
      <w:r>
        <w:rPr>
          <w:rFonts w:ascii="Times New Roman" w:cs="Times New Roman" w:eastAsia="Times New Roman" w:hAnsi="Times New Roman"/>
          <w:sz w:val="12"/>
          <w:szCs w:val="12"/>
          <w:u w:val="single" w:color="auto"/>
          <w:color w:val="auto"/>
        </w:rPr>
        <w:t>COMMON STOCK</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Subject to all the rights, powers and preferences of the Preferred Stock and except as provided by law or in this Certificate of Incorporation (including any certificate of designation of any series of Preferred Stock):</w:t>
      </w:r>
    </w:p>
    <w:p>
      <w:pPr>
        <w:spacing w:after="0" w:line="150" w:lineRule="exact"/>
        <w:rPr>
          <w:sz w:val="20"/>
          <w:szCs w:val="20"/>
          <w:color w:val="auto"/>
        </w:rPr>
      </w:pPr>
    </w:p>
    <w:p>
      <w:pPr>
        <w:ind w:left="320" w:hanging="112"/>
        <w:spacing w:after="0"/>
        <w:tabs>
          <w:tab w:leader="none" w:pos="3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Voting Rights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right="340" w:firstLine="640"/>
        <w:spacing w:after="0" w:line="279" w:lineRule="auto"/>
        <w:tabs>
          <w:tab w:leader="none" w:pos="811" w:val="left"/>
        </w:tabs>
        <w:numPr>
          <w:ilvl w:val="1"/>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General Right to Vote Together</w:t>
      </w:r>
      <w:r>
        <w:rPr>
          <w:rFonts w:ascii="Times New Roman" w:cs="Times New Roman" w:eastAsia="Times New Roman" w:hAnsi="Times New Roman"/>
          <w:sz w:val="12"/>
          <w:szCs w:val="12"/>
          <w:color w:val="auto"/>
        </w:rPr>
        <w:t>. Except as otherwise expressly provided herein or required by applicable law, the holders of Series A Common Stock and Series B Common Stock shall vote together on all matters submitted to a vote of the stockholders.</w:t>
      </w:r>
    </w:p>
    <w:p>
      <w:pPr>
        <w:spacing w:after="0" w:line="111" w:lineRule="exact"/>
        <w:rPr>
          <w:rFonts w:ascii="Times New Roman" w:cs="Times New Roman" w:eastAsia="Times New Roman" w:hAnsi="Times New Roman"/>
          <w:sz w:val="12"/>
          <w:szCs w:val="12"/>
          <w:color w:val="auto"/>
        </w:rPr>
      </w:pPr>
    </w:p>
    <w:p>
      <w:pPr>
        <w:jc w:val="both"/>
        <w:ind w:right="20" w:firstLine="640"/>
        <w:spacing w:after="0" w:line="257" w:lineRule="auto"/>
        <w:tabs>
          <w:tab w:leader="none" w:pos="818" w:val="left"/>
        </w:tabs>
        <w:numPr>
          <w:ilvl w:val="1"/>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Votes Per Share</w:t>
      </w:r>
      <w:r>
        <w:rPr>
          <w:rFonts w:ascii="Times New Roman" w:cs="Times New Roman" w:eastAsia="Times New Roman" w:hAnsi="Times New Roman"/>
          <w:sz w:val="12"/>
          <w:szCs w:val="12"/>
          <w:color w:val="auto"/>
        </w:rPr>
        <w:t>. Except as otherwise expressly provided herein or required by applicable law, on any matter that is submitted to a vote of the stockholders, each holder of Series A Common Stock shall be entitled to one vote for each such share held by such holder, and each holder of Series B Common Stock shall be entitled to 10 votes for each such share held by such holder. Notwithstanding the foregoing, except as otherwise required by law, holders of shares of Common Stock, as such, shall have no voting power with respect to, and shall not be entitled to vote on, any amendment to this Certificate of Incorporation (including any certificate of designation relating to any series of Preferred Stock) that relates solely to the terms of the Preferred Stock or one or more outstanding series thereof if the holders of such Preferred Stock or series thereof are entitled, either separately or together with the holders of one or more other such series, to vote thereon under this Certificate of Incorporation (including any certificate of designation relating to any series of Preferred Stock) or under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717804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90" w:name="page91"/>
    <w:bookmarkEnd w:id="90"/>
    <w:p>
      <w:pPr>
        <w:ind w:right="260" w:firstLine="208"/>
        <w:spacing w:after="0" w:line="279" w:lineRule="auto"/>
        <w:tabs>
          <w:tab w:leader="none" w:pos="336"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Identical Rights</w:t>
      </w:r>
      <w:r>
        <w:rPr>
          <w:rFonts w:ascii="Times New Roman" w:cs="Times New Roman" w:eastAsia="Times New Roman" w:hAnsi="Times New Roman"/>
          <w:sz w:val="12"/>
          <w:szCs w:val="12"/>
          <w:color w:val="auto"/>
        </w:rPr>
        <w:t>. Except as otherwise expressly provided herein or required by applicable law, shares of Series A Common Stock and Series B Common Stock shall have the same rights and privileges and rank equally, share ratably and be identical in all respects as to all matters, including, without limitation:</w:t>
      </w:r>
    </w:p>
    <w:p>
      <w:pPr>
        <w:spacing w:after="0" w:line="111" w:lineRule="exact"/>
        <w:rPr>
          <w:rFonts w:ascii="Times New Roman" w:cs="Times New Roman" w:eastAsia="Times New Roman" w:hAnsi="Times New Roman"/>
          <w:sz w:val="12"/>
          <w:szCs w:val="12"/>
          <w:color w:val="auto"/>
        </w:rPr>
      </w:pPr>
    </w:p>
    <w:p>
      <w:pPr>
        <w:ind w:right="80" w:firstLine="640"/>
        <w:spacing w:after="0" w:line="254" w:lineRule="auto"/>
        <w:tabs>
          <w:tab w:leader="none" w:pos="811" w:val="left"/>
        </w:tabs>
        <w:numPr>
          <w:ilvl w:val="1"/>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Dividends and Distributions</w:t>
      </w:r>
      <w:r>
        <w:rPr>
          <w:rFonts w:ascii="Times New Roman" w:cs="Times New Roman" w:eastAsia="Times New Roman" w:hAnsi="Times New Roman"/>
          <w:sz w:val="12"/>
          <w:szCs w:val="12"/>
          <w:color w:val="auto"/>
        </w:rPr>
        <w:t>. Subject to applicable law and the rights, if any, of the holders of any outstanding series of Preferred Stock or any class or series of stock having a preference over or the right to participate with the Common Stock with respect to the payment of any Distribution, Distributions may be declared and paid ratably on the Common Stock out of the assets of the Corporation which are legally available for this purpose at such times and in such amounts as the Board of Directors of the Corporation (the “</w:t>
      </w:r>
      <w:r>
        <w:rPr>
          <w:rFonts w:ascii="Times New Roman" w:cs="Times New Roman" w:eastAsia="Times New Roman" w:hAnsi="Times New Roman"/>
          <w:sz w:val="12"/>
          <w:szCs w:val="12"/>
          <w:b w:val="1"/>
          <w:bCs w:val="1"/>
          <w:i w:val="1"/>
          <w:iCs w:val="1"/>
          <w:color w:val="auto"/>
        </w:rPr>
        <w:t>Board</w:t>
      </w:r>
      <w:r>
        <w:rPr>
          <w:rFonts w:ascii="Times New Roman" w:cs="Times New Roman" w:eastAsia="Times New Roman" w:hAnsi="Times New Roman"/>
          <w:sz w:val="12"/>
          <w:szCs w:val="12"/>
          <w:color w:val="auto"/>
        </w:rPr>
        <w:t xml:space="preserve">”) in its discretion shall determine. Shares of Series A Common Stock and Series B Common Stock shall be treated equally, identically and ratably, on a per share basis, with respect to any Distribution paid or distributed by the Corporation, unless different treatment of the shares of each such series is approved by the affirmative vote of the holders of a majority of the outstanding shares of Series A Common Stock and by the affirmative vote of the holders of a majority of the outstanding shares of Series B Common Stock, each voting separately as a series;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in the event a Distribution is paid in the form of Series A Common Stock or Series B Common Stock (or Rights to acquire, or securities convertible into or exchangeable for, such stock, as the case may be), then holders of Series A Common Stock shall receive Series A Common Stock (or Rights to acquire, or securities convertible into or exchangeable for, such stock, as the case may be) and holders of Series B Common Stock shall receive Series B Common Stock (or Rights to acquire, or securities convertible into or exchangeable for, such stock, as the case may be) and such Distribution shall be deemed equal, identical and ratable so long as such Distribution is paid or distributed ratably on a per share basis.</w:t>
      </w:r>
    </w:p>
    <w:p>
      <w:pPr>
        <w:spacing w:after="0" w:line="127" w:lineRule="exact"/>
        <w:rPr>
          <w:rFonts w:ascii="Times New Roman" w:cs="Times New Roman" w:eastAsia="Times New Roman" w:hAnsi="Times New Roman"/>
          <w:sz w:val="12"/>
          <w:szCs w:val="12"/>
          <w:color w:val="auto"/>
        </w:rPr>
      </w:pPr>
    </w:p>
    <w:p>
      <w:pPr>
        <w:ind w:firstLine="640"/>
        <w:spacing w:after="0" w:line="260" w:lineRule="auto"/>
        <w:tabs>
          <w:tab w:leader="none" w:pos="818" w:val="left"/>
        </w:tabs>
        <w:numPr>
          <w:ilvl w:val="1"/>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Subdivision or Combination</w:t>
      </w:r>
      <w:r>
        <w:rPr>
          <w:rFonts w:ascii="Times New Roman" w:cs="Times New Roman" w:eastAsia="Times New Roman" w:hAnsi="Times New Roman"/>
          <w:sz w:val="12"/>
          <w:szCs w:val="12"/>
          <w:color w:val="auto"/>
        </w:rPr>
        <w:t>. If the Corporation in any manner subdivides, combines or reclassifies the outstanding shares of Series A Common Stock or Series B Common Stock, then the outstanding shares of the other such series will be concurrently subdivided, combined or reclassified in the same proportion and manner to maintain the same proportionate equity ownership between the holders of the outstanding Series A Common Stock and Series B Common Stock on the record date or effective date for such subdivision, combination or reclassification, unless different treatment of the shares of each such series is approved by the affirmative vote of the holders of a majority of the outstanding shares of Series A Common Stock and by the affirmative vote of the holders of a majority of the outstanding shares of Series B Common Stock, each voting separately as a series.</w:t>
      </w:r>
    </w:p>
    <w:p>
      <w:pPr>
        <w:spacing w:after="0" w:line="122" w:lineRule="exact"/>
        <w:rPr>
          <w:rFonts w:ascii="Times New Roman" w:cs="Times New Roman" w:eastAsia="Times New Roman" w:hAnsi="Times New Roman"/>
          <w:sz w:val="12"/>
          <w:szCs w:val="12"/>
          <w:color w:val="auto"/>
        </w:rPr>
      </w:pPr>
    </w:p>
    <w:p>
      <w:pPr>
        <w:ind w:right="20" w:firstLine="640"/>
        <w:spacing w:after="0" w:line="252" w:lineRule="auto"/>
        <w:tabs>
          <w:tab w:leader="none" w:pos="811" w:val="left"/>
        </w:tabs>
        <w:numPr>
          <w:ilvl w:val="1"/>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Equal Treatment in a Change of Control Transaction</w:t>
      </w:r>
      <w:r>
        <w:rPr>
          <w:rFonts w:ascii="Times New Roman" w:cs="Times New Roman" w:eastAsia="Times New Roman" w:hAnsi="Times New Roman"/>
          <w:sz w:val="12"/>
          <w:szCs w:val="12"/>
          <w:color w:val="auto"/>
        </w:rPr>
        <w:t>. In connection with any Change of Control Transaction, shares of Series A Common Stock and Series B Common Stock shall be treated equally, identically and ratably, on a per share basis, with respect to any consideration into which such shares are converted or any consideration paid or otherwise distributed to stockholders of the Corporation (any such consideration, “</w:t>
      </w:r>
      <w:r>
        <w:rPr>
          <w:rFonts w:ascii="Times New Roman" w:cs="Times New Roman" w:eastAsia="Times New Roman" w:hAnsi="Times New Roman"/>
          <w:sz w:val="12"/>
          <w:szCs w:val="12"/>
          <w:b w:val="1"/>
          <w:bCs w:val="1"/>
          <w:i w:val="1"/>
          <w:iCs w:val="1"/>
          <w:color w:val="auto"/>
        </w:rPr>
        <w:t>Change of Control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Consideration</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the holders of shares of such series may receive, or have the right to elect to receive, different or disproportionate consideration in connection with such Change of Control Transaction if (1)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 xml:space="preserve">only difference in the per share consideration to the holders of the Series A Common Stock and Series B Common Stock is that any securities distributed to the holders of, or issuable upon the conversion of, a share of Series B Common Stock have 10 times the voting power of any securities distributed to the holder of, or issuable upon the conversion of, a share of Series A Common Stock or (2) such different or disproportionate treatment of the shares of each such series is approved by the affirmative vote of the holders of a majority of the outstanding shares of Series A Common Stock and by the affirmative vote of the holders of a majority of the outstanding shares of Series B Common Stock, each voting separately as a series;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for the avoidance of doubt, Change of Control Consideration shall not be deemed to include any consideration paid to or received by a person who is a holder of Series A Common Stock and/or Series B Common Stock, as applicable, pursuant to (x) any bona fide, good faith employment, consulting, severance or other compensatory arrangement (including, without limitation, any equity-based or cash compensatory award or payment) whether or not entered into in connection with such Change of Control Transaction or (y) a negotiated agreement between a holder of Series A Common Stock and/or Series B Common Stock, as applicable, with any counterparty (or affiliate thereof) to a Change of Control Transaction wherein such holder is contributing, selling, transferring or otherwise disposing of shares of the Corporation’s capital stock to such counterparty (or affiliate thereof) as part of a “rollover” or similar transaction that is approved by a majority of the Disinterested Directors then in office (or a committee of the Board comprised of Disinterested Directors) and that is in connection with such Change of Control Transaction. Any merger or consolidation of the Corporation with or into any other entity, which is not a Change of Control Transaction, shall, in addition to any approval otherwise required herein or by applicable law, require approval by the affirmative vote of the holders of a majority of the outstanding shares of Series A Common Stock and by the affirmative vote of the holders of a majority of the outstanding shares of Series B Common Stock, each voting separately as a series, unless (i) the shares of Series A Common Stock and Series B Common Stock remain outstanding and no other consideration is received in respect thereof or (ii) such shares are converted on a pro rata basis into shares of the surviving or parent entity in such transaction having identical rights to the shares of Series A Common Stock and Series B Common Stock, respectively.</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91" w:name="page92"/>
    <w:bookmarkEnd w:id="91"/>
    <w:p>
      <w:pPr>
        <w:ind w:left="320" w:hanging="112"/>
        <w:spacing w:after="0"/>
        <w:tabs>
          <w:tab w:leader="none" w:pos="3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Conversion of Series B Common Stock</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right="180" w:firstLine="640"/>
        <w:spacing w:after="0" w:line="265" w:lineRule="auto"/>
        <w:tabs>
          <w:tab w:leader="none" w:pos="811" w:val="left"/>
        </w:tabs>
        <w:numPr>
          <w:ilvl w:val="1"/>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Voluntary Conversion</w:t>
      </w:r>
      <w:r>
        <w:rPr>
          <w:rFonts w:ascii="Times New Roman" w:cs="Times New Roman" w:eastAsia="Times New Roman" w:hAnsi="Times New Roman"/>
          <w:sz w:val="12"/>
          <w:szCs w:val="12"/>
          <w:color w:val="auto"/>
        </w:rPr>
        <w:t>. Each share of Series B Common Stock shall be convertible into one fully paid and nonassessable share of Series A Common Stock at the option of the holder thereof at any time upon written notice to the transfer agent of the Corporation. Such written notice shall state therein the number of shares of Series B Common Stock being converted and the name or names in which the shares of Series A Common Stock are to be registered.</w:t>
      </w:r>
    </w:p>
    <w:p>
      <w:pPr>
        <w:spacing w:after="0" w:line="118" w:lineRule="exact"/>
        <w:rPr>
          <w:rFonts w:ascii="Times New Roman" w:cs="Times New Roman" w:eastAsia="Times New Roman" w:hAnsi="Times New Roman"/>
          <w:sz w:val="12"/>
          <w:szCs w:val="12"/>
          <w:color w:val="auto"/>
        </w:rPr>
      </w:pPr>
    </w:p>
    <w:p>
      <w:pPr>
        <w:ind w:left="800" w:hanging="160"/>
        <w:spacing w:after="0"/>
        <w:tabs>
          <w:tab w:leader="none" w:pos="800" w:val="left"/>
        </w:tabs>
        <w:numPr>
          <w:ilvl w:val="1"/>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Automatic Conversion</w:t>
      </w:r>
      <w:r>
        <w:rPr>
          <w:rFonts w:ascii="Times New Roman" w:cs="Times New Roman" w:eastAsia="Times New Roman" w:hAnsi="Times New Roman"/>
          <w:sz w:val="12"/>
          <w:szCs w:val="12"/>
          <w:color w:val="auto"/>
        </w:rPr>
        <w:t>. Each share of Series B Common Stock shall automatically, without any further action by the holder thereof, convert into one fully paid and nonassessable share of Series A Common Stock upon</w:t>
      </w:r>
    </w:p>
    <w:p>
      <w:pPr>
        <w:spacing w:after="0" w:line="16"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earlier of:</w:t>
      </w:r>
    </w:p>
    <w:p>
      <w:pPr>
        <w:spacing w:after="0" w:line="137" w:lineRule="exact"/>
        <w:rPr>
          <w:rFonts w:ascii="Times New Roman" w:cs="Times New Roman" w:eastAsia="Times New Roman" w:hAnsi="Times New Roman"/>
          <w:sz w:val="12"/>
          <w:szCs w:val="12"/>
          <w:color w:val="auto"/>
        </w:rPr>
      </w:pPr>
    </w:p>
    <w:p>
      <w:pPr>
        <w:ind w:right="20" w:firstLine="856"/>
        <w:spacing w:after="0" w:line="283" w:lineRule="auto"/>
        <w:tabs>
          <w:tab w:leader="none" w:pos="1007" w:val="left"/>
        </w:tabs>
        <w:numPr>
          <w:ilvl w:val="2"/>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 Transfer of such share;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no such automatic conversion shall occur in the case of a Transfer by a Series B Stockholder to any of the persons or entities listed in clauses (A) through (H) below (each, a “</w:t>
      </w:r>
      <w:r>
        <w:rPr>
          <w:rFonts w:ascii="Times New Roman" w:cs="Times New Roman" w:eastAsia="Times New Roman" w:hAnsi="Times New Roman"/>
          <w:sz w:val="12"/>
          <w:szCs w:val="12"/>
          <w:b w:val="1"/>
          <w:bCs w:val="1"/>
          <w:i w:val="1"/>
          <w:iCs w:val="1"/>
          <w:color w:val="auto"/>
        </w:rPr>
        <w:t>Permitted Transferee</w:t>
      </w:r>
      <w:r>
        <w:rPr>
          <w:rFonts w:ascii="Times New Roman" w:cs="Times New Roman" w:eastAsia="Times New Roman" w:hAnsi="Times New Roman"/>
          <w:sz w:val="12"/>
          <w:szCs w:val="12"/>
          <w:color w:val="auto"/>
        </w:rPr>
        <w:t>”) and from any such Permitted Transferee back to such Series B Stockholder and/or any other Permitted Transferee established by or for such Series B Stockholder:</w:t>
      </w:r>
    </w:p>
    <w:p>
      <w:pPr>
        <w:spacing w:after="0" w:line="108" w:lineRule="exact"/>
        <w:rPr>
          <w:rFonts w:ascii="Times New Roman" w:cs="Times New Roman" w:eastAsia="Times New Roman" w:hAnsi="Times New Roman"/>
          <w:sz w:val="12"/>
          <w:szCs w:val="12"/>
          <w:color w:val="auto"/>
        </w:rPr>
      </w:pPr>
    </w:p>
    <w:p>
      <w:pPr>
        <w:ind w:right="20" w:firstLine="1288"/>
        <w:spacing w:after="0" w:line="265" w:lineRule="auto"/>
        <w:tabs>
          <w:tab w:leader="none" w:pos="1493" w:val="left"/>
        </w:tabs>
        <w:numPr>
          <w:ilvl w:val="3"/>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Family Member of such Series B Stockholder, which shall mean with respect to any natural person who is a Series B Stockholder, the spouse, domestic partner, parents, grandparents, lineal descendants, siblings and lineal descendants of siblings of such Series B Stockholder and any spouse of any such person; and provided, further, that lineal descendants shall include adopted persons, but only so long as they are adopted during minority (herein collectively referred to as “</w:t>
      </w:r>
      <w:r>
        <w:rPr>
          <w:rFonts w:ascii="Times New Roman" w:cs="Times New Roman" w:eastAsia="Times New Roman" w:hAnsi="Times New Roman"/>
          <w:sz w:val="12"/>
          <w:szCs w:val="12"/>
          <w:b w:val="1"/>
          <w:bCs w:val="1"/>
          <w:i w:val="1"/>
          <w:iCs w:val="1"/>
          <w:color w:val="auto"/>
        </w:rPr>
        <w:t>Family Members</w:t>
      </w:r>
      <w:r>
        <w:rPr>
          <w:rFonts w:ascii="Times New Roman" w:cs="Times New Roman" w:eastAsia="Times New Roman" w:hAnsi="Times New Roman"/>
          <w:sz w:val="12"/>
          <w:szCs w:val="12"/>
          <w:color w:val="auto"/>
        </w:rPr>
        <w:t>”);</w:t>
      </w:r>
    </w:p>
    <w:p>
      <w:pPr>
        <w:spacing w:after="0" w:line="118" w:lineRule="exact"/>
        <w:rPr>
          <w:rFonts w:ascii="Times New Roman" w:cs="Times New Roman" w:eastAsia="Times New Roman" w:hAnsi="Times New Roman"/>
          <w:sz w:val="12"/>
          <w:szCs w:val="12"/>
          <w:color w:val="auto"/>
        </w:rPr>
      </w:pPr>
    </w:p>
    <w:p>
      <w:pPr>
        <w:ind w:firstLine="1288"/>
        <w:spacing w:after="0" w:line="256" w:lineRule="auto"/>
        <w:tabs>
          <w:tab w:leader="none" w:pos="1486" w:val="left"/>
        </w:tabs>
        <w:numPr>
          <w:ilvl w:val="3"/>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trust solely for the benefit of such Series B Stockholder and/or one or more of such Series B Stockholder’s Family Members (except for remote contingent interests) so long as all trustees of such trust are one or more of (i) such Series B Stockholder, (ii) a Family Member of such Series B Stockholder and/or (iii) an institution or individual who is a bank or trust company, a professional trustee, investment advisor or manager, investment banker, accountant or lawyer (herein referred to as a “</w:t>
      </w:r>
      <w:r>
        <w:rPr>
          <w:rFonts w:ascii="Times New Roman" w:cs="Times New Roman" w:eastAsia="Times New Roman" w:hAnsi="Times New Roman"/>
          <w:sz w:val="12"/>
          <w:szCs w:val="12"/>
          <w:b w:val="1"/>
          <w:bCs w:val="1"/>
          <w:i w:val="1"/>
          <w:iCs w:val="1"/>
          <w:color w:val="auto"/>
        </w:rPr>
        <w:t>Qualified Trustee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such Transfer does not involve any payment of cash, securities, property or other consideration to the Series B Stockholder (other than as a settlor or beneficiary of such trust) and,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further</w:t>
      </w:r>
      <w:r>
        <w:rPr>
          <w:rFonts w:ascii="Times New Roman" w:cs="Times New Roman" w:eastAsia="Times New Roman" w:hAnsi="Times New Roman"/>
          <w:sz w:val="12"/>
          <w:szCs w:val="12"/>
          <w:color w:val="auto"/>
        </w:rPr>
        <w:t>, that if at any time such trust ceases to meet the requirements of this subsection (B), each share of Series B Common Stock then held by the trustee or trustees of such trust shall, on the fifth calendar day following receipt by said trustee or trustees of a notice from the Corporation that it has obtained actual knowledge that the trust no longer meets the requirements of this subsection (B), unless said trust Transfers such share of Series B Common Stock to a Permitted Transferee prior to such fifth calendar day, automatically convert into one fully paid and nonassessable share of Series A Common Stock;</w:t>
      </w:r>
    </w:p>
    <w:p>
      <w:pPr>
        <w:spacing w:after="0" w:line="120" w:lineRule="exact"/>
        <w:rPr>
          <w:rFonts w:ascii="Times New Roman" w:cs="Times New Roman" w:eastAsia="Times New Roman" w:hAnsi="Times New Roman"/>
          <w:sz w:val="12"/>
          <w:szCs w:val="12"/>
          <w:color w:val="auto"/>
        </w:rPr>
      </w:pPr>
    </w:p>
    <w:p>
      <w:pPr>
        <w:ind w:right="20" w:firstLine="1288"/>
        <w:spacing w:after="0" w:line="262" w:lineRule="auto"/>
        <w:tabs>
          <w:tab w:leader="none" w:pos="1486" w:val="left"/>
        </w:tabs>
        <w:numPr>
          <w:ilvl w:val="3"/>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beneficiaries or trustee of a trust; so long as the original grantor of the trust (the “</w:t>
      </w:r>
      <w:r>
        <w:rPr>
          <w:rFonts w:ascii="Times New Roman" w:cs="Times New Roman" w:eastAsia="Times New Roman" w:hAnsi="Times New Roman"/>
          <w:sz w:val="12"/>
          <w:szCs w:val="12"/>
          <w:b w:val="1"/>
          <w:bCs w:val="1"/>
          <w:i w:val="1"/>
          <w:iCs w:val="1"/>
          <w:color w:val="auto"/>
        </w:rPr>
        <w:t>Grantor</w:t>
      </w:r>
      <w:r>
        <w:rPr>
          <w:rFonts w:ascii="Times New Roman" w:cs="Times New Roman" w:eastAsia="Times New Roman" w:hAnsi="Times New Roman"/>
          <w:sz w:val="12"/>
          <w:szCs w:val="12"/>
          <w:color w:val="auto"/>
        </w:rPr>
        <w:t xml:space="preserve">”) is such Series B Stockholder and such Series B Stockholder has sole dispositive power and exclusive Voting Control with respect to the shares of Series B Common Stock,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in the event such Grantor no longer has sole dispositive power and exclusive Voting Control with respect to the shares of Series B Common Stock, then, unless such trust Transfers such shares of Series B Common Stock to a Permitted Transferee within five calendar days after the date upon which such Grantor no longer has sole dispositive power and exclusive Voting Control with respect to the shares of Series B Common Stock, each share of Series B Common Stock then held by such trust shall automatically convert into one fully paid and nonassessable share of Series A Common Stock;</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92" w:name="page93"/>
    <w:bookmarkEnd w:id="92"/>
    <w:p>
      <w:pPr>
        <w:ind w:left="-40" w:right="20" w:firstLine="1288"/>
        <w:spacing w:after="0" w:line="291" w:lineRule="auto"/>
        <w:tabs>
          <w:tab w:leader="none" w:pos="1453" w:val="left"/>
        </w:tabs>
        <w:numPr>
          <w:ilvl w:val="0"/>
          <w:numId w:val="3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a trust under the terms of which such Series B Stockholder has retained a “qualified interest” within the meaning of §2702(b)(1) of the Internal Revenue Code (or successor provision) and/or a reversionary interest so long as all trustees of such trust are Qualified Trustees; </w:t>
      </w:r>
      <w:r>
        <w:rPr>
          <w:rFonts w:ascii="Times New Roman" w:cs="Times New Roman" w:eastAsia="Times New Roman" w:hAnsi="Times New Roman"/>
          <w:sz w:val="11"/>
          <w:szCs w:val="11"/>
          <w:i w:val="1"/>
          <w:iCs w:val="1"/>
          <w:color w:val="auto"/>
        </w:rPr>
        <w:t>provided</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however</w:t>
      </w:r>
      <w:r>
        <w:rPr>
          <w:rFonts w:ascii="Times New Roman" w:cs="Times New Roman" w:eastAsia="Times New Roman" w:hAnsi="Times New Roman"/>
          <w:sz w:val="11"/>
          <w:szCs w:val="11"/>
          <w:color w:val="auto"/>
        </w:rPr>
        <w:t>, that if at any time such trust ceases to meet the requirements of this subsection (D), each share of Series B Common Stock then held by the trustee or trustees of such trust shall, on the fifth calendar day following receipt by said trustee or trustees of a notice from the Corporation that it has obtained actual knowledge that the trust no longer meets the requirements of this subsection (D), unless said trust Transfers such share of Series B Common Stock to a Permitted Transferee prior to such fifth calendar day, automatically convert into one fully paid and nonassessable share of Series A Common Stock;</w:t>
      </w:r>
    </w:p>
    <w:p>
      <w:pPr>
        <w:spacing w:after="0" w:line="106" w:lineRule="exact"/>
        <w:rPr>
          <w:rFonts w:ascii="Times New Roman" w:cs="Times New Roman" w:eastAsia="Times New Roman" w:hAnsi="Times New Roman"/>
          <w:sz w:val="11"/>
          <w:szCs w:val="11"/>
          <w:color w:val="auto"/>
        </w:rPr>
      </w:pPr>
    </w:p>
    <w:p>
      <w:pPr>
        <w:ind w:left="-40" w:right="60" w:firstLine="1288"/>
        <w:spacing w:after="0" w:line="256" w:lineRule="auto"/>
        <w:tabs>
          <w:tab w:leader="none" w:pos="1439"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 Individual Retirement Account, as defined in Section 408(a) of the Internal Revenue Code (or successor provision), or a pension, profit sharing, stock bonus or other type of plan or trust of which such Series B Stockholder is a participant or beneficiary and which satisfies the requirements for qualification under Section 401 of the Internal Revenue Code (or successor provision);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in each case such Series B Stockholder has sole dispositive power and exclusive Voting Control with respect to the shares of Series B Common Stock held in such account, plan or trust, and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further</w:t>
      </w:r>
      <w:r>
        <w:rPr>
          <w:rFonts w:ascii="Times New Roman" w:cs="Times New Roman" w:eastAsia="Times New Roman" w:hAnsi="Times New Roman"/>
          <w:sz w:val="12"/>
          <w:szCs w:val="12"/>
          <w:color w:val="auto"/>
        </w:rPr>
        <w:t>, that in the event the Series B Stockholder no longer has sole dispositive power and exclusive Voting Control with respect to the shares of Series B Common Stock held by such account, plan or trust, then, unless such account Transfers such shares of Series B Common Stock to a Permitted Transferee within five calendar days after the date upon which such Series B Stockholder no longer has sole dispositive power and exclusive Voting Control with respect to the shares of Series B Common Stock, each share of Series B Common Stock then held by such account, plan or trust shall automatically convert into one fully paid and nonassessable share of Series A Common Stock;</w:t>
      </w:r>
    </w:p>
    <w:p>
      <w:pPr>
        <w:spacing w:after="0" w:line="124" w:lineRule="exact"/>
        <w:rPr>
          <w:rFonts w:ascii="Times New Roman" w:cs="Times New Roman" w:eastAsia="Times New Roman" w:hAnsi="Times New Roman"/>
          <w:sz w:val="12"/>
          <w:szCs w:val="12"/>
          <w:color w:val="auto"/>
        </w:rPr>
      </w:pPr>
    </w:p>
    <w:p>
      <w:pPr>
        <w:ind w:left="-40" w:firstLine="1288"/>
        <w:spacing w:after="0" w:line="254" w:lineRule="auto"/>
        <w:tabs>
          <w:tab w:leader="none" w:pos="1433"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 corporation, partnership or limited liability company wholly and solely owned by Series B Stockholders and Permitted Transferees in which Series B Stockholders directly, or indirectly through one or more Permitted Transferees, own shares, partnership interests or membership interests, as applicable, with sufficient Voting Control in the corporation, partnership or limited liability company, as applicable, or otherwise has legally enforceable rights, such that the Series B Stockholders retain sole dispositive power and exclusive Voting Control with respect to the shares of Series B Common Stock held by such corporation, partnership or limited liability company;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however</w:t>
      </w:r>
      <w:r>
        <w:rPr>
          <w:rFonts w:ascii="Times New Roman" w:cs="Times New Roman" w:eastAsia="Times New Roman" w:hAnsi="Times New Roman"/>
          <w:sz w:val="12"/>
          <w:szCs w:val="12"/>
          <w:color w:val="auto"/>
        </w:rPr>
        <w:t>, that in the event the Series B Stockholders no longer own sufficient shares, partnership interests or membership interests, as applicable, or no longer has sufficient legally enforceable rights to ensure the Series B</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Stockholders retain sole dispositive power and exclusive Voting Control with respect to the shares of Series B Common Stock held by such corporation, partnership or limited liability company, as applicable, then, unless such corporation, partnership or limited liability company Transfers such shares of Series B Common Stock to a Permitted Transferee within five calendar days after the date upon which such Series B Stockholders no longer have sole dispositive power and exclusive Voting Control with respect to the shares of Series B Common Stock, each share of Series B Common Stock then held by such corporation, partnership or limited liability company, as applicable, shall automatically convert into one fully paid and nonassessable share of Series A Common Stock;</w:t>
      </w:r>
    </w:p>
    <w:p>
      <w:pPr>
        <w:spacing w:after="0" w:line="127" w:lineRule="exact"/>
        <w:rPr>
          <w:rFonts w:ascii="Times New Roman" w:cs="Times New Roman" w:eastAsia="Times New Roman" w:hAnsi="Times New Roman"/>
          <w:sz w:val="12"/>
          <w:szCs w:val="12"/>
          <w:color w:val="auto"/>
        </w:rPr>
      </w:pPr>
    </w:p>
    <w:p>
      <w:pPr>
        <w:ind w:left="1440" w:hanging="192"/>
        <w:spacing w:after="0"/>
        <w:tabs>
          <w:tab w:leader="none" w:pos="14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a Series B Stockholder or such Series B Stockholder’s Affiliates to another Series B Stockholder or such other Series B Stockholder’s Affiliates;</w:t>
      </w:r>
    </w:p>
    <w:p>
      <w:pPr>
        <w:spacing w:after="0" w:line="148" w:lineRule="exact"/>
        <w:rPr>
          <w:rFonts w:ascii="Times New Roman" w:cs="Times New Roman" w:eastAsia="Times New Roman" w:hAnsi="Times New Roman"/>
          <w:sz w:val="12"/>
          <w:szCs w:val="12"/>
          <w:color w:val="auto"/>
        </w:rPr>
      </w:pPr>
    </w:p>
    <w:p>
      <w:pPr>
        <w:ind w:left="-40" w:right="20" w:firstLine="1288"/>
        <w:spacing w:after="0" w:line="258" w:lineRule="auto"/>
        <w:tabs>
          <w:tab w:leader="none" w:pos="1453"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 Affiliate of a Series B Stockholder;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the person or entity holding sole dispositive power and exclusive Voting Control with respect to the shares of Series B Common Stock being Transferred (the “</w:t>
      </w:r>
      <w:r>
        <w:rPr>
          <w:rFonts w:ascii="Times New Roman" w:cs="Times New Roman" w:eastAsia="Times New Roman" w:hAnsi="Times New Roman"/>
          <w:sz w:val="12"/>
          <w:szCs w:val="12"/>
          <w:b w:val="1"/>
          <w:bCs w:val="1"/>
          <w:i w:val="1"/>
          <w:iCs w:val="1"/>
          <w:color w:val="auto"/>
        </w:rPr>
        <w:t>Controlling Person</w:t>
      </w:r>
      <w:r>
        <w:rPr>
          <w:rFonts w:ascii="Times New Roman" w:cs="Times New Roman" w:eastAsia="Times New Roman" w:hAnsi="Times New Roman"/>
          <w:sz w:val="12"/>
          <w:szCs w:val="12"/>
          <w:color w:val="auto"/>
        </w:rPr>
        <w:t xml:space="preserve">”) retains, directly or indirectly, sole dispositive power and exclusive Voting Control with respect to the shares following such Transfer;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further</w:t>
      </w:r>
      <w:r>
        <w:rPr>
          <w:rFonts w:ascii="Times New Roman" w:cs="Times New Roman" w:eastAsia="Times New Roman" w:hAnsi="Times New Roman"/>
          <w:sz w:val="12"/>
          <w:szCs w:val="12"/>
          <w:color w:val="auto"/>
        </w:rPr>
        <w:t>, that in the event the Controlling Person no longer has sole dispositive power and exclusive Voting Control with respect to the shares of Series B Common Stock Transferred to such Affiliate, then, unless such Affiliate Transfers such shares of Series B Common Stock to a Permitted Transferee within five calendar days after the date upon which Controlling Person no longer has sole dispositive power and exclusive Voting Control with respect to the shares of Series B Common Stock, each such share of Series B Common Stock Transferred to such Affiliate shall automatically convert into one share of Series A Common Stock unless such transaction is otherwise approved by the Corporation;</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10795</wp:posOffset>
            </wp:positionV>
            <wp:extent cx="717804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20"/>
          </w:cols>
          <w:pgMar w:left="340" w:top="651" w:right="339" w:bottom="1440" w:gutter="0" w:footer="0" w:header="0"/>
        </w:sectPr>
      </w:pPr>
    </w:p>
    <w:bookmarkStart w:id="93" w:name="page94"/>
    <w:bookmarkEnd w:id="93"/>
    <w:p>
      <w:pPr>
        <w:ind w:firstLine="856"/>
        <w:spacing w:after="0" w:line="260" w:lineRule="auto"/>
        <w:tabs>
          <w:tab w:leader="none" w:pos="1041" w:val="left"/>
        </w:tabs>
        <w:numPr>
          <w:ilvl w:val="1"/>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date specified by a written notice and certification request of the Corporation to the holder of such share of Series B Common Stock requesting a certification, in a form satisfactory to the Corporation, verifying such holder’s ownership of Series B Common Stock and confirming that a conversion to Series A Common Stock has not occurred pursuant to this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Section B(3), which date shall not be less than 60 calendar days after the date of such notice and certification request;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xml:space="preserve">, that no such automatic conversion pursuant to this subsection (ii) shall occur in the case of a Series B Stockholder or its Permitted Transferees that furnishes a certification satisfactory to the Corporation prior to the specified date that such conversion to Series A Common Stock has not occurred pursuant to this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Section B(3); or</w:t>
      </w:r>
    </w:p>
    <w:p>
      <w:pPr>
        <w:spacing w:after="0" w:line="122" w:lineRule="exact"/>
        <w:rPr>
          <w:rFonts w:ascii="Times New Roman" w:cs="Times New Roman" w:eastAsia="Times New Roman" w:hAnsi="Times New Roman"/>
          <w:sz w:val="12"/>
          <w:szCs w:val="12"/>
          <w:color w:val="auto"/>
        </w:rPr>
      </w:pPr>
    </w:p>
    <w:p>
      <w:pPr>
        <w:ind w:right="140" w:firstLine="856"/>
        <w:spacing w:after="0" w:line="279" w:lineRule="auto"/>
        <w:tabs>
          <w:tab w:leader="none" w:pos="1074" w:val="left"/>
        </w:tabs>
        <w:numPr>
          <w:ilvl w:val="1"/>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on which the number of Threshold Shares collectively held by a Series B Stockholder and any Permitted Transferees thereof is less than 50% of the number of shares of Series B Common Stock held by such Series B Stockholder at the Effective Time</w:t>
      </w:r>
    </w:p>
    <w:p>
      <w:pPr>
        <w:spacing w:after="0" w:line="111" w:lineRule="exact"/>
        <w:rPr>
          <w:rFonts w:ascii="Times New Roman" w:cs="Times New Roman" w:eastAsia="Times New Roman" w:hAnsi="Times New Roman"/>
          <w:sz w:val="12"/>
          <w:szCs w:val="12"/>
          <w:color w:val="auto"/>
        </w:rPr>
      </w:pPr>
    </w:p>
    <w:p>
      <w:pPr>
        <w:ind w:right="520" w:firstLine="640"/>
        <w:spacing w:after="0" w:line="279" w:lineRule="auto"/>
        <w:tabs>
          <w:tab w:leader="none" w:pos="811"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Automatic Conversion of All Outstanding Series B Common Stock</w:t>
      </w:r>
      <w:r>
        <w:rPr>
          <w:rFonts w:ascii="Times New Roman" w:cs="Times New Roman" w:eastAsia="Times New Roman" w:hAnsi="Times New Roman"/>
          <w:sz w:val="12"/>
          <w:szCs w:val="12"/>
          <w:color w:val="auto"/>
        </w:rPr>
        <w:t>. Each share of Series B Common Stock shall automatically, without any further action by the holder thereof, convert into one fully paid and nonassessable share of Series A Common Stock upon the earliest of:</w:t>
      </w:r>
    </w:p>
    <w:p>
      <w:pPr>
        <w:spacing w:after="0" w:line="111" w:lineRule="exact"/>
        <w:rPr>
          <w:rFonts w:ascii="Times New Roman" w:cs="Times New Roman" w:eastAsia="Times New Roman" w:hAnsi="Times New Roman"/>
          <w:sz w:val="12"/>
          <w:szCs w:val="12"/>
          <w:color w:val="auto"/>
        </w:rPr>
      </w:pPr>
    </w:p>
    <w:p>
      <w:pPr>
        <w:ind w:left="1000" w:hanging="144"/>
        <w:spacing w:after="0"/>
        <w:tabs>
          <w:tab w:leader="none" w:pos="1000" w:val="left"/>
        </w:tabs>
        <w:numPr>
          <w:ilvl w:val="1"/>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specified by affirmative vote of the holders of at least 66-2/3% of the outstanding shares of Series B Common Stock, voting as a single series;</w:t>
      </w:r>
    </w:p>
    <w:p>
      <w:pPr>
        <w:spacing w:after="0" w:line="150" w:lineRule="exact"/>
        <w:rPr>
          <w:rFonts w:ascii="Times New Roman" w:cs="Times New Roman" w:eastAsia="Times New Roman" w:hAnsi="Times New Roman"/>
          <w:sz w:val="12"/>
          <w:szCs w:val="12"/>
          <w:color w:val="auto"/>
        </w:rPr>
      </w:pPr>
    </w:p>
    <w:p>
      <w:pPr>
        <w:ind w:left="1060" w:hanging="204"/>
        <w:spacing w:after="0"/>
        <w:tabs>
          <w:tab w:leader="none" w:pos="1060" w:val="left"/>
        </w:tabs>
        <w:numPr>
          <w:ilvl w:val="1"/>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that is nine months following the death or Incapacity of all Founders; and</w:t>
      </w:r>
    </w:p>
    <w:p>
      <w:pPr>
        <w:spacing w:after="0" w:line="150" w:lineRule="exact"/>
        <w:rPr>
          <w:rFonts w:ascii="Times New Roman" w:cs="Times New Roman" w:eastAsia="Times New Roman" w:hAnsi="Times New Roman"/>
          <w:sz w:val="12"/>
          <w:szCs w:val="12"/>
          <w:color w:val="auto"/>
        </w:rPr>
      </w:pPr>
    </w:p>
    <w:p>
      <w:pPr>
        <w:ind w:left="1060" w:hanging="204"/>
        <w:spacing w:after="0"/>
        <w:tabs>
          <w:tab w:leader="none" w:pos="1060" w:val="left"/>
        </w:tabs>
        <w:numPr>
          <w:ilvl w:val="1"/>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that is the seven year anniversary of the Effective Time.</w:t>
      </w:r>
    </w:p>
    <w:p>
      <w:pPr>
        <w:spacing w:after="0" w:line="150" w:lineRule="exact"/>
        <w:rPr>
          <w:sz w:val="20"/>
          <w:szCs w:val="20"/>
          <w:color w:val="auto"/>
        </w:rPr>
      </w:pPr>
    </w:p>
    <w:p>
      <w:pPr>
        <w:ind w:right="220" w:firstLine="648"/>
        <w:spacing w:after="0" w:line="265" w:lineRule="auto"/>
        <w:rPr>
          <w:sz w:val="20"/>
          <w:szCs w:val="20"/>
          <w:color w:val="auto"/>
        </w:rPr>
      </w:pPr>
      <w:r>
        <w:rPr>
          <w:rFonts w:ascii="Times New Roman" w:cs="Times New Roman" w:eastAsia="Times New Roman" w:hAnsi="Times New Roman"/>
          <w:sz w:val="12"/>
          <w:szCs w:val="12"/>
          <w:color w:val="auto"/>
        </w:rPr>
        <w:t>Following such conversion, the reissuance of any shares of Series B Common Stock shall be prohibited, and the Corporation shall take all necessary action to retire each share of Series B Common Stock in accordance with Section 243 of the DGCL, including filing a certificate of retirement with the Secretary of State of the State of Delaware required thereby, and upon the effectiveness of such certificate of retirement, it shall have the effect of reducing the number of authorized shares of Series B Common Stock and eliminating all references to Series B Common Stock in this Certificate of Incorporation.</w:t>
      </w:r>
    </w:p>
    <w:p>
      <w:pPr>
        <w:spacing w:after="0" w:line="119" w:lineRule="exact"/>
        <w:rPr>
          <w:sz w:val="20"/>
          <w:szCs w:val="20"/>
          <w:color w:val="auto"/>
        </w:rPr>
      </w:pPr>
    </w:p>
    <w:p>
      <w:pPr>
        <w:ind w:right="40" w:firstLine="640"/>
        <w:spacing w:after="0" w:line="291" w:lineRule="auto"/>
        <w:tabs>
          <w:tab w:leader="none" w:pos="818" w:val="left"/>
        </w:tabs>
        <w:numPr>
          <w:ilvl w:val="0"/>
          <w:numId w:val="3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Procedures</w:t>
      </w:r>
      <w:r>
        <w:rPr>
          <w:rFonts w:ascii="Times New Roman" w:cs="Times New Roman" w:eastAsia="Times New Roman" w:hAnsi="Times New Roman"/>
          <w:sz w:val="11"/>
          <w:szCs w:val="11"/>
          <w:color w:val="auto"/>
        </w:rPr>
        <w:t xml:space="preserve">. The Corporation may, from time to time, establish such policies and procedures relating to the conversion of Series B Common Stock to Series A Common Stock in accordance with this </w:t>
      </w:r>
      <w:r>
        <w:rPr>
          <w:rFonts w:ascii="Times New Roman" w:cs="Times New Roman" w:eastAsia="Times New Roman" w:hAnsi="Times New Roman"/>
          <w:sz w:val="11"/>
          <w:szCs w:val="11"/>
          <w:u w:val="single" w:color="auto"/>
          <w:color w:val="auto"/>
        </w:rPr>
        <w:t>Article IV</w:t>
      </w:r>
      <w:r>
        <w:rPr>
          <w:rFonts w:ascii="Times New Roman" w:cs="Times New Roman" w:eastAsia="Times New Roman" w:hAnsi="Times New Roman"/>
          <w:sz w:val="11"/>
          <w:szCs w:val="11"/>
          <w:color w:val="auto"/>
        </w:rPr>
        <w:t xml:space="preserve">, Section B(3) and the general administration of this dual series stock structure, including the issuance of stock certificates (or the establishment of book-entry positions) with respect thereto, as it may deem necessary or advisable, and may request that holders of shares of Series B Common Stock furnish certifications, affidavits or other proof to the Corporation as it deems necessary to verify the ownership of Series B Common Stock and to confirm that a conversion to Series A Common Stock has not occurred in accordance with </w:t>
      </w:r>
      <w:r>
        <w:rPr>
          <w:rFonts w:ascii="Times New Roman" w:cs="Times New Roman" w:eastAsia="Times New Roman" w:hAnsi="Times New Roman"/>
          <w:sz w:val="11"/>
          <w:szCs w:val="11"/>
          <w:u w:val="single" w:color="auto"/>
          <w:color w:val="auto"/>
        </w:rPr>
        <w:t>Article IV</w:t>
      </w:r>
      <w:r>
        <w:rPr>
          <w:rFonts w:ascii="Times New Roman" w:cs="Times New Roman" w:eastAsia="Times New Roman" w:hAnsi="Times New Roman"/>
          <w:sz w:val="11"/>
          <w:szCs w:val="11"/>
          <w:color w:val="auto"/>
        </w:rPr>
        <w:t>, Section B(3)(b)(ii). A determination by the Board that a Transfer results in a conversion to Series A Common Stock shall be conclusive and binding.</w:t>
      </w:r>
    </w:p>
    <w:p>
      <w:pPr>
        <w:spacing w:after="0" w:line="106" w:lineRule="exact"/>
        <w:rPr>
          <w:rFonts w:ascii="Times New Roman" w:cs="Times New Roman" w:eastAsia="Times New Roman" w:hAnsi="Times New Roman"/>
          <w:sz w:val="11"/>
          <w:szCs w:val="11"/>
          <w:color w:val="auto"/>
        </w:rPr>
      </w:pPr>
    </w:p>
    <w:p>
      <w:pPr>
        <w:ind w:right="80" w:firstLine="640"/>
        <w:spacing w:after="0" w:line="256" w:lineRule="auto"/>
        <w:tabs>
          <w:tab w:leader="none" w:pos="811"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Immediate Effect of Conversion</w:t>
      </w:r>
      <w:r>
        <w:rPr>
          <w:rFonts w:ascii="Times New Roman" w:cs="Times New Roman" w:eastAsia="Times New Roman" w:hAnsi="Times New Roman"/>
          <w:sz w:val="12"/>
          <w:szCs w:val="12"/>
          <w:color w:val="auto"/>
        </w:rPr>
        <w:t xml:space="preserve">. In the event of a conversion of shares of Series B Common Stock to shares of Series A Common Stock pursuant to this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Section B(3), such conversion(s) shall be deemed to have been effective immediately prior to the close of business on the date that the Corporation’s transfer agent receives the written notice required under Section B(3)(a) of this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the time that the Transfer of such shares occurred under Section B(3)(b) of this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or the date specified in Section B(3)(c) of this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as applicable. Upon any conversion of Series B Common Stock to Series A Common Stock pursuant to this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Section B(3), all rights of the holder of such shares of Series B Common Stock shall cease and the person or persons in whose names or names the certificate or certificates (or book-entry position(s) representing the shares of Series A Common Stock) are to be issued shall be treated for all purposes as having become the record holder or holders of such number of shares of Series A Common Stock into which such shares of Series B Common Stock were converted. Shares of Series B Common Stock that are converted into shares of Series A Common Stock as provided in this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Section B(3) shall be retired and shall not be reissued.</w:t>
      </w:r>
    </w:p>
    <w:p>
      <w:pPr>
        <w:spacing w:after="0" w:line="124" w:lineRule="exact"/>
        <w:rPr>
          <w:rFonts w:ascii="Times New Roman" w:cs="Times New Roman" w:eastAsia="Times New Roman" w:hAnsi="Times New Roman"/>
          <w:sz w:val="12"/>
          <w:szCs w:val="12"/>
          <w:color w:val="auto"/>
        </w:rPr>
      </w:pPr>
    </w:p>
    <w:p>
      <w:pPr>
        <w:ind w:right="40" w:firstLine="640"/>
        <w:spacing w:after="0" w:line="265" w:lineRule="auto"/>
        <w:tabs>
          <w:tab w:leader="none" w:pos="798"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Reservation of Stock</w:t>
      </w:r>
      <w:r>
        <w:rPr>
          <w:rFonts w:ascii="Times New Roman" w:cs="Times New Roman" w:eastAsia="Times New Roman" w:hAnsi="Times New Roman"/>
          <w:sz w:val="12"/>
          <w:szCs w:val="12"/>
          <w:color w:val="auto"/>
        </w:rPr>
        <w:t xml:space="preserve">. The Corporation shall at all times reserve and keep available out of its authorized but unissued shares of Series A Common Stock, solely for the purpose of effecting the conversion of the shares of Series B Common Stock pursuant to this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Section B(3), such number of its shares of Series A Common Stock as shall from time to time be sufficient to effect the conversion of all outstanding shares of Series B Common Stock into shares of Series A Common Stock.</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94" w:name="page95"/>
    <w:bookmarkEnd w:id="94"/>
    <w:p>
      <w:pPr>
        <w:jc w:val="both"/>
        <w:ind w:right="320" w:firstLine="208"/>
        <w:spacing w:after="0" w:line="265" w:lineRule="auto"/>
        <w:tabs>
          <w:tab w:leader="none" w:pos="336"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Further Issuances</w:t>
      </w:r>
      <w:r>
        <w:rPr>
          <w:rFonts w:ascii="Times New Roman" w:cs="Times New Roman" w:eastAsia="Times New Roman" w:hAnsi="Times New Roman"/>
          <w:sz w:val="12"/>
          <w:szCs w:val="12"/>
          <w:color w:val="auto"/>
        </w:rPr>
        <w:t xml:space="preserve">. Except for the issuance of Series B Common Stock issuable upon the settlement, exercise or conversion of Rights outstanding at the Effective Time, a dividend payable in accordance with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Section B(3)(a) or a subdivision or reclassification in accordance with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Section B(3)(b), the Corporation shall not at any time after the Effective Time issue any additional shares of Series B Common Stock, unless such issuance is approved by the affirmative vote of the holders of a majority of the outstanding shares of Series B Common Stock, voting as a separate series.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 xml:space="preserve">C. </w:t>
      </w:r>
      <w:r>
        <w:rPr>
          <w:rFonts w:ascii="Times New Roman" w:cs="Times New Roman" w:eastAsia="Times New Roman" w:hAnsi="Times New Roman"/>
          <w:sz w:val="12"/>
          <w:szCs w:val="12"/>
          <w:u w:val="single" w:color="auto"/>
          <w:color w:val="auto"/>
        </w:rPr>
        <w:t>PREFERRED STOCK</w:t>
      </w:r>
    </w:p>
    <w:p>
      <w:pPr>
        <w:spacing w:after="0" w:line="150"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auto"/>
        </w:rPr>
        <w:t>The Board or any authorized committee thereof is expressly authorized to provide by resolution or resolutions for, out of the unissued shares of Preferred Stock, the issuance of the shares of Preferred Stock in one or more series of such stock, and by filing a certificate of designation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 all to the fullest extent now or hereafter permitted by the DGCL. The powers, preferences and relative, participating, optional and other special rights of each such series of Preferred Stock, and the qualifications, limitations or restrictions thereof, if any, may differ from those of any and all other series at any time outstanding. Without limiting the generality of the foregoing, the resolution or resolutions providing for the issuance of any series of Preferred Stock may provide that such series shall be superior or rank equally or be junior to any other series of Preferred Stock to the extent permitted by law.</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ARTICLE V</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 xml:space="preserve">The following terms, where capitalized in this Certificate of Incorporation, shall have the meanings ascribed to them in this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right="240" w:firstLine="216"/>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Affiliate</w:t>
      </w:r>
      <w:r>
        <w:rPr>
          <w:rFonts w:ascii="Times New Roman" w:cs="Times New Roman" w:eastAsia="Times New Roman" w:hAnsi="Times New Roman"/>
          <w:sz w:val="12"/>
          <w:szCs w:val="12"/>
          <w:color w:val="auto"/>
        </w:rPr>
        <w:t>” means with respect to any specified person, any other person who or which, directly or indirectly, controls, is controlled by, or is under common control with such specified person, including, without limitation, any general partner, managing member, officer, director or manager of such person and any venture capital, private equity, investment advisor or other investment fund now or hereafter existing that is controlled by one or more general partners or managing members of, or is under common investment management (or shares the same management, advisory company or investment advisor) with, such person.</w:t>
      </w:r>
    </w:p>
    <w:p>
      <w:pPr>
        <w:spacing w:after="0" w:line="114" w:lineRule="exact"/>
        <w:rPr>
          <w:sz w:val="20"/>
          <w:szCs w:val="20"/>
          <w:color w:val="auto"/>
        </w:rPr>
      </w:pPr>
    </w:p>
    <w:p>
      <w:pPr>
        <w:ind w:firstLine="216"/>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Change of Control Share Issuance</w:t>
      </w:r>
      <w:r>
        <w:rPr>
          <w:rFonts w:ascii="Times New Roman" w:cs="Times New Roman" w:eastAsia="Times New Roman" w:hAnsi="Times New Roman"/>
          <w:sz w:val="12"/>
          <w:szCs w:val="12"/>
          <w:color w:val="auto"/>
        </w:rPr>
        <w:t>” means the issuance by the Corporation, in a transaction or series of related transactions, of voting securities of the Corporation to any person or persons acting as a group as contemplated in Rule 13d-5(b) under the Exchange Act (or any successor provision) that immediately prior to such transaction or series of related transactions held 50% or less of the total voting power of the Corporation (assuming Series A Common Stock and Series B Common Stock each have one vote per share), such that, immediately following such transaction or series of related transactions, such person or group of persons would hold more than 50% of the total voting power of the Corporation (assuming Series A Common Stock and Series B Common Stock each have one vote per share).</w:t>
      </w: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51" w:right="339" w:bottom="1440" w:gutter="0" w:footer="0" w:header="0"/>
        </w:sectPr>
      </w:pPr>
    </w:p>
    <w:bookmarkStart w:id="95" w:name="page96"/>
    <w:bookmarkEnd w:id="95"/>
    <w:p>
      <w:pPr>
        <w:ind w:left="8" w:firstLine="216"/>
        <w:spacing w:after="0" w:line="25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Change of Control Transaction</w:t>
      </w:r>
      <w:r>
        <w:rPr>
          <w:rFonts w:ascii="Times New Roman" w:cs="Times New Roman" w:eastAsia="Times New Roman" w:hAnsi="Times New Roman"/>
          <w:sz w:val="12"/>
          <w:szCs w:val="12"/>
          <w:color w:val="auto"/>
        </w:rPr>
        <w:t xml:space="preserve">” means (i) the sale, lease, exclusive license, exchange, or other disposition (other than liens and encumbrances created in the ordinary course of business, including liens or encumbrances to secure indebtedness for borrowed money that are approved by the Board, so long as no foreclosure occurs in respect of any such lien or encumbrance) of all or substantially all of the Corporation’s property and assets (which shall for such purpose include the property and assets of any direct or indirect subsidiary of the Corporation),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any sale, lease, exclusive license, exchange or other disposition of property or assets exclusively between or among the Corporation and any direct or indirect subsidiary or subsidiaries of the Corporation shall not be deemed a “Change of Control Transaction”; (ii) the merger, consolidation, business combination, or other similar transaction of the Corporation with any other entity, other than a merger, consolidation, business combination, or other similar transaction that would result in the voting securities of the Corporation outstanding immediately prior thereto continuing to represent (either by remaining outstanding or by being converted into voting securities of the surviving entity or its parent) more than 50% of the total voting power represented by the voting securities of the Corporation, surviving entity or its parent (as applicable) </w:t>
      </w:r>
      <w:r>
        <w:rPr>
          <w:rFonts w:ascii="Times New Roman" w:cs="Times New Roman" w:eastAsia="Times New Roman" w:hAnsi="Times New Roman"/>
          <w:sz w:val="12"/>
          <w:szCs w:val="12"/>
          <w:i w:val="1"/>
          <w:iCs w:val="1"/>
          <w:color w:val="auto"/>
        </w:rPr>
        <w:t>and</w:t>
      </w:r>
      <w:r>
        <w:rPr>
          <w:rFonts w:ascii="Times New Roman" w:cs="Times New Roman" w:eastAsia="Times New Roman" w:hAnsi="Times New Roman"/>
          <w:sz w:val="12"/>
          <w:szCs w:val="12"/>
          <w:color w:val="auto"/>
        </w:rPr>
        <w:t xml:space="preserve"> more than 50% of the total number of outstanding shares of the Corporation’s, surviving entity’s or its parent’s (as applicable) capital stock, in each case as outstanding immediately after such merger, consolidation, business combination, or other similar transaction, and the stockholders of the Corporation immediately prior to the merger, consolidation, business combination, or other similar transaction own voting securities of the Corporation, the surviving entity or its parent (as applicable) immediately following the merger, consolidation, business combination, or other similar transaction in substantially the same proportions (vis-à-vis each other) as such stockholders owned the voting securities of the Corporation immediately prior to the transaction; (iii) a recapitalization, liquidation, dissolution, or other similar transaction involving the Corporation, other than a recapitalization, liquidation, dissolution, or other similar transaction that would result in the voting securities of the Corporation outstanding immediately prior thereto continuing to represent (either by remaining outstanding or being converted into voting securities of the surviving entity or its parent) more than 50% of the total voting power represented by the voting securities of the Corporation, surviving entity or its parent (as applicable) </w:t>
      </w:r>
      <w:r>
        <w:rPr>
          <w:rFonts w:ascii="Times New Roman" w:cs="Times New Roman" w:eastAsia="Times New Roman" w:hAnsi="Times New Roman"/>
          <w:sz w:val="12"/>
          <w:szCs w:val="12"/>
          <w:i w:val="1"/>
          <w:iCs w:val="1"/>
          <w:color w:val="auto"/>
        </w:rPr>
        <w:t>and</w:t>
      </w:r>
      <w:r>
        <w:rPr>
          <w:rFonts w:ascii="Times New Roman" w:cs="Times New Roman" w:eastAsia="Times New Roman" w:hAnsi="Times New Roman"/>
          <w:sz w:val="12"/>
          <w:szCs w:val="12"/>
          <w:color w:val="auto"/>
        </w:rPr>
        <w:t xml:space="preserve"> more than 50% of the total number of outstanding shares of the Corporation’s, surviving entity’s or parent’s (as applicable) capital stock, in each case as outstanding immediately after such recapitalization, liquidation, dissolution or other similar transaction, and the stockholders of the Corporation immediately prior to the recapitalization, liquidation, dissolution or other similar transaction own voting securities of the Corporation, the surviving entity or its parent immediately following the recapitalization, liquidation, dissolution or other similar transaction in substantially the same proportions (vis-à-vis each other) as such stockholders owned the voting securities of the Corporation immediately prior to the transaction;</w:t>
      </w:r>
    </w:p>
    <w:p>
      <w:pPr>
        <w:spacing w:after="0" w:line="2" w:lineRule="exact"/>
        <w:rPr>
          <w:sz w:val="20"/>
          <w:szCs w:val="20"/>
          <w:color w:val="auto"/>
        </w:rPr>
      </w:pPr>
    </w:p>
    <w:p>
      <w:pPr>
        <w:ind w:left="8" w:right="100" w:hanging="8"/>
        <w:spacing w:after="0" w:line="252" w:lineRule="auto"/>
        <w:tabs>
          <w:tab w:leader="none" w:pos="211"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Change of Control Share Issuance; and (v) any transfer, domestication, continuance, conversion or other similar transaction of the Corporation other than a transfer, domestication, continuance, conversion or other similar transaction that would result in the voting securities of the Corporation outstanding immediately prior thereto continuing to represent (either by remaining outstanding or by being converted into voting securities of the transferred, domesticated, continued or converted entity or its parent) more than 50% of the total voting power represented by the voting securities of the Corporation, the transferred, domesticated, continued or converted entity or its parent (as applicable) </w:t>
      </w:r>
      <w:r>
        <w:rPr>
          <w:rFonts w:ascii="Times New Roman" w:cs="Times New Roman" w:eastAsia="Times New Roman" w:hAnsi="Times New Roman"/>
          <w:sz w:val="12"/>
          <w:szCs w:val="12"/>
          <w:i w:val="1"/>
          <w:iCs w:val="1"/>
          <w:color w:val="auto"/>
        </w:rPr>
        <w:t>and</w:t>
      </w:r>
      <w:r>
        <w:rPr>
          <w:rFonts w:ascii="Times New Roman" w:cs="Times New Roman" w:eastAsia="Times New Roman" w:hAnsi="Times New Roman"/>
          <w:sz w:val="12"/>
          <w:szCs w:val="12"/>
          <w:color w:val="auto"/>
        </w:rPr>
        <w:t xml:space="preserve"> more than 50% of the total number of outstanding shares of the Corporation’s, the transferred, domesticated, continued or converted entity’s or it parent’s (as applicable) capital stock, in each case as outstanding immediately after such transfer, domestication, continuance, conversion or other similar transaction, and the stockholders of the Corporation immediately prior to the transfer, domestication, continuance, conversion or other similar transaction own voting securities of the Corporation, the transferred, domesticated, continued or converted entity of its parent (as applicable) immediately following the transfer, domestication, continuance, conversion or other similar transaction in substantially the same proportions (vis-à-vis each other) as such stockholders owned the voting securities of the Corporation immediately prior to the transaction.</w:t>
      </w:r>
    </w:p>
    <w:p>
      <w:pPr>
        <w:spacing w:after="0" w:line="123"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Disinterested Directors</w:t>
      </w:r>
      <w:r>
        <w:rPr>
          <w:rFonts w:ascii="Times New Roman" w:cs="Times New Roman" w:eastAsia="Times New Roman" w:hAnsi="Times New Roman"/>
          <w:sz w:val="12"/>
          <w:szCs w:val="12"/>
          <w:color w:val="auto"/>
        </w:rPr>
        <w:t>” means the Directors who have been determined by the Board to be disinterested with respect to a particular Transfer or Change of Control Transaction, as applicable.</w:t>
      </w:r>
    </w:p>
    <w:p>
      <w:pPr>
        <w:spacing w:after="0" w:line="150" w:lineRule="exact"/>
        <w:rPr>
          <w:sz w:val="20"/>
          <w:szCs w:val="20"/>
          <w:color w:val="auto"/>
        </w:rPr>
      </w:pPr>
    </w:p>
    <w:p>
      <w:pPr>
        <w:ind w:left="8" w:right="120" w:firstLine="216"/>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Distribution</w:t>
      </w:r>
      <w:r>
        <w:rPr>
          <w:rFonts w:ascii="Times New Roman" w:cs="Times New Roman" w:eastAsia="Times New Roman" w:hAnsi="Times New Roman"/>
          <w:sz w:val="12"/>
          <w:szCs w:val="12"/>
          <w:color w:val="auto"/>
        </w:rPr>
        <w:t>” means (i) any dividend of cash, property or shares of the Corporation’s capital stock payable to holders of shares of the Corporation’s capital stock; and (ii) any distribution to holders of shares of the Corporation’s capital stock following or in connection with any liquidation, dissolution or winding up of the Corporation, either voluntary or involuntary.</w:t>
      </w:r>
    </w:p>
    <w:p>
      <w:pPr>
        <w:spacing w:after="0" w:line="103" w:lineRule="exact"/>
        <w:rPr>
          <w:sz w:val="20"/>
          <w:szCs w:val="20"/>
          <w:color w:val="auto"/>
        </w:rPr>
      </w:pPr>
    </w:p>
    <w:p>
      <w:pPr>
        <w:ind w:left="8" w:right="340" w:firstLine="216"/>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Effective Time</w:t>
      </w:r>
      <w:r>
        <w:rPr>
          <w:rFonts w:ascii="Times New Roman" w:cs="Times New Roman" w:eastAsia="Times New Roman" w:hAnsi="Times New Roman"/>
          <w:sz w:val="12"/>
          <w:szCs w:val="12"/>
          <w:color w:val="auto"/>
        </w:rPr>
        <w:t>” means the time of the completion of the transactions contemplated by that certain Business Combination Agreement, by and among Cartesian Growth Corporation III, a Cayman Islands exempted company, Fenway MS, Inc., a Delaware corporation, and Factorial Inc., a Delaware corporation, dated as of December 17, 2025.</w:t>
      </w:r>
    </w:p>
    <w:p>
      <w:pPr>
        <w:spacing w:after="0" w:line="103"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Exchange Act</w:t>
      </w:r>
      <w:r>
        <w:rPr>
          <w:rFonts w:ascii="Times New Roman" w:cs="Times New Roman" w:eastAsia="Times New Roman" w:hAnsi="Times New Roman"/>
          <w:sz w:val="12"/>
          <w:szCs w:val="12"/>
          <w:color w:val="auto"/>
        </w:rPr>
        <w:t>” means the United States Securities Exchange Act of 1934, as amended.</w:t>
      </w:r>
    </w:p>
    <w:p>
      <w:pPr>
        <w:spacing w:after="0" w:line="150"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Founder</w:t>
      </w:r>
      <w:r>
        <w:rPr>
          <w:rFonts w:ascii="Times New Roman" w:cs="Times New Roman" w:eastAsia="Times New Roman" w:hAnsi="Times New Roman"/>
          <w:sz w:val="12"/>
          <w:szCs w:val="12"/>
          <w:color w:val="auto"/>
        </w:rPr>
        <w:t>” means each of Siyu Huang and Alex Yu].</w:t>
      </w:r>
    </w:p>
    <w:p>
      <w:pPr>
        <w:spacing w:after="0" w:line="298"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8"/>
          </w:cols>
          <w:pgMar w:left="292" w:top="647" w:right="339" w:bottom="1440" w:gutter="0" w:footer="0" w:header="0"/>
        </w:sectPr>
      </w:pPr>
    </w:p>
    <w:bookmarkStart w:id="96" w:name="page97"/>
    <w:bookmarkEnd w:id="96"/>
    <w:p>
      <w:pPr>
        <w:ind w:left="8" w:right="40" w:firstLine="216"/>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Incapacity</w:t>
      </w:r>
      <w:r>
        <w:rPr>
          <w:rFonts w:ascii="Times New Roman" w:cs="Times New Roman" w:eastAsia="Times New Roman" w:hAnsi="Times New Roman"/>
          <w:sz w:val="12"/>
          <w:szCs w:val="12"/>
          <w:color w:val="auto"/>
        </w:rPr>
        <w:t>” means that such Series B Stockholder is incapable of managing such holder’s financial affairs under the criteria set forth in the applicable probate code and such incapacity has lasted or can be expected to last for a continuous period of not less than 12 months or is suffering from a condition that can be expected to result in death, in each case, as determined by a licensed medical practitioner jointly selected by a majority of the Disinterested Directors and such Founder or such Founder’s legal representative. In the event of a dispute regarding whether a Series B Stockholder has suffered an Incapacity, no Incapacity of such holder will be deemed to have occurred unless and until an affirmative ruling regarding such Incapacity has been made by a court of competent jurisdiction.</w:t>
      </w:r>
    </w:p>
    <w:p>
      <w:pPr>
        <w:spacing w:after="0" w:line="117"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Rights</w:t>
      </w:r>
      <w:r>
        <w:rPr>
          <w:rFonts w:ascii="Times New Roman" w:cs="Times New Roman" w:eastAsia="Times New Roman" w:hAnsi="Times New Roman"/>
          <w:sz w:val="12"/>
          <w:szCs w:val="12"/>
          <w:color w:val="auto"/>
        </w:rPr>
        <w:t>” means any option, warrant, restricted stock unit, conversion right or contractual right of any kind to acquire shares of the Corporation’s authorized but unissued capital stock.</w:t>
      </w:r>
    </w:p>
    <w:p>
      <w:pPr>
        <w:spacing w:after="0" w:line="150" w:lineRule="exact"/>
        <w:rPr>
          <w:sz w:val="20"/>
          <w:szCs w:val="20"/>
          <w:color w:val="auto"/>
        </w:rPr>
      </w:pPr>
    </w:p>
    <w:p>
      <w:pPr>
        <w:ind w:left="8" w:firstLine="216"/>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Securities Exchange</w:t>
      </w:r>
      <w:r>
        <w:rPr>
          <w:rFonts w:ascii="Times New Roman" w:cs="Times New Roman" w:eastAsia="Times New Roman" w:hAnsi="Times New Roman"/>
          <w:sz w:val="12"/>
          <w:szCs w:val="12"/>
          <w:color w:val="auto"/>
        </w:rPr>
        <w:t>” means, at any time, the registered national securities exchange on which the Corporation’s equity securities are then principally listed or traded, which shall be the New York Stock Exchange or Nasdaq Stock Market (or similar national quotation system of the Nasdaq Stock Market) (“</w:t>
      </w:r>
      <w:r>
        <w:rPr>
          <w:rFonts w:ascii="Times New Roman" w:cs="Times New Roman" w:eastAsia="Times New Roman" w:hAnsi="Times New Roman"/>
          <w:sz w:val="12"/>
          <w:szCs w:val="12"/>
          <w:b w:val="1"/>
          <w:bCs w:val="1"/>
          <w:i w:val="1"/>
          <w:iCs w:val="1"/>
          <w:color w:val="auto"/>
        </w:rPr>
        <w:t>Nasdaq</w:t>
      </w:r>
      <w:r>
        <w:rPr>
          <w:rFonts w:ascii="Times New Roman" w:cs="Times New Roman" w:eastAsia="Times New Roman" w:hAnsi="Times New Roman"/>
          <w:sz w:val="12"/>
          <w:szCs w:val="12"/>
          <w:color w:val="auto"/>
        </w:rPr>
        <w:t>”) or any successor exchange of either the New York Stock Exchange or Nasdaq.</w:t>
      </w:r>
    </w:p>
    <w:p>
      <w:pPr>
        <w:spacing w:after="0" w:line="103" w:lineRule="exact"/>
        <w:rPr>
          <w:sz w:val="20"/>
          <w:szCs w:val="20"/>
          <w:color w:val="auto"/>
        </w:rPr>
      </w:pPr>
    </w:p>
    <w:p>
      <w:pPr>
        <w:ind w:left="8" w:right="140" w:firstLine="216"/>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Series B Stockholder</w:t>
      </w:r>
      <w:r>
        <w:rPr>
          <w:rFonts w:ascii="Times New Roman" w:cs="Times New Roman" w:eastAsia="Times New Roman" w:hAnsi="Times New Roman"/>
          <w:sz w:val="12"/>
          <w:szCs w:val="12"/>
          <w:color w:val="auto"/>
        </w:rPr>
        <w:t>” means (i) the registered holder of a share of Series B Common Stock issued at or prior to the Effective Time, (ii) the registered holder of any shares of Series B Common Stock that are originally issued by the Corporation after the Effective Time and (iii) any registered holder of a share of Series B Common Stock described in clause (i) or (ii) who acquires such share of Series B Common Stock as a Permitted Transferee.</w:t>
      </w:r>
    </w:p>
    <w:p>
      <w:pPr>
        <w:spacing w:after="0" w:line="103"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Trading Day</w:t>
      </w:r>
      <w:r>
        <w:rPr>
          <w:rFonts w:ascii="Times New Roman" w:cs="Times New Roman" w:eastAsia="Times New Roman" w:hAnsi="Times New Roman"/>
          <w:sz w:val="12"/>
          <w:szCs w:val="12"/>
          <w:color w:val="auto"/>
        </w:rPr>
        <w:t>” means any day on which the Securities Exchange is open for trading.</w:t>
      </w:r>
    </w:p>
    <w:p>
      <w:pPr>
        <w:spacing w:after="0" w:line="150" w:lineRule="exact"/>
        <w:rPr>
          <w:sz w:val="20"/>
          <w:szCs w:val="20"/>
          <w:color w:val="auto"/>
        </w:rPr>
      </w:pPr>
    </w:p>
    <w:p>
      <w:pPr>
        <w:ind w:left="8" w:right="20" w:firstLine="216"/>
        <w:spacing w:after="0" w:line="303" w:lineRule="auto"/>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i w:val="1"/>
          <w:iCs w:val="1"/>
          <w:color w:val="auto"/>
        </w:rPr>
        <w:t>Threshold Shares</w:t>
      </w:r>
      <w:r>
        <w:rPr>
          <w:rFonts w:ascii="Times New Roman" w:cs="Times New Roman" w:eastAsia="Times New Roman" w:hAnsi="Times New Roman"/>
          <w:sz w:val="11"/>
          <w:szCs w:val="11"/>
          <w:color w:val="auto"/>
        </w:rPr>
        <w:t>” means, with respect to any person as of any time, the sum of (without duplication): (a) any shares of capital stock of the Corporation, including Series A Common Stock and Series B Common Stock, held by such person as of such time; and (b) any shares of capital stock of the Corporation, including Series A Common Stock and Series B Common Stock, underlying any securities (including restricted stock units, options or other convertible instruments) held by such person as of such time, whether such securities are vested or unvested, earned or unearned, or convertible into or exchangeable or exercisable for such shares of capital stock, as of such time or in the future.</w:t>
      </w:r>
    </w:p>
    <w:p>
      <w:pPr>
        <w:spacing w:after="0" w:line="97" w:lineRule="exact"/>
        <w:rPr>
          <w:sz w:val="20"/>
          <w:szCs w:val="20"/>
          <w:color w:val="auto"/>
        </w:rPr>
      </w:pPr>
    </w:p>
    <w:p>
      <w:pPr>
        <w:ind w:left="8" w:firstLine="216"/>
        <w:spacing w:after="0" w:line="278" w:lineRule="auto"/>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i w:val="1"/>
          <w:iCs w:val="1"/>
          <w:color w:val="auto"/>
        </w:rPr>
        <w:t>Transfer</w:t>
      </w:r>
      <w:r>
        <w:rPr>
          <w:rFonts w:ascii="Times New Roman" w:cs="Times New Roman" w:eastAsia="Times New Roman" w:hAnsi="Times New Roman"/>
          <w:sz w:val="11"/>
          <w:szCs w:val="11"/>
          <w:color w:val="auto"/>
        </w:rPr>
        <w:t xml:space="preserve">” of a share of Series B Common Stock shall mean, directly or indirectly, any sale, assignment, transfer, conveyance, hypothecation or other transfer or disposition of such share or any legal or beneficial interest in such share, whether or not for value and whether voluntary or involuntary or by operation of law. A “Transfer” shall also include, without limitation, (i) a transfer of a share of Series B Common Stock to a broker or other nominee (regardless of whether or not there is a corresponding change in beneficial ownership) or (ii) the transfer of, or entering into a binding agreement with respect to, Voting Control over a share of Series B Common Stock by proxy or otherwise; </w:t>
      </w:r>
      <w:r>
        <w:rPr>
          <w:rFonts w:ascii="Times New Roman" w:cs="Times New Roman" w:eastAsia="Times New Roman" w:hAnsi="Times New Roman"/>
          <w:sz w:val="11"/>
          <w:szCs w:val="11"/>
          <w:i w:val="1"/>
          <w:iCs w:val="1"/>
          <w:color w:val="auto"/>
        </w:rPr>
        <w:t>provided</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i w:val="1"/>
          <w:iCs w:val="1"/>
          <w:color w:val="auto"/>
        </w:rPr>
        <w:t xml:space="preserve"> however</w:t>
      </w:r>
      <w:r>
        <w:rPr>
          <w:rFonts w:ascii="Times New Roman" w:cs="Times New Roman" w:eastAsia="Times New Roman" w:hAnsi="Times New Roman"/>
          <w:sz w:val="11"/>
          <w:szCs w:val="11"/>
          <w:color w:val="auto"/>
        </w:rPr>
        <w:t>, that the following shall not be considered a “Transfer”: (a) granting a revocable proxy to officers or Directors of the Corporation at the request of the Board in connection with actions to be taken at an annual or</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 xml:space="preserve">special meeting of stockholders or by written consent in lieu of a meeting; (b) pledging shares of Series B Common Stock by a Series B Stockholder that creates a mere security interest in such shares pursuant to a </w:t>
      </w:r>
      <w:r>
        <w:rPr>
          <w:rFonts w:ascii="Times New Roman" w:cs="Times New Roman" w:eastAsia="Times New Roman" w:hAnsi="Times New Roman"/>
          <w:sz w:val="11"/>
          <w:szCs w:val="11"/>
          <w:i w:val="1"/>
          <w:iCs w:val="1"/>
          <w:color w:val="auto"/>
        </w:rPr>
        <w:t>bona fide</w:t>
      </w:r>
      <w:r>
        <w:rPr>
          <w:rFonts w:ascii="Times New Roman" w:cs="Times New Roman" w:eastAsia="Times New Roman" w:hAnsi="Times New Roman"/>
          <w:sz w:val="11"/>
          <w:szCs w:val="11"/>
          <w:color w:val="auto"/>
        </w:rPr>
        <w:t xml:space="preserve"> loan or indebtedness transaction so long as the Series B Stockholder continues to exercise Voting Control over such pledged shares; </w:t>
      </w:r>
      <w:r>
        <w:rPr>
          <w:rFonts w:ascii="Times New Roman" w:cs="Times New Roman" w:eastAsia="Times New Roman" w:hAnsi="Times New Roman"/>
          <w:sz w:val="11"/>
          <w:szCs w:val="11"/>
          <w:i w:val="1"/>
          <w:iCs w:val="1"/>
          <w:color w:val="auto"/>
        </w:rPr>
        <w:t>provided</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however</w:t>
      </w:r>
      <w:r>
        <w:rPr>
          <w:rFonts w:ascii="Times New Roman" w:cs="Times New Roman" w:eastAsia="Times New Roman" w:hAnsi="Times New Roman"/>
          <w:sz w:val="11"/>
          <w:szCs w:val="11"/>
          <w:color w:val="auto"/>
        </w:rPr>
        <w:t xml:space="preserve">, that a foreclosure on such shares of Series B Common Stock or other similar action by the pledgee shall constitute a “Transfer”; (c) the fact that, as of the Effective Time or at any time after the Effective Time, the spouse of any Series B Stockholder possesses or obtains an interest in such holder’s shares of Series B Common Stock arising solely by reason of the application of the community property laws of any jurisdiction, so long as no other event or circumstance shall exist or have occurred that constitutes a “Transfer” of such shares of Series B Common Stock (and </w:t>
      </w:r>
      <w:r>
        <w:rPr>
          <w:rFonts w:ascii="Times New Roman" w:cs="Times New Roman" w:eastAsia="Times New Roman" w:hAnsi="Times New Roman"/>
          <w:sz w:val="11"/>
          <w:szCs w:val="11"/>
          <w:i w:val="1"/>
          <w:iCs w:val="1"/>
          <w:color w:val="auto"/>
        </w:rPr>
        <w:t>provided</w:t>
      </w:r>
      <w:r>
        <w:rPr>
          <w:rFonts w:ascii="Times New Roman" w:cs="Times New Roman" w:eastAsia="Times New Roman" w:hAnsi="Times New Roman"/>
          <w:sz w:val="11"/>
          <w:szCs w:val="11"/>
          <w:color w:val="auto"/>
        </w:rPr>
        <w:t xml:space="preserve"> that any transfer of shares by any holder of shares of Series B Common Stock to such holder’s spouse, including a transfer in connection with a divorce proceeding, domestic relations order or similar legal requirement, shall constitute a “Transfer” of such shares of Series B Common Stock unless otherwise exempt from the definition of Transfer); (d) entering into a trading plan pursuant to Rule 10b5-1 under the Exchange Act with a broker or other nominee; </w:t>
      </w:r>
      <w:r>
        <w:rPr>
          <w:rFonts w:ascii="Times New Roman" w:cs="Times New Roman" w:eastAsia="Times New Roman" w:hAnsi="Times New Roman"/>
          <w:sz w:val="11"/>
          <w:szCs w:val="11"/>
          <w:i w:val="1"/>
          <w:iCs w:val="1"/>
          <w:color w:val="auto"/>
        </w:rPr>
        <w:t>provided</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however</w:t>
      </w:r>
      <w:r>
        <w:rPr>
          <w:rFonts w:ascii="Times New Roman" w:cs="Times New Roman" w:eastAsia="Times New Roman" w:hAnsi="Times New Roman"/>
          <w:sz w:val="11"/>
          <w:szCs w:val="11"/>
          <w:color w:val="auto"/>
        </w:rPr>
        <w:t>, that a sale of such shares of Series B Common Stock pursuant to such plan shall constitute a “Transfer” at the time of such sale; (e) granting a proxy by a Series B Stockholder or a Series B Stockholder’s Permitted Transferees to a person designated by the Board to exercise Voting Control of shares of Series B Common Stock owned directly or indirectly, beneficially and of record, by such Series B Stockholder or such Series B Stockholder’s Permitted Transferees, or over which such Series B Stockholder has Voting Control pursuant to a proxy or voting agreements then in place, effective either (x) on the death of such Series B Stockholder or</w:t>
      </w:r>
    </w:p>
    <w:p>
      <w:pPr>
        <w:spacing w:after="0" w:line="129" w:lineRule="exact"/>
        <w:rPr>
          <w:sz w:val="20"/>
          <w:szCs w:val="20"/>
          <w:color w:val="auto"/>
        </w:rPr>
      </w:pPr>
    </w:p>
    <w:p>
      <w:pPr>
        <w:ind w:left="8" w:right="60" w:hanging="8"/>
        <w:spacing w:after="0" w:line="253" w:lineRule="auto"/>
        <w:tabs>
          <w:tab w:leader="none" w:pos="178"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during any Incapacity of such Series B Stockholder, including the exercise of such proxy by the person designated by the Board; (f) entering into a (I) support, voting, tender or similar agreement, or arrangement (with or without granting a proxy) or (II) a “rollover” or similar agreement or arrangement that, in each case, is approved by a majority of the Disinterested Directors then in office (or a committee of the Board comprised of Disinterested Directors) and is in connection with a Change of Control Transaction;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such Change of Control Transaction was approved by a majority of the Disinterested Directors then in office (or a committee of the Board comprised of Disinterested Directors) or (g) any grant of a proxy to, or entering into a voting agreement or similar arrangement with, any other Founder or Affiliate of such Founder.</w:t>
      </w:r>
    </w:p>
    <w:p>
      <w:pPr>
        <w:spacing w:after="0" w:line="2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97" w:name="page98"/>
    <w:bookmarkEnd w:id="97"/>
    <w:p>
      <w:pPr>
        <w:ind w:firstLine="216"/>
        <w:spacing w:after="0" w:line="277" w:lineRule="auto"/>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i w:val="1"/>
          <w:iCs w:val="1"/>
          <w:color w:val="auto"/>
        </w:rPr>
        <w:t>Voting Control</w:t>
      </w:r>
      <w:r>
        <w:rPr>
          <w:rFonts w:ascii="Times New Roman" w:cs="Times New Roman" w:eastAsia="Times New Roman" w:hAnsi="Times New Roman"/>
          <w:sz w:val="11"/>
          <w:szCs w:val="11"/>
          <w:color w:val="auto"/>
        </w:rPr>
        <w:t xml:space="preserve">” with respect to a share of Series B Common Stock means the exclusive power (whether directly or indirectly) to vote or direct the voting of such share of Series B Common Stock by proxy, voting agreement, or otherwise; </w:t>
      </w:r>
      <w:r>
        <w:rPr>
          <w:rFonts w:ascii="Times New Roman" w:cs="Times New Roman" w:eastAsia="Times New Roman" w:hAnsi="Times New Roman"/>
          <w:sz w:val="11"/>
          <w:szCs w:val="11"/>
          <w:i w:val="1"/>
          <w:iCs w:val="1"/>
          <w:color w:val="auto"/>
        </w:rPr>
        <w:t>provided</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however</w:t>
      </w:r>
      <w:r>
        <w:rPr>
          <w:rFonts w:ascii="Times New Roman" w:cs="Times New Roman" w:eastAsia="Times New Roman" w:hAnsi="Times New Roman"/>
          <w:sz w:val="11"/>
          <w:szCs w:val="11"/>
          <w:color w:val="auto"/>
        </w:rPr>
        <w:t xml:space="preserve">, that the following shall not be considered a loss or other diminishment of “Voting Control”: (a) granting a revocable proxy to officers or Directors of the Corporation at the request of the Board in connection with actions to be taken at an annual or special meeting of stockholders or by written consent in lieu of a meeting; (b) pledging shares of Series B Common Stock by a holder that creates a mere security interest in such shares pursuant to a </w:t>
      </w:r>
      <w:r>
        <w:rPr>
          <w:rFonts w:ascii="Times New Roman" w:cs="Times New Roman" w:eastAsia="Times New Roman" w:hAnsi="Times New Roman"/>
          <w:sz w:val="11"/>
          <w:szCs w:val="11"/>
          <w:i w:val="1"/>
          <w:iCs w:val="1"/>
          <w:color w:val="auto"/>
        </w:rPr>
        <w:t>bona fide</w:t>
      </w:r>
      <w:r>
        <w:rPr>
          <w:rFonts w:ascii="Times New Roman" w:cs="Times New Roman" w:eastAsia="Times New Roman" w:hAnsi="Times New Roman"/>
          <w:sz w:val="11"/>
          <w:szCs w:val="11"/>
          <w:color w:val="auto"/>
        </w:rPr>
        <w:t xml:space="preserve"> loan or indebtedness transaction so long as the holder continues to exercise voting control over such pledged shares; </w:t>
      </w:r>
      <w:r>
        <w:rPr>
          <w:rFonts w:ascii="Times New Roman" w:cs="Times New Roman" w:eastAsia="Times New Roman" w:hAnsi="Times New Roman"/>
          <w:sz w:val="11"/>
          <w:szCs w:val="11"/>
          <w:i w:val="1"/>
          <w:iCs w:val="1"/>
          <w:color w:val="auto"/>
        </w:rPr>
        <w:t>provided</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however</w:t>
      </w:r>
      <w:r>
        <w:rPr>
          <w:rFonts w:ascii="Times New Roman" w:cs="Times New Roman" w:eastAsia="Times New Roman" w:hAnsi="Times New Roman"/>
          <w:sz w:val="11"/>
          <w:szCs w:val="11"/>
          <w:color w:val="auto"/>
        </w:rPr>
        <w:t xml:space="preserve">, that a foreclosure on such shares of Series B Common Stock or other similar action by the pledgee shall constitute a loss of “Voting Control”; (c) the fact that, as of the Effective Time or at any time after the Effective Time, the spouse of any holder possesses or obtains an interest in such holder’s shares of Series B Common Stock arising solely by reason of the application of the community property laws of any jurisdiction, so long as no other event or circumstance shall exist or have occurred that constitutes a loss of “Voting Control” of such shares of Series B Common Stock (and </w:t>
      </w:r>
      <w:r>
        <w:rPr>
          <w:rFonts w:ascii="Times New Roman" w:cs="Times New Roman" w:eastAsia="Times New Roman" w:hAnsi="Times New Roman"/>
          <w:sz w:val="11"/>
          <w:szCs w:val="11"/>
          <w:i w:val="1"/>
          <w:iCs w:val="1"/>
          <w:color w:val="auto"/>
        </w:rPr>
        <w:t>provided</w:t>
      </w:r>
      <w:r>
        <w:rPr>
          <w:rFonts w:ascii="Times New Roman" w:cs="Times New Roman" w:eastAsia="Times New Roman" w:hAnsi="Times New Roman"/>
          <w:sz w:val="11"/>
          <w:szCs w:val="11"/>
          <w:color w:val="auto"/>
        </w:rPr>
        <w:t xml:space="preserve"> that any transfer of voting control over shares held by any holder of shares of Series B Common Stock to such holder’s spouse, including a transfer of voting control in connection with a divorce proceeding, domestic relations order or similar legal requirement, shall constitute a loss of “Voting Control” of such shares of Series B Common Stock unless otherwise provided herein); (d) entering into a trading plan pursuant to Rule 10b5-1 under the Exchange Act with a broker or other nominee; </w:t>
      </w:r>
      <w:r>
        <w:rPr>
          <w:rFonts w:ascii="Times New Roman" w:cs="Times New Roman" w:eastAsia="Times New Roman" w:hAnsi="Times New Roman"/>
          <w:sz w:val="11"/>
          <w:szCs w:val="11"/>
          <w:i w:val="1"/>
          <w:iCs w:val="1"/>
          <w:color w:val="auto"/>
        </w:rPr>
        <w:t>provided</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however</w:t>
      </w:r>
      <w:r>
        <w:rPr>
          <w:rFonts w:ascii="Times New Roman" w:cs="Times New Roman" w:eastAsia="Times New Roman" w:hAnsi="Times New Roman"/>
          <w:sz w:val="11"/>
          <w:szCs w:val="11"/>
          <w:color w:val="auto"/>
        </w:rPr>
        <w:t xml:space="preserve">, that a sale of such shares of Series B Common Stock pursuant to such plan shall constitute a loss of “Voting Control” at the time of such sale; (e) granting a proxy by a Series B Stockholder or a Series B Stockholder’s Permitted Transferees to a person designated by the Board to exercise Voting Control of shares of Series B Common Stock owned directly or indirectly, beneficially and of record, by such Series B Stockholder or such Series B Stockholder’s Permitted Transferees, or over which such Series B Stockholder has Voting Control pursuant to a proxy or voting agreements then in place, effective either (I) on the death of such Series B Stockholder or (II) during any Incapacity of such Series B Stockholder, including the exercise of such proxy by the person designated by the Board; (f) entering into a (I) support, voting, tender or similar agreement, or arrangement (with or without granting a proxy) or (II) a “rollover” or similar agreement or arrangement that, in each case, is approved by a majority of the Disinterested Directors then in office (or a committee of the Board comprised of Disinterested Directors) and is in connection with a Change of Control Transaction; </w:t>
      </w:r>
      <w:r>
        <w:rPr>
          <w:rFonts w:ascii="Times New Roman" w:cs="Times New Roman" w:eastAsia="Times New Roman" w:hAnsi="Times New Roman"/>
          <w:sz w:val="11"/>
          <w:szCs w:val="11"/>
          <w:i w:val="1"/>
          <w:iCs w:val="1"/>
          <w:color w:val="auto"/>
        </w:rPr>
        <w:t>provided</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however</w:t>
      </w:r>
      <w:r>
        <w:rPr>
          <w:rFonts w:ascii="Times New Roman" w:cs="Times New Roman" w:eastAsia="Times New Roman" w:hAnsi="Times New Roman"/>
          <w:sz w:val="11"/>
          <w:szCs w:val="11"/>
          <w:color w:val="auto"/>
        </w:rPr>
        <w:t>, that such Change of Control Transaction was approved by a majority of the Disinterested Directors then in office (or a committee of the Board comprised of Disinterested Directors); or (g) any grant of a proxy to, or entering into a voting agreement or similar arrangement with, any Founder or Affiliate of such Founder.</w:t>
      </w:r>
    </w:p>
    <w:p>
      <w:pPr>
        <w:spacing w:after="0" w:line="260" w:lineRule="exact"/>
        <w:rPr>
          <w:sz w:val="20"/>
          <w:szCs w:val="20"/>
          <w:color w:val="auto"/>
        </w:rPr>
      </w:pPr>
    </w:p>
    <w:p>
      <w:pPr>
        <w:ind w:right="180" w:firstLine="216"/>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Voting Threshold Date</w:t>
      </w:r>
      <w:r>
        <w:rPr>
          <w:rFonts w:ascii="Times New Roman" w:cs="Times New Roman" w:eastAsia="Times New Roman" w:hAnsi="Times New Roman"/>
          <w:sz w:val="12"/>
          <w:szCs w:val="12"/>
          <w:color w:val="auto"/>
        </w:rPr>
        <w:t>” means the first date on which the outstanding shares of Series B Common Stock represent less than a majority of the total voting power of the then outstanding shares of capital stock of the Corporation entitled to vote generally in the election of Directors.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VI</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A. </w:t>
      </w:r>
      <w:r>
        <w:rPr>
          <w:rFonts w:ascii="Times New Roman" w:cs="Times New Roman" w:eastAsia="Times New Roman" w:hAnsi="Times New Roman"/>
          <w:sz w:val="12"/>
          <w:szCs w:val="12"/>
          <w:u w:val="single" w:color="auto"/>
          <w:color w:val="auto"/>
        </w:rPr>
        <w:t>STOCKHOLDER ACTION</w:t>
      </w:r>
    </w:p>
    <w:p>
      <w:pPr>
        <w:spacing w:after="0" w:line="150" w:lineRule="exact"/>
        <w:rPr>
          <w:sz w:val="20"/>
          <w:szCs w:val="20"/>
          <w:color w:val="auto"/>
        </w:rPr>
      </w:pPr>
    </w:p>
    <w:p>
      <w:pPr>
        <w:ind w:right="140" w:firstLine="208"/>
        <w:spacing w:after="0" w:line="257" w:lineRule="auto"/>
        <w:tabs>
          <w:tab w:leader="none" w:pos="336"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Action without Meeting</w:t>
      </w:r>
      <w:r>
        <w:rPr>
          <w:rFonts w:ascii="Times New Roman" w:cs="Times New Roman" w:eastAsia="Times New Roman" w:hAnsi="Times New Roman"/>
          <w:sz w:val="12"/>
          <w:szCs w:val="12"/>
          <w:color w:val="auto"/>
        </w:rPr>
        <w:t>. Subject to the rights, if any, of the holders of shares of Preferred Stock, from and after the Voting Threshold Date, any action required or permitted to be taken by the stockholders of the Corporation at any annual or special meeting of stockholders of the Corporation must be effected at a duly called annual or special meeting of stockholders and may not be taken or effected by a consent of stockholders in lieu thereof. Subject to the rights of the holders of any shares of Preferred Stock, before the Voting Threshold Date, any action required or permitted to be taken by the stockholders of the Corporation may be taken without a meeting, without prior notice and without a vote if: (x) the action is first recommended or approved by the Board and (y) a consent or consents in writing, setting forth the action so taken, is signed by the holders of outstanding stock having not less than the minimum number of votes that would be necessary to authorize or take such action at a meeting at which all shares of the Corporation’s stock entitled to vote thereon were present and voted.</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98" w:name="page99"/>
    <w:bookmarkEnd w:id="98"/>
    <w:p>
      <w:pPr>
        <w:ind w:right="20" w:firstLine="208"/>
        <w:spacing w:after="0" w:line="265" w:lineRule="auto"/>
        <w:tabs>
          <w:tab w:leader="none" w:pos="336"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Special Meetings</w:t>
      </w:r>
      <w:r>
        <w:rPr>
          <w:rFonts w:ascii="Times New Roman" w:cs="Times New Roman" w:eastAsia="Times New Roman" w:hAnsi="Times New Roman"/>
          <w:sz w:val="12"/>
          <w:szCs w:val="12"/>
          <w:color w:val="auto"/>
        </w:rPr>
        <w:t>. Except as otherwise required by statute and subject to the rights, if any, of the holders of shares of any series of Preferred Stock, special meetings of the stockholders of the Corporation may be called only by the Board, and special meetings of stockholders may not be called by any other person or persons. Only those matters set forth in the notice of the special meeting may be considered or acted upon at a special meeting of stockholders of the Corporation.</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VII</w:t>
      </w:r>
    </w:p>
    <w:p>
      <w:pPr>
        <w:spacing w:after="0" w:line="154" w:lineRule="exact"/>
        <w:rPr>
          <w:sz w:val="20"/>
          <w:szCs w:val="20"/>
          <w:color w:val="auto"/>
        </w:rPr>
      </w:pPr>
    </w:p>
    <w:p>
      <w:pPr>
        <w:ind w:left="5380" w:hanging="141"/>
        <w:spacing w:after="0"/>
        <w:tabs>
          <w:tab w:leader="none" w:pos="5380" w:val="left"/>
        </w:tabs>
        <w:numPr>
          <w:ilvl w:val="1"/>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DIRECTORS</w:t>
      </w:r>
    </w:p>
    <w:p>
      <w:pPr>
        <w:spacing w:after="0" w:line="150" w:lineRule="exact"/>
        <w:rPr>
          <w:rFonts w:ascii="Times New Roman" w:cs="Times New Roman" w:eastAsia="Times New Roman" w:hAnsi="Times New Roman"/>
          <w:sz w:val="12"/>
          <w:szCs w:val="12"/>
          <w:color w:val="auto"/>
        </w:rPr>
      </w:pPr>
    </w:p>
    <w:p>
      <w:pPr>
        <w:ind w:left="320" w:hanging="112"/>
        <w:spacing w:after="0"/>
        <w:tabs>
          <w:tab w:leader="none" w:pos="3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General</w:t>
      </w:r>
      <w:r>
        <w:rPr>
          <w:rFonts w:ascii="Times New Roman" w:cs="Times New Roman" w:eastAsia="Times New Roman" w:hAnsi="Times New Roman"/>
          <w:sz w:val="12"/>
          <w:szCs w:val="12"/>
          <w:color w:val="auto"/>
        </w:rPr>
        <w:t>. The business and affairs of the Corporation shall be managed by or under the direction of the Board except as otherwise provided herein or required by law.</w:t>
      </w:r>
    </w:p>
    <w:p>
      <w:pPr>
        <w:spacing w:after="0" w:line="150" w:lineRule="exact"/>
        <w:rPr>
          <w:rFonts w:ascii="Times New Roman" w:cs="Times New Roman" w:eastAsia="Times New Roman" w:hAnsi="Times New Roman"/>
          <w:sz w:val="12"/>
          <w:szCs w:val="12"/>
          <w:color w:val="auto"/>
        </w:rPr>
      </w:pPr>
    </w:p>
    <w:p>
      <w:pPr>
        <w:ind w:firstLine="208"/>
        <w:spacing w:after="0" w:line="254" w:lineRule="auto"/>
        <w:tabs>
          <w:tab w:leader="none" w:pos="336"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Number of Directors; Term of Office</w:t>
      </w:r>
      <w:r>
        <w:rPr>
          <w:rFonts w:ascii="Times New Roman" w:cs="Times New Roman" w:eastAsia="Times New Roman" w:hAnsi="Times New Roman"/>
          <w:sz w:val="12"/>
          <w:szCs w:val="12"/>
          <w:color w:val="auto"/>
        </w:rPr>
        <w:t xml:space="preserve">. Except as otherwise provided for or fixed pursuant to the provisions of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(including any certificate of designation with respect to any series of Preferred Stock) and this </w:t>
      </w:r>
      <w:r>
        <w:rPr>
          <w:rFonts w:ascii="Times New Roman" w:cs="Times New Roman" w:eastAsia="Times New Roman" w:hAnsi="Times New Roman"/>
          <w:sz w:val="12"/>
          <w:szCs w:val="12"/>
          <w:u w:val="single" w:color="auto"/>
          <w:color w:val="auto"/>
        </w:rPr>
        <w:t>Article VII</w:t>
      </w:r>
      <w:r>
        <w:rPr>
          <w:rFonts w:ascii="Times New Roman" w:cs="Times New Roman" w:eastAsia="Times New Roman" w:hAnsi="Times New Roman"/>
          <w:sz w:val="12"/>
          <w:szCs w:val="12"/>
          <w:color w:val="auto"/>
        </w:rPr>
        <w:t xml:space="preserve"> relating to the rights of the holders of any series of Preferred Stock to elect additional Directors, the number of Directors of the Corporation (the “</w:t>
      </w:r>
      <w:r>
        <w:rPr>
          <w:rFonts w:ascii="Times New Roman" w:cs="Times New Roman" w:eastAsia="Times New Roman" w:hAnsi="Times New Roman"/>
          <w:sz w:val="12"/>
          <w:szCs w:val="12"/>
          <w:b w:val="1"/>
          <w:bCs w:val="1"/>
          <w:i w:val="1"/>
          <w:iCs w:val="1"/>
          <w:color w:val="auto"/>
        </w:rPr>
        <w:t>Directors</w:t>
      </w:r>
      <w:r>
        <w:rPr>
          <w:rFonts w:ascii="Times New Roman" w:cs="Times New Roman" w:eastAsia="Times New Roman" w:hAnsi="Times New Roman"/>
          <w:sz w:val="12"/>
          <w:szCs w:val="12"/>
          <w:color w:val="auto"/>
        </w:rPr>
        <w:t>”) shall be fixed solely and exclusively by resolution duly adopted from time to time by the Board. The Directors, other than those who may be elected by the holders of any series of Preferred Stock, shall be classified, with respect to the term for which they severally hold office, into three classes. The term of office of the initial Class I Directors shall expire at the first regularly scheduled annual meeting of stockholders following the Effective Time. The term of office of the initial Class II Directors shall expire at the second annual meeting of stockholders following the Effective Time. The term of office of the initial Class III Directors shall expire at the third annual meeting of stockholders following the Effective Time. The Board is authorized to assign members of the Board already in office to such classes at the time the classification of the Board becomes effective.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disqualification or removal. No decrease in the number of Directors shall shorten the term of any incumbent Director. There shall be no cumulative voting in the election of Directors. Election of Directors need not be by written ballot unless the Bylaws of the Corporation so provide.</w:t>
      </w:r>
    </w:p>
    <w:p>
      <w:pPr>
        <w:spacing w:after="0" w:line="126" w:lineRule="exact"/>
        <w:rPr>
          <w:sz w:val="20"/>
          <w:szCs w:val="20"/>
          <w:color w:val="auto"/>
        </w:rPr>
      </w:pPr>
    </w:p>
    <w:p>
      <w:pPr>
        <w:ind w:firstLine="216"/>
        <w:spacing w:after="0" w:line="253" w:lineRule="auto"/>
        <w:rPr>
          <w:sz w:val="20"/>
          <w:szCs w:val="20"/>
          <w:color w:val="auto"/>
        </w:rPr>
      </w:pPr>
      <w:r>
        <w:rPr>
          <w:rFonts w:ascii="Times New Roman" w:cs="Times New Roman" w:eastAsia="Times New Roman" w:hAnsi="Times New Roman"/>
          <w:sz w:val="12"/>
          <w:szCs w:val="12"/>
          <w:color w:val="auto"/>
        </w:rPr>
        <w:t xml:space="preserve">Notwithstanding the foregoing, whenever, pursuant to the provisions of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of this Certificate of Incorporation, the holders of any one or more series of Preferred Stock shall have the right, voting separately as a series or together with holders of other such series, to elect additional Directors, the election, term of office, filling of vacancies and other features of such directorships shall be governed by the terms of this Certificate of Incorporation including any certificate of designation applicable to such series of Preferred Stock. 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retirement, disqualification or removal. Notwithstanding any other provision of this Certificate of Incorporation,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shall thereupon cease to be qualified as, and shall cease to be, a Director) and the total authorized number of Directors of the Corporation shall automatically be reduced accordingly.</w:t>
      </w:r>
    </w:p>
    <w:p>
      <w:pPr>
        <w:spacing w:after="0" w:line="129" w:lineRule="exact"/>
        <w:rPr>
          <w:sz w:val="20"/>
          <w:szCs w:val="20"/>
          <w:color w:val="auto"/>
        </w:rPr>
      </w:pPr>
    </w:p>
    <w:p>
      <w:pPr>
        <w:ind w:firstLine="208"/>
        <w:spacing w:after="0" w:line="255" w:lineRule="auto"/>
        <w:tabs>
          <w:tab w:leader="none" w:pos="336"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Vacancies and Newly Created Directorships</w:t>
      </w:r>
      <w:r>
        <w:rPr>
          <w:rFonts w:ascii="Times New Roman" w:cs="Times New Roman" w:eastAsia="Times New Roman" w:hAnsi="Times New Roman"/>
          <w:sz w:val="12"/>
          <w:szCs w:val="12"/>
          <w:color w:val="auto"/>
        </w:rPr>
        <w:t xml:space="preserve">. Subject to the rights, if any, of the holders of any series of Preferred Stock to elect Directors and to fill vacancies in the Board relating thereto, any and all vacancies and newly created directorships in the Board, however occurring, including, without limitation, by reason of an increase in the size of the Board, or the death, resignation, disqualification or removal of a Director, shall be filled solely and exclusively by the affirmative vote of a majority of the remaining Directors then in office, even if less than a quorum of the Board, or by a sole remaining Director,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disqualification, death or removal. Subject to the rights, if any, of the holders of any series of Preferred Stock to elect Directors, when the number of Directors is increased or decreased, the Board shall, subject to </w:t>
      </w:r>
      <w:r>
        <w:rPr>
          <w:rFonts w:ascii="Times New Roman" w:cs="Times New Roman" w:eastAsia="Times New Roman" w:hAnsi="Times New Roman"/>
          <w:sz w:val="12"/>
          <w:szCs w:val="12"/>
          <w:u w:val="single" w:color="auto"/>
          <w:color w:val="auto"/>
        </w:rPr>
        <w:t>Article VII</w:t>
      </w:r>
      <w:r>
        <w:rPr>
          <w:rFonts w:ascii="Times New Roman" w:cs="Times New Roman" w:eastAsia="Times New Roman" w:hAnsi="Times New Roman"/>
          <w:sz w:val="12"/>
          <w:szCs w:val="12"/>
          <w:color w:val="auto"/>
        </w:rPr>
        <w:t>, Section 2 hereof, determine the class or classes to which the increased or decreased number of Directors shall be apportioned. In the event of a vacancy in the Board, the remaining Directors, except as otherwise provided by law, shall exercise the powers of the full Board until the vacancy is filled.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99" w:name="page100"/>
    <w:bookmarkEnd w:id="99"/>
    <w:p>
      <w:pPr>
        <w:ind w:right="20" w:firstLine="208"/>
        <w:spacing w:after="0" w:line="260" w:lineRule="auto"/>
        <w:tabs>
          <w:tab w:leader="none" w:pos="336"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Removal</w:t>
      </w:r>
      <w:r>
        <w:rPr>
          <w:rFonts w:ascii="Times New Roman" w:cs="Times New Roman" w:eastAsia="Times New Roman" w:hAnsi="Times New Roman"/>
          <w:sz w:val="12"/>
          <w:szCs w:val="12"/>
          <w:color w:val="auto"/>
        </w:rPr>
        <w:t>. Subject to the rights, if any, of any series of Preferred Stock to elect Directors and to remove any Director whom the holders of any such series have the right to elect, any Director (including persons elected by Directors to fill vacancies on the Board) may be removed from office (i) only for cause and (ii) only by the affirmative vote of the holders of not less than 2/3 of the voting power of the outstanding shares of capital stock then entitled to vote at an election of Directors. At least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VIII</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A. </w:t>
      </w:r>
      <w:r>
        <w:rPr>
          <w:rFonts w:ascii="Times New Roman" w:cs="Times New Roman" w:eastAsia="Times New Roman" w:hAnsi="Times New Roman"/>
          <w:sz w:val="12"/>
          <w:szCs w:val="12"/>
          <w:u w:val="single" w:color="auto"/>
          <w:color w:val="auto"/>
        </w:rPr>
        <w:t>LIMITATION OF LIABILITY</w:t>
      </w:r>
    </w:p>
    <w:p>
      <w:pPr>
        <w:spacing w:after="0" w:line="150" w:lineRule="exact"/>
        <w:rPr>
          <w:sz w:val="20"/>
          <w:szCs w:val="20"/>
          <w:color w:val="auto"/>
        </w:rPr>
      </w:pPr>
    </w:p>
    <w:p>
      <w:pPr>
        <w:ind w:right="40" w:firstLine="208"/>
        <w:spacing w:after="0" w:line="257" w:lineRule="auto"/>
        <w:tabs>
          <w:tab w:leader="none" w:pos="336"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Directors</w:t>
      </w:r>
      <w:r>
        <w:rPr>
          <w:rFonts w:ascii="Times New Roman" w:cs="Times New Roman" w:eastAsia="Times New Roman" w:hAnsi="Times New Roman"/>
          <w:sz w:val="12"/>
          <w:szCs w:val="12"/>
          <w:color w:val="auto"/>
        </w:rPr>
        <w:t>. To the fullest extent permitted by the DGCL, as the same exists or may hereafter be amended from time to time, a Director of the Corporation shall not be personally liable to the Corporation or its stockholders for monetary damages for breach of his or her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of Incorporation to authorize corporate action further eliminating or limiting the personal liability of Directors, then the liability of a Director of the Corporation shall be eliminated or limited to the fullest extent permitted by the DGCL, as so amended.</w:t>
      </w:r>
    </w:p>
    <w:p>
      <w:pPr>
        <w:spacing w:after="0" w:line="125" w:lineRule="exact"/>
        <w:rPr>
          <w:rFonts w:ascii="Times New Roman" w:cs="Times New Roman" w:eastAsia="Times New Roman" w:hAnsi="Times New Roman"/>
          <w:sz w:val="12"/>
          <w:szCs w:val="12"/>
          <w:color w:val="auto"/>
        </w:rPr>
      </w:pPr>
    </w:p>
    <w:p>
      <w:pPr>
        <w:ind w:right="40" w:firstLine="208"/>
        <w:spacing w:after="0" w:line="255" w:lineRule="auto"/>
        <w:tabs>
          <w:tab w:leader="none" w:pos="336"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Officers</w:t>
      </w:r>
      <w:r>
        <w:rPr>
          <w:rFonts w:ascii="Times New Roman" w:cs="Times New Roman" w:eastAsia="Times New Roman" w:hAnsi="Times New Roman"/>
          <w:sz w:val="12"/>
          <w:szCs w:val="12"/>
          <w:color w:val="auto"/>
        </w:rPr>
        <w:t xml:space="preserve">. To the fullest extent permitted by the DGCL, as the same exists or may hereafter be amended from time to time, an Officer (as defined below) of the Corporation shall not be personally liable to the Corporation or its stockholders for monetary damages for breach of his or her fiduciary duty as an officer of the Corporation,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arising from any claim brought by or in the right of the Corporation. If the DGCL is amended after the effective date of this Certificate of Incorporation to authorize corporate action further eliminating or limiting the personal liability of Officers, then the liability of an Officer of the Corporation shall be eliminated or limited to the fullest extent permitted by the DGCL, as so amended. For purposes of this </w:t>
      </w:r>
      <w:r>
        <w:rPr>
          <w:rFonts w:ascii="Times New Roman" w:cs="Times New Roman" w:eastAsia="Times New Roman" w:hAnsi="Times New Roman"/>
          <w:sz w:val="12"/>
          <w:szCs w:val="12"/>
          <w:u w:val="single" w:color="auto"/>
          <w:color w:val="auto"/>
        </w:rPr>
        <w:t>Article VIII</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i w:val="1"/>
          <w:iCs w:val="1"/>
          <w:color w:val="auto"/>
        </w:rPr>
        <w:t>Officer</w:t>
      </w:r>
      <w:r>
        <w:rPr>
          <w:rFonts w:ascii="Times New Roman" w:cs="Times New Roman" w:eastAsia="Times New Roman" w:hAnsi="Times New Roman"/>
          <w:sz w:val="12"/>
          <w:szCs w:val="12"/>
          <w:color w:val="auto"/>
        </w:rPr>
        <w:t>” shall mean an individual who has been duly appointed as an officer of the Corporation and who, at the time of an act or omission as to which liability is asserted, is deemed to have consented to service by the delivery of process to the registered agent of the Corporation as contemplated by 10 Del. C. § 3114(b).</w:t>
      </w:r>
    </w:p>
    <w:p>
      <w:pPr>
        <w:spacing w:after="0" w:line="125" w:lineRule="exact"/>
        <w:rPr>
          <w:rFonts w:ascii="Times New Roman" w:cs="Times New Roman" w:eastAsia="Times New Roman" w:hAnsi="Times New Roman"/>
          <w:sz w:val="12"/>
          <w:szCs w:val="12"/>
          <w:color w:val="auto"/>
        </w:rPr>
      </w:pPr>
    </w:p>
    <w:p>
      <w:pPr>
        <w:ind w:right="360" w:firstLine="208"/>
        <w:spacing w:after="0" w:line="279" w:lineRule="auto"/>
        <w:tabs>
          <w:tab w:leader="none" w:pos="336"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Amendment or Modification</w:t>
      </w:r>
      <w:r>
        <w:rPr>
          <w:rFonts w:ascii="Times New Roman" w:cs="Times New Roman" w:eastAsia="Times New Roman" w:hAnsi="Times New Roman"/>
          <w:sz w:val="12"/>
          <w:szCs w:val="12"/>
          <w:color w:val="auto"/>
        </w:rPr>
        <w:t xml:space="preserve">. Any amendment, repeal or modification of this </w:t>
      </w:r>
      <w:r>
        <w:rPr>
          <w:rFonts w:ascii="Times New Roman" w:cs="Times New Roman" w:eastAsia="Times New Roman" w:hAnsi="Times New Roman"/>
          <w:sz w:val="12"/>
          <w:szCs w:val="12"/>
          <w:u w:val="single" w:color="auto"/>
          <w:color w:val="auto"/>
        </w:rPr>
        <w:t>Article VIII</w:t>
      </w:r>
      <w:r>
        <w:rPr>
          <w:rFonts w:ascii="Times New Roman" w:cs="Times New Roman" w:eastAsia="Times New Roman" w:hAnsi="Times New Roman"/>
          <w:sz w:val="12"/>
          <w:szCs w:val="12"/>
          <w:color w:val="auto"/>
        </w:rPr>
        <w:t xml:space="preserve"> or any amendment to the DGCL shall not adversely affect any right or protection existing at the time of such amendment, repeal or modification with respect to any acts or omissions occurring before such amendment, repeal or modification of a person serving as a Director or Officer, as applicable, at the time of such amendment, repeal or modification.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IX</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A. </w:t>
      </w:r>
      <w:r>
        <w:rPr>
          <w:rFonts w:ascii="Times New Roman" w:cs="Times New Roman" w:eastAsia="Times New Roman" w:hAnsi="Times New Roman"/>
          <w:sz w:val="12"/>
          <w:szCs w:val="12"/>
          <w:u w:val="single" w:color="auto"/>
          <w:color w:val="auto"/>
        </w:rPr>
        <w:t>AMENDMENT OF BYLAWS</w:t>
      </w:r>
    </w:p>
    <w:p>
      <w:pPr>
        <w:spacing w:after="0" w:line="150" w:lineRule="exact"/>
        <w:rPr>
          <w:sz w:val="20"/>
          <w:szCs w:val="20"/>
          <w:color w:val="auto"/>
        </w:rPr>
      </w:pPr>
    </w:p>
    <w:p>
      <w:pPr>
        <w:ind w:left="320" w:hanging="112"/>
        <w:spacing w:after="0"/>
        <w:tabs>
          <w:tab w:leader="none" w:pos="32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Amendment by Directors</w:t>
      </w:r>
      <w:r>
        <w:rPr>
          <w:rFonts w:ascii="Times New Roman" w:cs="Times New Roman" w:eastAsia="Times New Roman" w:hAnsi="Times New Roman"/>
          <w:sz w:val="12"/>
          <w:szCs w:val="12"/>
          <w:color w:val="auto"/>
        </w:rPr>
        <w:t>. Except as otherwise provided by law, the Bylaws of the Corporation may be adopted, amended or repealed by the Board by the affirmative vote of a majority of the Directors then in office.</w:t>
      </w:r>
    </w:p>
    <w:p>
      <w:pPr>
        <w:spacing w:after="0" w:line="150" w:lineRule="exact"/>
        <w:rPr>
          <w:rFonts w:ascii="Times New Roman" w:cs="Times New Roman" w:eastAsia="Times New Roman" w:hAnsi="Times New Roman"/>
          <w:sz w:val="12"/>
          <w:szCs w:val="12"/>
          <w:color w:val="auto"/>
        </w:rPr>
      </w:pPr>
    </w:p>
    <w:p>
      <w:pPr>
        <w:ind w:firstLine="208"/>
        <w:spacing w:after="0" w:line="265" w:lineRule="auto"/>
        <w:tabs>
          <w:tab w:leader="none" w:pos="336"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Amendment by Stockholders</w:t>
      </w:r>
      <w:r>
        <w:rPr>
          <w:rFonts w:ascii="Times New Roman" w:cs="Times New Roman" w:eastAsia="Times New Roman" w:hAnsi="Times New Roman"/>
          <w:sz w:val="12"/>
          <w:szCs w:val="12"/>
          <w:color w:val="auto"/>
        </w:rPr>
        <w:t xml:space="preserve">. Except as otherwise provided therein, the Bylaws of the Corporation may be amended or repealed by the stockholders by the affirmative vote of the holders of at least 2/3 of the voting power of the outstanding shares of capital stock entitled to vote on such amendment or repeal, voting together as a single class;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if the Board recommends that stockholders approve such amendment or repeal, such amendment or repeal shall only require the affirmative vote of the holders of a majority of the voting power of the outstanding shares of capital stock entitled to vote on such amendment or repeal, voting together as a single class.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100" w:name="page101"/>
    <w:bookmarkEnd w:id="100"/>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ARTICLE X</w:t>
      </w:r>
    </w:p>
    <w:p>
      <w:pPr>
        <w:spacing w:after="0" w:line="1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 xml:space="preserve">A. </w:t>
      </w:r>
      <w:r>
        <w:rPr>
          <w:rFonts w:ascii="Times New Roman" w:cs="Times New Roman" w:eastAsia="Times New Roman" w:hAnsi="Times New Roman"/>
          <w:sz w:val="12"/>
          <w:szCs w:val="12"/>
          <w:u w:val="single" w:color="auto"/>
          <w:color w:val="auto"/>
        </w:rPr>
        <w:t>AMENDMENT OF CERTIFICATE OF INCORPORATION</w:t>
      </w:r>
    </w:p>
    <w:p>
      <w:pPr>
        <w:spacing w:after="0" w:line="150"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The Corporation reserves the right to amend or repeal this Certificate of Incorporation in the manner now or hereafter prescribed by statute and this Certificate of Incorporation, and all rights conferred upon stockholders herein are granted subject to this reservation. For the avoidance of doubt, the provisions of Sections 242(d)(1) and (d)(2) of the DGCL shall apply to the Corporation.</w:t>
      </w:r>
    </w:p>
    <w:p>
      <w:pPr>
        <w:spacing w:after="0" w:line="1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Follows</w:t>
      </w:r>
      <w:r>
        <w:rPr>
          <w:rFonts w:ascii="Times New Roman" w:cs="Times New Roman" w:eastAsia="Times New Roman" w:hAnsi="Times New Roman"/>
          <w:sz w:val="12"/>
          <w:szCs w:val="12"/>
          <w:color w:val="auto"/>
        </w:rPr>
        <w:t>]</w:t>
      </w:r>
    </w:p>
    <w:p>
      <w:pPr>
        <w:spacing w:after="0" w:line="2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20"/>
          </w:cols>
          <w:pgMar w:left="300" w:top="647" w:right="379" w:bottom="1440" w:gutter="0" w:footer="0" w:header="0"/>
        </w:sectPr>
      </w:pPr>
    </w:p>
    <w:bookmarkStart w:id="101" w:name="page102"/>
    <w:bookmarkEnd w:id="101"/>
    <w:p>
      <w:pPr>
        <w:ind w:left="200"/>
        <w:spacing w:after="0"/>
        <w:rPr>
          <w:sz w:val="20"/>
          <w:szCs w:val="20"/>
          <w:color w:val="auto"/>
        </w:rPr>
      </w:pPr>
      <w:r>
        <w:rPr>
          <w:rFonts w:ascii="Times New Roman" w:cs="Times New Roman" w:eastAsia="Times New Roman" w:hAnsi="Times New Roman"/>
          <w:sz w:val="12"/>
          <w:szCs w:val="12"/>
          <w:color w:val="auto"/>
        </w:rPr>
        <w:t>THIS CERTIFICATE OF INCORPORATION is executed this [        ] day of [        ], 202[  ].</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FACTORIAL HOLDINGS, INC.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10795</wp:posOffset>
            </wp:positionV>
            <wp:extent cx="322897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Name: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Title:</w:t>
      </w:r>
    </w:p>
    <w:p>
      <w:pPr>
        <w:spacing w:after="0" w:line="283"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51" w:right="1440" w:bottom="1440" w:gutter="0" w:footer="0" w:header="0"/>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2"/>
          <w:szCs w:val="12"/>
          <w:b w:val="1"/>
          <w:bCs w:val="1"/>
          <w:i w:val="1"/>
          <w:iCs w:val="1"/>
          <w:color w:val="auto"/>
        </w:rPr>
        <w:t>Exhibit F</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i w:val="1"/>
          <w:iCs w:val="1"/>
          <w:color w:val="auto"/>
        </w:rPr>
        <w:t>Form of CGC Bylaws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297815</wp:posOffset>
            </wp:positionV>
            <wp:extent cx="717804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7" w:right="1440"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2"/>
          <w:szCs w:val="12"/>
          <w:color w:val="auto"/>
        </w:rPr>
        <w:t>Final Form</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BYLAWS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FACTORIAL HOLDINGS, INC.</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“Corporation”)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u w:val="single" w:color="auto"/>
          <w:color w:val="auto"/>
        </w:rPr>
        <w:t>ARTICLE I</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u w:val="single" w:color="auto"/>
          <w:color w:val="auto"/>
        </w:rPr>
        <w:t>Stockholders</w:t>
      </w:r>
    </w:p>
    <w:p>
      <w:pPr>
        <w:spacing w:after="0" w:line="150"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2"/>
          <w:szCs w:val="12"/>
          <w:color w:val="auto"/>
        </w:rPr>
        <w:t>SECTION 1.      </w:t>
      </w:r>
      <w:r>
        <w:rPr>
          <w:rFonts w:ascii="Times New Roman" w:cs="Times New Roman" w:eastAsia="Times New Roman" w:hAnsi="Times New Roman"/>
          <w:sz w:val="12"/>
          <w:szCs w:val="12"/>
          <w:u w:val="single" w:color="auto"/>
          <w:color w:val="auto"/>
        </w:rPr>
        <w:t>  Annual Meeting</w:t>
      </w:r>
      <w:r>
        <w:rPr>
          <w:rFonts w:ascii="Times New Roman" w:cs="Times New Roman" w:eastAsia="Times New Roman" w:hAnsi="Times New Roman"/>
          <w:sz w:val="12"/>
          <w:szCs w:val="12"/>
          <w:color w:val="auto"/>
        </w:rPr>
        <w:t>. The annual meeting of stockholders (any such meeting being referred to in these Bylaws as an “Annual Meeting”) shall be held at the hour, date and place within or without the United States that is fixed by or in the manner determined by the Board of Directors and stated in the notice of the meeting, which time, date and place may subsequently be changed at any time, before or after the notice for such meeting has been sent to the stockholders, by vote of the Board of Directors. The Board of Directors may, in its sole discretion, determine that a meeting of stockholders shall not be held at any place, but may instead be held solely by means of remote communication as authorized by Section 211(a)(2) of the General Corporation Law of the State of Delaware (the “DGCL”). In the absence of any such designation or determination, stockholders’ meetings shall be held at the Corporation’s principal executive office.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2.      </w:t>
      </w:r>
      <w:r>
        <w:rPr>
          <w:rFonts w:ascii="Times New Roman" w:cs="Times New Roman" w:eastAsia="Times New Roman" w:hAnsi="Times New Roman"/>
          <w:sz w:val="12"/>
          <w:szCs w:val="12"/>
          <w:u w:val="single" w:color="auto"/>
          <w:color w:val="auto"/>
        </w:rPr>
        <w:t>  Notice of Stockholder Business and Nominations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Annual Meetings of Stockholders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right="40" w:firstLine="432"/>
        <w:spacing w:after="0" w:line="255" w:lineRule="auto"/>
        <w:rPr>
          <w:sz w:val="20"/>
          <w:szCs w:val="20"/>
          <w:color w:val="auto"/>
        </w:rPr>
      </w:pPr>
      <w:r>
        <w:rPr>
          <w:rFonts w:ascii="Times New Roman" w:cs="Times New Roman" w:eastAsia="Times New Roman" w:hAnsi="Times New Roman"/>
          <w:sz w:val="12"/>
          <w:szCs w:val="12"/>
          <w:color w:val="auto"/>
        </w:rPr>
        <w:t>(1)            Nominations of persons for election to the Board of Directors of the Corporation (the “Board of Directors”) and the proposal of other business to be considered by the stockholders may be brought before an Annual Meeting (i) by or at the direction of the Board of Directors or (ii) by any stockholder of the Corporation who was a stockholder of record at the time of giving of notice of the Annual Meeting provided for in this Bylaw, who is entitled to vote at the meeting, who is present (in person or by proxy) at the meeting and who complies with the notice procedures set forth in this Bylaw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“Exchange Act”)), and such stockholder must comply with the notice and other procedures set forth in Article I, Sections 2(a)(2), (3) and (4) of this Bylaw to bring such nominations or business properly before an Annual Meeting. In addition to the other requirements set forth in this Bylaw, for any proposal of business to be considered at an Annual Meeting, it must be a proper subject for action by stockholders of the Corporation under 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281305</wp:posOffset>
            </wp:positionV>
            <wp:extent cx="717804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69" w:right="299" w:bottom="1440" w:gutter="0" w:footer="0" w:header="0"/>
        </w:sectPr>
      </w:pPr>
    </w:p>
    <w:bookmarkStart w:id="104" w:name="page105"/>
    <w:bookmarkEnd w:id="104"/>
    <w:p>
      <w:pPr>
        <w:ind w:right="20" w:firstLine="432"/>
        <w:spacing w:after="0" w:line="254" w:lineRule="auto"/>
        <w:rPr>
          <w:sz w:val="20"/>
          <w:szCs w:val="20"/>
          <w:color w:val="auto"/>
        </w:rPr>
      </w:pPr>
      <w:r>
        <w:rPr>
          <w:rFonts w:ascii="Times New Roman" w:cs="Times New Roman" w:eastAsia="Times New Roman" w:hAnsi="Times New Roman"/>
          <w:sz w:val="12"/>
          <w:szCs w:val="12"/>
          <w:color w:val="auto"/>
        </w:rPr>
        <w:t>(2)            For nominations or other business to be properly brought before an Annual Meeting by a stockholder pursuant to clause (ii) of Article I, Section 2(a)(1) of this Bylaw, the stockholder must (i) have given Timely Notice (as defined below) thereof in writing to the Secretary of the Corporation, (ii) have provided any updates or supplements to such notice at the times and in the forms required by this Bylaw and (iii) together with the beneficial owner(s), if any, on whose behalf the nomination or business proposal is made, have acted in accordance with the representations set forth in the Solicitation Statement (as defined below) required by this Bylaw. To be timely, a stockholder’s written notice must be received by the Secretary at the principal executive offices of the Corporation not later than 5:00 p.m. Eastern time on the ninetieth (90th) day nor earlier than 5:00 p.m. Eastern Time on the one hundred twentieth (120th) day prior to the one-year anniversary of the preceding year’s Annual Meeting; provided, however, that in the event the Annual Meeting is first convened more than thirty (30) days before or more than sixty (60) days after such anniversary date, or if no Annual Meeting was held in the preceding year, notice by the stockholder to be timely must be received by the Secretary of the Corporation not later than 5:00 p.m. Eastern time on the later of the ninetieth (90th) day prior to the scheduled date of such Annual Meeting or the tenth (10th) day following the day on which public announcement of the date of such meeting is first made (such notice within such time periods shall be referred to as “Timely Notice”). Such stockholder’s Timely Notice shall set forth or include:</w:t>
      </w:r>
    </w:p>
    <w:p>
      <w:pPr>
        <w:spacing w:after="0" w:line="128" w:lineRule="exact"/>
        <w:rPr>
          <w:sz w:val="20"/>
          <w:szCs w:val="20"/>
          <w:color w:val="auto"/>
        </w:rPr>
      </w:pPr>
    </w:p>
    <w:p>
      <w:pPr>
        <w:ind w:left="440" w:firstLine="432"/>
        <w:spacing w:after="0" w:line="253" w:lineRule="auto"/>
        <w:rPr>
          <w:sz w:val="20"/>
          <w:szCs w:val="20"/>
          <w:color w:val="auto"/>
        </w:rPr>
      </w:pPr>
      <w:r>
        <w:rPr>
          <w:rFonts w:ascii="Times New Roman" w:cs="Times New Roman" w:eastAsia="Times New Roman" w:hAnsi="Times New Roman"/>
          <w:sz w:val="12"/>
          <w:szCs w:val="12"/>
          <w:color w:val="auto"/>
        </w:rPr>
        <w:t>(A)            as to each person whom the stockholder proposes to nominate for election or reelection as a director, (i) the name, age, business address and residence address of the nominee, (ii) the principal occupation or employment of the nominee, (iii) the class and number of shares of capital stock of the Corporation that are held of record or are beneficially owned by the nominee or its Affiliates or Associates (each as defined below) and any Synthetic Equity Interest (as defined below) held or beneficially owned by the nominee or its Affiliates or Associates, (iv) a description of all agreements, arrangements or understandings between or among the stockholder and each nominee and any other person or persons (naming such person or persons) pursuant to which the nominations are to be made by the stockholder or concerning the nominee’s potential service on the Board of Directors, (v) a questionnaire with respect to the background and qualifications of the nominee completed by the nominee in the form provided by the Corporation (which questionnaire shall be provided by the Secretary upon written request of any stockholder of record identified by name within five (5) business days of such written request), (vi) a representation and agreement in the form provided by the Corporation (which form shall be provided by the Secretary upon written request of any stockholder of record identified by name within five (5) business days of such written request) that:</w:t>
      </w:r>
    </w:p>
    <w:p>
      <w:pPr>
        <w:spacing w:after="0" w:line="1" w:lineRule="exact"/>
        <w:rPr>
          <w:sz w:val="20"/>
          <w:szCs w:val="20"/>
          <w:color w:val="auto"/>
        </w:rPr>
      </w:pPr>
    </w:p>
    <w:p>
      <w:pPr>
        <w:ind w:left="440" w:right="20" w:hanging="4"/>
        <w:spacing w:after="0" w:line="251" w:lineRule="auto"/>
        <w:tabs>
          <w:tab w:leader="none" w:pos="603"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proposed nominee is not and will not become party to any agreement, arrangement or understanding with any person or entity as to how such proposed nominee, if elected as a director of the Corporation, will act or vote on any issue or question (a “Voting Commitment”) that has not been disclosed to the Corporation in the questionnaire described in clause (v) herein; (b) such proposed nominee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in the questionnaire described in clause (v) herein; (c) such proposed nominee would, if elected as a director, comply with all applicable rules and regulations of the exchanges upon which shares of the Corporation’s capital stock trade, each of the Corporation’s corporate governance, ethics, conflict of interest, confidentiality, stock ownership and trading policies and guidelines applicable generally to the Corporation’s directors and, if elected as a director of the Corporation, such person currently would be in compliance with any such policies and guidelines that have been publicly disclosed; (d) such proposed nominee intends to serve as a director for the full term for which he or she is to stand for election; and (e) such proposed nominee will promptly provide to the Corporation such other information as it may reasonably request to determine the eligibility of such proposed nominee to serve on any committee or sub-committee of the Board of Directors under any applicable stock exchange listing requirements or applicable law, or that the Board of Directors reasonably determines could be material to a reasonable stockholder’s understanding of the background, qualifications, experience, independence, or lack thereof, of such proposed nominee; and (vii) any other information relating to such proposed nominee that is required to be disclosed in solicitations of proxies for election of directors in an election contest, or is otherwise required, in each case pursuant to Regulation 14A under the Exchange Act (including, without limitation, such person’s written consent to being named in the proxy statement as a nominee and to serving as a director if elected);</w:t>
      </w:r>
    </w:p>
    <w:p>
      <w:pPr>
        <w:spacing w:after="0" w:line="27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60"/>
          </w:cols>
          <w:pgMar w:left="720" w:top="651" w:right="319" w:bottom="1440" w:gutter="0" w:footer="0" w:header="0"/>
        </w:sectPr>
      </w:pPr>
    </w:p>
    <w:bookmarkStart w:id="105" w:name="page106"/>
    <w:bookmarkEnd w:id="105"/>
    <w:p>
      <w:pPr>
        <w:ind w:right="80" w:firstLine="432"/>
        <w:spacing w:after="0" w:line="279" w:lineRule="auto"/>
        <w:rPr>
          <w:sz w:val="20"/>
          <w:szCs w:val="20"/>
          <w:color w:val="auto"/>
        </w:rPr>
      </w:pPr>
      <w:r>
        <w:rPr>
          <w:rFonts w:ascii="Times New Roman" w:cs="Times New Roman" w:eastAsia="Times New Roman" w:hAnsi="Times New Roman"/>
          <w:sz w:val="12"/>
          <w:szCs w:val="12"/>
          <w:color w:val="auto"/>
        </w:rPr>
        <w:t>(B)            as to any other business that the stockholder proposes to bring before the meeting: a brief description of the business desired to be brought before the meeting, the reasons for conducting such business at the meeting, the text, if any, of any resolutions or Bylaw amendment proposed for adoption, and any material interest in such business of each Proposing Person (as defined below);</w:t>
      </w:r>
    </w:p>
    <w:p>
      <w:pPr>
        <w:spacing w:after="0" w:line="111" w:lineRule="exact"/>
        <w:rPr>
          <w:sz w:val="20"/>
          <w:szCs w:val="20"/>
          <w:color w:val="auto"/>
        </w:rPr>
      </w:pPr>
    </w:p>
    <w:p>
      <w:pPr>
        <w:ind w:firstLine="432"/>
        <w:spacing w:after="0" w:line="276" w:lineRule="auto"/>
        <w:rPr>
          <w:sz w:val="20"/>
          <w:szCs w:val="20"/>
          <w:color w:val="auto"/>
        </w:rPr>
      </w:pPr>
      <w:r>
        <w:rPr>
          <w:rFonts w:ascii="Times New Roman" w:cs="Times New Roman" w:eastAsia="Times New Roman" w:hAnsi="Times New Roman"/>
          <w:sz w:val="11"/>
          <w:szCs w:val="11"/>
          <w:color w:val="auto"/>
        </w:rPr>
        <w:t>(C)            (i)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that are, directly or indirectly, owned beneficially or of record by such Proposing Person or any of its Affiliates or Associates, including any shares of any class or series of capital stock of the Corporation as to which such Proposing Person or any of its Affiliates or Associates has a right to acquire beneficial ownership at any time in the future (whether or not such right is exercisable immediately or only after the passage of time or upon the satisfaction of any conditions or both) pursuant to any agreement, arrangement or understanding (whether or not in writing),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(1) whether or not such Synthetic Equity Interest conveys any voting rights, directly or indirectly, in such shares to such Proposing Person or any of its Affiliates or Associates and (2) whether or not such Synthetic Equity Interest is required to be, or is capable of being, settled through delivery of such shares, (c) any proxy (other than a revocable proxy given in response to a public proxy solicitation made pursuant to, and in accordance with, the Exchange Act), agreement, arrangement, understanding or relationship pursuant to which such Proposing Person or any of its Affiliates or Associates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or any of its Affiliates or Associates that are separated or separable from the underlying shares of the Corporation, (e) if such Proposing Person is not a natural person, the identity of the natural person or persons responsible for making voting and investment decisions (including director nominations and any other business that the stockholder proposes to bring before a meeting) on behalf of the Proposing Person (irrespective of whether such person or persons have “beneficial ownership” for purposes of Rule 13d-3 of the Exchange Act of any securities owned of record or beneficially by the Proposing Person) (such person or persons, the “Responsible Person”), (f) any pending or threatened litigation in which such Proposing Person or any of its Affiliates or Associates or any Responsible Person is a party involving the Corporation or any of its officers or directors, or any Affiliate of the Corporation, and (g) any other information relating to such Proposing Person or any of its Affiliates or Associates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(g) are referred to, collectively, as “Material Ownership Interests”); provided, however, that the Material Ownership Interests shall not include any such disclosures with respect to the ordinary course business activities of any broker, dealer, commercial bank, trust company or other nominee who is a Proposing Person solely as a result of being the stockholder of record directed to prepare and submit the notice required by these Bylaws on behalf of a beneficial owner;</w:t>
      </w:r>
    </w:p>
    <w:p>
      <w:pPr>
        <w:spacing w:after="0" w:line="262"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2"/>
          <w:szCs w:val="12"/>
          <w:color w:val="auto"/>
        </w:rPr>
        <w:t>(D)            (i) a description of all agreements, arrangements or understandings to which any Proposing Person or any of its Affiliates or Associates is a party (whether the counterparty or counterparties are a Proposing Person or any Affiliate or Associate thereof, on the one hand, or one or more other third parties, on the other hand, (including any proposed nominee(s)) (a) pertaining to the nomination(s) or other business proposed to be brought before the meeting of stockholders or (b) entered into for the purpose of acquiring, holding, disposing or voting of any shares of any class or series of capital stock of the Corporation (which description shall identify the name of each other person who is party to such an agreement, arrangement or understanding) and (ii) identification of the names and addresses of other stockholders (including beneficial owners) known by any of the Proposing Persons to be providing financial support or meaningful assistance in furtherance of the nomination(s) or other business proposed to be brought before the meeting of stockholders and, to the extent known, the class and number of all shares of the Corporation’s capital stock owned beneficially or of record by such other stockholder(s) or other beneficial owner(s); and</w:t>
      </w:r>
    </w:p>
    <w:p>
      <w:pPr>
        <w:spacing w:after="0" w:line="26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10795</wp:posOffset>
            </wp:positionV>
            <wp:extent cx="717804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20"/>
          </w:cols>
          <w:pgMar w:left="1160" w:top="651" w:right="319" w:bottom="1440" w:gutter="0" w:footer="0" w:header="0"/>
        </w:sectPr>
      </w:pPr>
    </w:p>
    <w:bookmarkStart w:id="106" w:name="page107"/>
    <w:bookmarkEnd w:id="106"/>
    <w:p>
      <w:pPr>
        <w:ind w:left="440" w:firstLine="432"/>
        <w:spacing w:after="0" w:line="253" w:lineRule="auto"/>
        <w:rPr>
          <w:sz w:val="20"/>
          <w:szCs w:val="20"/>
          <w:color w:val="auto"/>
        </w:rPr>
      </w:pPr>
      <w:r>
        <w:rPr>
          <w:rFonts w:ascii="Times New Roman" w:cs="Times New Roman" w:eastAsia="Times New Roman" w:hAnsi="Times New Roman"/>
          <w:sz w:val="12"/>
          <w:szCs w:val="12"/>
          <w:color w:val="auto"/>
        </w:rPr>
        <w:t>(E)            a statement (i) that the stockholder is a holder of record of capital stock of the Corporation entitled to vote at such meeting, a representation that such stockholder intends to appear in person or by proxy at the meeting to propose such business or nominees and an acknowledgement that, if such stockholder (or a qualified representative of such stockholder) does not appear to present such business or proposed nominees, as applicable, at such meeting, the Corporation need not present such business or proposed nominees for a vote at such meeting, notwithstanding that proxies in respect of such vote may have been received by the Corporation, (ii) whether or not the stockholder giving the notice and/or the other Proposing Person(s), if any, (a)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67 percent of the voting power of all of the shares of capital stock of the Corporation entitled to vote on the election of directors or (b) otherwise solicit proxies or votes from stockholders in support of such proposal or nomination, as applicable, (iii) providing a representation as to whether or not such Proposing Person intends to solicit proxies in support of director nominees other than the Corporation’s director nominees in accordance with Rule 14a-19 promulgated under the Exchange Act and (iv) that the stockholder will provide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(such statement, the “Solicitation Statement”).</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2"/>
          <w:szCs w:val="12"/>
          <w:color w:val="auto"/>
        </w:rPr>
        <w:t>For purposes of this Article I, the term “Proposing Person”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Section 2, each of the terms “Affiliates” and “Associates” shall have the meaning attributed to such term in Rule 12b-2 under the Exchange Act. For purposes of this Section 2, the term “Synthetic Equity Interest” shall mean any transaction, agreement or arrangement (or series of transactions, agreements or arrangements), including, without limitation, any derivative, swap, hedge, repurchase or so-called “stock borrowing” or securities lending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share in any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or (c) increase or decrease the voting power of any person or entity with respect to any shares of any class or series of capital stock of the Corporation.</w:t>
      </w:r>
    </w:p>
    <w:p>
      <w:pPr>
        <w:spacing w:after="0" w:line="128"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2"/>
          <w:szCs w:val="12"/>
          <w:color w:val="auto"/>
        </w:rPr>
        <w:t>(3)            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this Bylaw shall be true and correct as of the record date for the meeting and as of the date that is ten (10) business days prior to such Annual Meeting, and such update and supplement shall be received by the Secretary at the principal executive offices of the Corporation not later than 5:00 p.m. Eastern time on the fifth (5th) business day after the record date for the Annual Meeting (in the case of the update and supplement required to be made as of the record date), and not later than 5:00 p.m. Eastern time on the eighth (8th) business day prior to the date of the Annual Meeting (in the case of the update and supplement required to be made as of ten (10) business days prior to the meeting). For the avoidance of doubt, the obligation to update as set forth in this Section 2(a)(3)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nomination or to submit any new proposal, including by changing or adding nominees, matters, business and/or resolutions proposed to be brought before a meeting of the stockholders. Notwithstanding the foregoing, if a Proposing Person no longer plans to solicit proxies in accordance with its representation pursuant to Article I, Section 2(a)(2)(E), such Proposing Person shall inform the Corporation of this change by delivering a written notice to the Secretary at the principal executive offices of the Corporation no later than two (2) business days after making the determination not to proceed with a solicitation of proxies. A Proposing Person shall also update its notice so that the information required by Article I, Section 2(a)(2)(C) is current through the date of the meeting or any adjournment, postponement or rescheduling thereof, and such update shall be delivered in writing to the secretary at the principal executive offices of the Corporation no later than two (2) business days after the occurrence of any material change to the information previously disclosed pursuant to Article I, Section 2(a)(2)(C).</w:t>
      </w:r>
    </w:p>
    <w:p>
      <w:pPr>
        <w:spacing w:after="0" w:line="27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60"/>
          </w:cols>
          <w:pgMar w:left="720" w:top="651" w:right="319" w:bottom="1440" w:gutter="0" w:footer="0" w:header="0"/>
        </w:sectPr>
      </w:pPr>
    </w:p>
    <w:bookmarkStart w:id="107" w:name="page108"/>
    <w:bookmarkEnd w:id="107"/>
    <w:p>
      <w:pPr>
        <w:jc w:val="both"/>
        <w:ind w:right="20" w:firstLine="432"/>
        <w:spacing w:after="0" w:line="291" w:lineRule="auto"/>
        <w:rPr>
          <w:sz w:val="20"/>
          <w:szCs w:val="20"/>
          <w:color w:val="auto"/>
        </w:rPr>
      </w:pPr>
      <w:r>
        <w:rPr>
          <w:rFonts w:ascii="Times New Roman" w:cs="Times New Roman" w:eastAsia="Times New Roman" w:hAnsi="Times New Roman"/>
          <w:sz w:val="11"/>
          <w:szCs w:val="11"/>
          <w:color w:val="auto"/>
        </w:rPr>
        <w:t>(4)            Notwithstanding anything in the second sentence of Article I, Section 2(a)(2) of this Bylaw to the contrary, in the event that the number of directors to be elected to the Board of Directors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Article I, Section 2(a)(2), a stockholder’s notice required by this Bylaw shall also be considered timely, but only with respect to nominees for any new positions created by such increase, if it shall be received by the Secretary of the Corporation not later than 5:00 p.m. Eastern time on the tenth (10th) day following the day on which such public announcement is first made by the Corporation.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General</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2"/>
          <w:szCs w:val="12"/>
          <w:color w:val="auto"/>
        </w:rPr>
        <w:t>(1)            Only such persons who are nominated in accordance with the provisions of this Bylaw shall be eligible for election and to serve as directors, and only such business shall be conducted at an Annual Meeting as shall have been brought before the meeting in accordance with the provisions of this Bylaw or in accordance with Rule 14a-8 under the Exchange Act. The Board of Directors or a designated committee thereof shall have the power to determine whether a nomination or any business proposed to be brought before the meeting was made in accordance with the provisions of this Bylaw. If neither the Board of Directors nor such designated committee makes a determination as to whether any stockholder proposal or nomination was made in accordance with the provisions of this Bylaw, the chair of the meeting (as defined in Section 9 of this Article I) shall have the power and duty to determine whether the stockholder proposal or nomination was made in accordance with the provisions of this Bylaw. If the Board of Directors or a designated committee thereof or the chair of the meeting, as applicable, determines that any stockholder proposal or nomination was not made in accordance with the provisions of this Bylaw, such proposal or nomination shall be disregarded and shall not be presented for action at the Annual Meeting.</w:t>
      </w:r>
    </w:p>
    <w:p>
      <w:pPr>
        <w:spacing w:after="0" w:line="126"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(2)            Except as otherwise required by law, nothing in this Article I, Section 2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111" w:lineRule="exact"/>
        <w:rPr>
          <w:sz w:val="20"/>
          <w:szCs w:val="20"/>
          <w:color w:val="auto"/>
        </w:rPr>
      </w:pPr>
    </w:p>
    <w:p>
      <w:pPr>
        <w:ind w:firstLine="432"/>
        <w:spacing w:after="0" w:line="257" w:lineRule="auto"/>
        <w:rPr>
          <w:sz w:val="20"/>
          <w:szCs w:val="20"/>
          <w:color w:val="auto"/>
        </w:rPr>
      </w:pPr>
      <w:r>
        <w:rPr>
          <w:rFonts w:ascii="Times New Roman" w:cs="Times New Roman" w:eastAsia="Times New Roman" w:hAnsi="Times New Roman"/>
          <w:sz w:val="12"/>
          <w:szCs w:val="12"/>
          <w:color w:val="auto"/>
        </w:rPr>
        <w:t>(3)            Notwithstanding the foregoing provisions of this Article I, Section 2,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Article I, Section 2,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chair of the meeting at the meeting of stockholders.</w:t>
      </w:r>
    </w:p>
    <w:p>
      <w:pPr>
        <w:spacing w:after="0" w:line="26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40"/>
          </w:cols>
          <w:pgMar w:left="720" w:top="651" w:right="339" w:bottom="1440" w:gutter="0" w:footer="0" w:header="0"/>
        </w:sectPr>
      </w:pPr>
    </w:p>
    <w:bookmarkStart w:id="108" w:name="page109"/>
    <w:bookmarkEnd w:id="108"/>
    <w:p>
      <w:pPr>
        <w:ind w:left="420" w:right="240" w:firstLine="432"/>
        <w:spacing w:after="0" w:line="279" w:lineRule="auto"/>
        <w:rPr>
          <w:sz w:val="20"/>
          <w:szCs w:val="20"/>
          <w:color w:val="auto"/>
        </w:rPr>
      </w:pPr>
      <w:r>
        <w:rPr>
          <w:rFonts w:ascii="Times New Roman" w:cs="Times New Roman" w:eastAsia="Times New Roman" w:hAnsi="Times New Roman"/>
          <w:sz w:val="12"/>
          <w:szCs w:val="12"/>
          <w:color w:val="auto"/>
        </w:rPr>
        <w:t>(4)            For purposes of this Bylaw, “public announcement” shall mean disclosure in a press release reported by the Dow Jones News Service, Associated Press or comparable national news service or in a document publicly filed by the Corporation with the Securities and Exchange Commission (“SEC”) pursuant to Section 13, 14 or 15(d) of the Exchange Act.</w:t>
      </w:r>
    </w:p>
    <w:p>
      <w:pPr>
        <w:spacing w:after="0" w:line="111" w:lineRule="exact"/>
        <w:rPr>
          <w:sz w:val="20"/>
          <w:szCs w:val="20"/>
          <w:color w:val="auto"/>
        </w:rPr>
      </w:pPr>
    </w:p>
    <w:p>
      <w:pPr>
        <w:ind w:left="420" w:right="60" w:firstLine="432"/>
        <w:spacing w:after="0" w:line="265" w:lineRule="auto"/>
        <w:rPr>
          <w:sz w:val="20"/>
          <w:szCs w:val="20"/>
          <w:color w:val="auto"/>
        </w:rPr>
      </w:pPr>
      <w:r>
        <w:rPr>
          <w:rFonts w:ascii="Times New Roman" w:cs="Times New Roman" w:eastAsia="Times New Roman" w:hAnsi="Times New Roman"/>
          <w:sz w:val="12"/>
          <w:szCs w:val="12"/>
          <w:color w:val="auto"/>
        </w:rPr>
        <w:t>(5)            Notwithstanding the foregoing provisions of this Bylaw, a stockholder shall also comply with all applicable requirements of the Exchange Act and the rules and regulations thereunder, including, but not limited to, Rule 14a-19 of the Exchange Act, with respect to the matters set forth in this Bylaw. If a stockholder fails to comply with any applicable requirements of the Exchange Act, including, but not limited to, Rule 14a-19 promulgated thereunder, such stockholder’s proposed nomination or proposed business shall be deemed to have not been made in compliance with this Bylaw and shall be disregarded.</w:t>
      </w:r>
    </w:p>
    <w:p>
      <w:pPr>
        <w:spacing w:after="0" w:line="119" w:lineRule="exact"/>
        <w:rPr>
          <w:sz w:val="20"/>
          <w:szCs w:val="20"/>
          <w:color w:val="auto"/>
        </w:rPr>
      </w:pPr>
    </w:p>
    <w:p>
      <w:pPr>
        <w:ind w:left="420" w:right="180" w:firstLine="432"/>
        <w:spacing w:after="0" w:line="280" w:lineRule="auto"/>
        <w:rPr>
          <w:sz w:val="20"/>
          <w:szCs w:val="20"/>
          <w:color w:val="auto"/>
        </w:rPr>
      </w:pPr>
      <w:r>
        <w:rPr>
          <w:rFonts w:ascii="Times New Roman" w:cs="Times New Roman" w:eastAsia="Times New Roman" w:hAnsi="Times New Roman"/>
          <w:sz w:val="11"/>
          <w:szCs w:val="11"/>
          <w:color w:val="auto"/>
        </w:rPr>
        <w:t>(6)            Further notwithstanding the foregoing provisions of this Bylaw, unless otherwise required by law, (i) no Proposing Person shall solicit proxies in support of director nominees other than the Corporation’s nominees unless such Proposing Person has complied with Rule 14a-19 promulgated under the Exchange Act in connection with the solicitation of such proxies, including the provision to the Corporation of notices required thereunder with timely notice and (ii) if any Proposing Person (A) provides notice pursuant to Rule 14a-19(b) promulgated under the Exchange Act, (B) subsequently fails to comply with the requirements of Rule 14a-19(a)</w:t>
      </w:r>
    </w:p>
    <w:p>
      <w:pPr>
        <w:ind w:left="420" w:right="20" w:firstLine="4"/>
        <w:spacing w:after="0" w:line="253" w:lineRule="auto"/>
        <w:tabs>
          <w:tab w:leader="none" w:pos="59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or Rule 14a-19(a)(3) promulgated under the Exchange Act, including the provision to the Corporation of notices required thereunder with timely notice and (C) no other Proposing Person has provided notice pursuant to, and in compliance with, Rule 14a-19 under the Exchange Act that it intends to solicit proxies in support of the election of such proposed nominee in accordance with Rule 14a-19(b) under the Exchange Act, then such proposed nominee shall be disqualified from nomination, the Corporation shall disregard the nomination of such proposed nominee and no vote on the election of such proposed nominee shall occur. Upon request by the Corporation, if any Proposing Person provides notice pursuant to Rule 14a-19(b) promulgated under the Exchange Act, such Proposing Person shall deliver to the Corporation, no later than five (5) business days prior to the applicable meeting date, reasonable evidence that it has met the requirements of Rule 14a-19(a)(3) promulgated under the Exchange Act.</w:t>
      </w:r>
    </w:p>
    <w:p>
      <w:pPr>
        <w:spacing w:after="0" w:line="126" w:lineRule="exact"/>
        <w:rPr>
          <w:sz w:val="20"/>
          <w:szCs w:val="20"/>
          <w:color w:val="auto"/>
        </w:rPr>
      </w:pPr>
    </w:p>
    <w:p>
      <w:pPr>
        <w:ind w:left="420" w:right="100" w:firstLine="432"/>
        <w:spacing w:after="0" w:line="260" w:lineRule="auto"/>
        <w:rPr>
          <w:sz w:val="20"/>
          <w:szCs w:val="20"/>
          <w:color w:val="auto"/>
        </w:rPr>
      </w:pPr>
      <w:r>
        <w:rPr>
          <w:rFonts w:ascii="Times New Roman" w:cs="Times New Roman" w:eastAsia="Times New Roman" w:hAnsi="Times New Roman"/>
          <w:sz w:val="12"/>
          <w:szCs w:val="12"/>
          <w:color w:val="auto"/>
        </w:rPr>
        <w:t>(7)            The number of nominees a stockholder may nominate for election at the Annual Meeting (or in the case of a stockholder giving the notice on behalf of a beneficial owner, the number of nominees a stockholder may nominate for election at the Annual Meeting on behalf of such beneficial owner) shall not exceed the number of directors to be elected at such Annual Meeting. A stockholder may not designate any substitute nominees unless the stockholder provides timely notice of such substitute nominee(s) in accordance with these Bylaws (and such notice contains all of the information, representations, questionnaires and certifications with respect to such substitute nominee(s) that are required by the Bylaws with respect to nominees for director).</w:t>
      </w:r>
    </w:p>
    <w:p>
      <w:pPr>
        <w:spacing w:after="0" w:line="122" w:lineRule="exact"/>
        <w:rPr>
          <w:sz w:val="20"/>
          <w:szCs w:val="20"/>
          <w:color w:val="auto"/>
        </w:rPr>
      </w:pPr>
    </w:p>
    <w:p>
      <w:pPr>
        <w:ind w:firstLine="432"/>
        <w:spacing w:after="0" w:line="257" w:lineRule="auto"/>
        <w:rPr>
          <w:sz w:val="20"/>
          <w:szCs w:val="20"/>
          <w:color w:val="auto"/>
        </w:rPr>
      </w:pPr>
      <w:r>
        <w:rPr>
          <w:rFonts w:ascii="Times New Roman" w:cs="Times New Roman" w:eastAsia="Times New Roman" w:hAnsi="Times New Roman"/>
          <w:sz w:val="12"/>
          <w:szCs w:val="12"/>
          <w:color w:val="auto"/>
        </w:rPr>
        <w:t>SECTION 3.      </w:t>
      </w:r>
      <w:r>
        <w:rPr>
          <w:rFonts w:ascii="Times New Roman" w:cs="Times New Roman" w:eastAsia="Times New Roman" w:hAnsi="Times New Roman"/>
          <w:sz w:val="12"/>
          <w:szCs w:val="12"/>
          <w:u w:val="single" w:color="auto"/>
          <w:color w:val="auto"/>
        </w:rPr>
        <w:t>  Special Meetings</w:t>
      </w:r>
      <w:r>
        <w:rPr>
          <w:rFonts w:ascii="Times New Roman" w:cs="Times New Roman" w:eastAsia="Times New Roman" w:hAnsi="Times New Roman"/>
          <w:sz w:val="12"/>
          <w:szCs w:val="12"/>
          <w:color w:val="auto"/>
        </w:rPr>
        <w:t>. Except as otherwise required by statute and subject to the rights, if any, of the holders of any series of Preferred Stock, special meetings of the stockholders of the Corporation may be called only by or at the direction of the Board of Directors.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and stockholder proposals of other business shall not be brought before a special meeting of stockholders to be considered by the stockholders unless such special meeting is held in lieu of an annual meeting of stockholders in accordance with Article I, Section 1 of these Bylaws, in which case such special meeting in lieu thereof shall be deemed an Annual Meeting for purposes of these Bylaws and the provisions of Article I, Section 2 of these Bylaws shall govern such special meeting.</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4.      </w:t>
      </w:r>
      <w:r>
        <w:rPr>
          <w:rFonts w:ascii="Times New Roman" w:cs="Times New Roman" w:eastAsia="Times New Roman" w:hAnsi="Times New Roman"/>
          <w:sz w:val="12"/>
          <w:szCs w:val="12"/>
          <w:u w:val="single" w:color="auto"/>
          <w:color w:val="auto"/>
        </w:rPr>
        <w:t>  Notice of Meetings; Adjournments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right="160" w:firstLine="432"/>
        <w:spacing w:after="0" w:line="257" w:lineRule="auto"/>
        <w:rPr>
          <w:sz w:val="20"/>
          <w:szCs w:val="20"/>
          <w:color w:val="auto"/>
        </w:rPr>
      </w:pPr>
      <w:r>
        <w:rPr>
          <w:rFonts w:ascii="Times New Roman" w:cs="Times New Roman" w:eastAsia="Times New Roman" w:hAnsi="Times New Roman"/>
          <w:sz w:val="12"/>
          <w:szCs w:val="12"/>
          <w:color w:val="auto"/>
        </w:rPr>
        <w:t>(a)            A notice of each Annual Meeting stating the hour, date and place, if any, of such Annual Meeting, the means of remote communication, if any, by which stockholders and proxyholders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DGCL.</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9" w:name="page110"/>
    <w:bookmarkEnd w:id="109"/>
    <w:p>
      <w:pPr>
        <w:ind w:right="320" w:firstLine="432"/>
        <w:spacing w:after="0" w:line="279" w:lineRule="auto"/>
        <w:rPr>
          <w:sz w:val="20"/>
          <w:szCs w:val="20"/>
          <w:color w:val="auto"/>
        </w:rPr>
      </w:pPr>
      <w:r>
        <w:rPr>
          <w:rFonts w:ascii="Times New Roman" w:cs="Times New Roman" w:eastAsia="Times New Roman" w:hAnsi="Times New Roman"/>
          <w:sz w:val="12"/>
          <w:szCs w:val="12"/>
          <w:color w:val="auto"/>
        </w:rPr>
        <w:t>(b)            Notice of all special meetings of stockholders shall be given in the same manner as provided for Annual Meetings, except that the notice of all special meetings shall also state the purpose or purposes for which the meeting has been called.</w:t>
      </w:r>
    </w:p>
    <w:p>
      <w:pPr>
        <w:spacing w:after="0" w:line="111"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2"/>
          <w:szCs w:val="12"/>
          <w:color w:val="auto"/>
        </w:rPr>
        <w:t>(c)            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119" w:lineRule="exact"/>
        <w:rPr>
          <w:sz w:val="20"/>
          <w:szCs w:val="20"/>
          <w:color w:val="auto"/>
        </w:rPr>
      </w:pPr>
    </w:p>
    <w:p>
      <w:pPr>
        <w:ind w:right="100" w:firstLine="432"/>
        <w:spacing w:after="0" w:line="265" w:lineRule="auto"/>
        <w:rPr>
          <w:sz w:val="20"/>
          <w:szCs w:val="20"/>
          <w:color w:val="auto"/>
        </w:rPr>
      </w:pPr>
      <w:r>
        <w:rPr>
          <w:rFonts w:ascii="Times New Roman" w:cs="Times New Roman" w:eastAsia="Times New Roman" w:hAnsi="Times New Roman"/>
          <w:sz w:val="12"/>
          <w:szCs w:val="12"/>
          <w:color w:val="auto"/>
        </w:rPr>
        <w:t>(d)            The Board of Directors may postpone and reschedule or cancel any previously scheduled Annual Meeting or special meeting of stockholders and any record date with respect thereto, regardless of whether any notice or public disclosure with respect to any such meeting has been sent or made pursuant to Section 2 of this Article I or otherwise. In no event shall the public announcement of an adjournment, postponement or rescheduling of any previously scheduled meeting of stockholders commence a new time period for the giving of a stockholder’s notice under this Article I.</w:t>
      </w:r>
    </w:p>
    <w:p>
      <w:pPr>
        <w:spacing w:after="0" w:line="119"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2"/>
          <w:szCs w:val="12"/>
          <w:color w:val="auto"/>
        </w:rPr>
        <w:t>(e)            When any meeting is convened, the chair of the meeting or the stockholders present or represented by proxy at such meeting may adjourn the meeting from time to time for any reason, regardless of whether a quorum is present, to reconvene at any other time and at any place at which a meeting of stockholders may be held under these Bylaws. When any Annual Meeting or special meeting of stockholders is adjourned to another hour, date or place (including an adjournment taken to address a technical failure to convene or continue a meeting using remote communication), notice need not be given of the adjourned meeting if the time, place, if any, thereof and the means of remote communications,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this Section 4; provided, however,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“Certificate”) or these Bylaws, is entitled to such notice.</w:t>
      </w:r>
    </w:p>
    <w:p>
      <w:pPr>
        <w:spacing w:after="0" w:line="128" w:lineRule="exact"/>
        <w:rPr>
          <w:sz w:val="20"/>
          <w:szCs w:val="20"/>
          <w:color w:val="auto"/>
        </w:rPr>
      </w:pPr>
    </w:p>
    <w:p>
      <w:pPr>
        <w:ind w:right="40" w:firstLine="432"/>
        <w:spacing w:after="0" w:line="257" w:lineRule="auto"/>
        <w:rPr>
          <w:sz w:val="20"/>
          <w:szCs w:val="20"/>
          <w:color w:val="auto"/>
        </w:rPr>
      </w:pPr>
      <w:r>
        <w:rPr>
          <w:rFonts w:ascii="Times New Roman" w:cs="Times New Roman" w:eastAsia="Times New Roman" w:hAnsi="Times New Roman"/>
          <w:sz w:val="12"/>
          <w:szCs w:val="12"/>
          <w:color w:val="auto"/>
        </w:rPr>
        <w:t>SECTION 5.      </w:t>
      </w:r>
      <w:r>
        <w:rPr>
          <w:rFonts w:ascii="Times New Roman" w:cs="Times New Roman" w:eastAsia="Times New Roman" w:hAnsi="Times New Roman"/>
          <w:sz w:val="12"/>
          <w:szCs w:val="12"/>
          <w:u w:val="single" w:color="auto"/>
          <w:color w:val="auto"/>
        </w:rPr>
        <w:t>  Quorum</w:t>
      </w:r>
      <w:r>
        <w:rPr>
          <w:rFonts w:ascii="Times New Roman" w:cs="Times New Roman" w:eastAsia="Times New Roman" w:hAnsi="Times New Roman"/>
          <w:sz w:val="12"/>
          <w:szCs w:val="12"/>
          <w:color w:val="auto"/>
        </w:rPr>
        <w:t>. Except as otherwise provided by law, the certificate of incorporation or these Bylaws, at each meeting of stockholders, the presence in person or by remote communication, if applicable, or represented by proxy, of the holders of a majority in voting power of the outstanding shares of stock entitled to vote at the meeting shall be necessary and sufficient to constitute a quorum. If less than a quorum is present at a meeting, the chair of the meeting or the holders of voting stock, by the affirmative vote of a majority of the voting power present in person or by proxy and entitled to vote thereon, may adjourn the meeting from time to time, and the meeting may be held as adjourned without further notice, except as otherwise provided in Section 4 of this Article I. At such adjourned meeting at which a quorum is present, any business may be transacted which might have been transacted at the meeting as originally noticed. The stockholders present at a duly constituted meeting may continue to transact business until adjournment, notwithstanding the withdrawal of enough stockholders to leave less than a quorum.</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0" w:name="page111"/>
    <w:bookmarkEnd w:id="110"/>
    <w:p>
      <w:pPr>
        <w:ind w:left="420"/>
        <w:spacing w:after="0"/>
        <w:rPr>
          <w:sz w:val="20"/>
          <w:szCs w:val="20"/>
          <w:color w:val="auto"/>
        </w:rPr>
      </w:pPr>
      <w:r>
        <w:rPr>
          <w:rFonts w:ascii="Times New Roman" w:cs="Times New Roman" w:eastAsia="Times New Roman" w:hAnsi="Times New Roman"/>
          <w:sz w:val="12"/>
          <w:szCs w:val="12"/>
          <w:color w:val="auto"/>
        </w:rPr>
        <w:t>SECTION 6.      </w:t>
      </w:r>
      <w:r>
        <w:rPr>
          <w:rFonts w:ascii="Times New Roman" w:cs="Times New Roman" w:eastAsia="Times New Roman" w:hAnsi="Times New Roman"/>
          <w:sz w:val="12"/>
          <w:szCs w:val="12"/>
          <w:u w:val="single" w:color="auto"/>
          <w:color w:val="auto"/>
        </w:rPr>
        <w:t>  Voting and Proxies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2"/>
          <w:szCs w:val="12"/>
          <w:color w:val="auto"/>
        </w:rPr>
        <w:t>(a)            The stockholders entitled to vote at any meeting of stockholders shall be determined in accordance with the provisions of Article IV, Section 4 of these Bylaws, subject to Section 217 (relating to voting rights of fiduciaries, pledgors and joint owners of stock) and Section 218 (relating to voting trusts and other voting agreements) of the DGCL.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A proxy with respect to stock held in the name of two or more persons shall be valid if executed by or on behalf of any one of them unless at or prior to the exercise of the proxy the Corporation receives a specific written notice to the contrary from any one of them. In the event the Corporation receives proxies for disqualified or withdrawn nominees for the Board of Directors, such votes for such disqualified or withdrawn nominees in the proxies will be treated as abstentions.</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(b)            Any stockholder directly or indirectly soliciting proxies from other stockholders must use a proxy card color other than white, which shall be reserved for the exclusive use by the Board of Directors.</w:t>
      </w:r>
    </w:p>
    <w:p>
      <w:pPr>
        <w:spacing w:after="0" w:line="150" w:lineRule="exact"/>
        <w:rPr>
          <w:sz w:val="20"/>
          <w:szCs w:val="20"/>
          <w:color w:val="auto"/>
        </w:rPr>
      </w:pPr>
    </w:p>
    <w:p>
      <w:pPr>
        <w:ind w:right="40" w:firstLine="432"/>
        <w:spacing w:after="0" w:line="265" w:lineRule="auto"/>
        <w:rPr>
          <w:sz w:val="20"/>
          <w:szCs w:val="20"/>
          <w:color w:val="auto"/>
        </w:rPr>
      </w:pPr>
      <w:r>
        <w:rPr>
          <w:rFonts w:ascii="Times New Roman" w:cs="Times New Roman" w:eastAsia="Times New Roman" w:hAnsi="Times New Roman"/>
          <w:sz w:val="12"/>
          <w:szCs w:val="12"/>
          <w:color w:val="auto"/>
        </w:rPr>
        <w:t>SECTION 7.      </w:t>
      </w:r>
      <w:r>
        <w:rPr>
          <w:rFonts w:ascii="Times New Roman" w:cs="Times New Roman" w:eastAsia="Times New Roman" w:hAnsi="Times New Roman"/>
          <w:sz w:val="12"/>
          <w:szCs w:val="12"/>
          <w:u w:val="single" w:color="auto"/>
          <w:color w:val="auto"/>
        </w:rPr>
        <w:t>  Action at Meeting</w:t>
      </w:r>
      <w:r>
        <w:rPr>
          <w:rFonts w:ascii="Times New Roman" w:cs="Times New Roman" w:eastAsia="Times New Roman" w:hAnsi="Times New Roman"/>
          <w:sz w:val="12"/>
          <w:szCs w:val="12"/>
          <w:color w:val="auto"/>
        </w:rPr>
        <w:t>.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121" w:lineRule="exact"/>
        <w:rPr>
          <w:sz w:val="20"/>
          <w:szCs w:val="20"/>
          <w:color w:val="auto"/>
        </w:rPr>
      </w:pPr>
    </w:p>
    <w:p>
      <w:pPr>
        <w:ind w:right="120" w:firstLine="432"/>
        <w:spacing w:after="0" w:line="232" w:lineRule="auto"/>
        <w:rPr>
          <w:sz w:val="20"/>
          <w:szCs w:val="20"/>
          <w:color w:val="auto"/>
        </w:rPr>
      </w:pPr>
      <w:r>
        <w:rPr>
          <w:rFonts w:ascii="Times New Roman" w:cs="Times New Roman" w:eastAsia="Times New Roman" w:hAnsi="Times New Roman"/>
          <w:sz w:val="12"/>
          <w:szCs w:val="12"/>
          <w:color w:val="auto"/>
        </w:rPr>
        <w:t>SECTION 8.      </w:t>
      </w:r>
      <w:r>
        <w:rPr>
          <w:rFonts w:ascii="Times New Roman" w:cs="Times New Roman" w:eastAsia="Times New Roman" w:hAnsi="Times New Roman"/>
          <w:sz w:val="12"/>
          <w:szCs w:val="12"/>
          <w:u w:val="single" w:color="auto"/>
          <w:color w:val="auto"/>
        </w:rPr>
        <w:t>  Stockholder Lists</w:t>
      </w:r>
      <w:r>
        <w:rPr>
          <w:rFonts w:ascii="Times New Roman" w:cs="Times New Roman" w:eastAsia="Times New Roman" w:hAnsi="Times New Roman"/>
          <w:sz w:val="12"/>
          <w:szCs w:val="12"/>
          <w:color w:val="auto"/>
        </w:rPr>
        <w:t>. The Corporation shall prepare, no later than the tenth (10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day before each Annual Meeting or special meeting of stockholders, a complete list of the stockholders entitled to vote at the meeting, arranged in alphabetical order, and showing the address of each stockholder and the number of shares registered in the name of each stockholder; provided, however, that if the record date for determining the stockholders entitled to vote is less than ten (10) days before the meeting date, the list shall reflect the stockholders entitled to vote as of the tenth (10th) day before the meeting date. Such list shall be open to the examination of any stockholder for any purpose germane to the meeting for a period of ten (10) days ending on the day before the meeting date in the manner provided by law.</w:t>
      </w:r>
    </w:p>
    <w:p>
      <w:pPr>
        <w:spacing w:after="0" w:line="134"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2"/>
          <w:szCs w:val="12"/>
          <w:color w:val="auto"/>
        </w:rPr>
        <w:t>SECTION 9.      </w:t>
      </w:r>
      <w:r>
        <w:rPr>
          <w:rFonts w:ascii="Times New Roman" w:cs="Times New Roman" w:eastAsia="Times New Roman" w:hAnsi="Times New Roman"/>
          <w:sz w:val="12"/>
          <w:szCs w:val="12"/>
          <w:u w:val="single" w:color="auto"/>
          <w:color w:val="auto"/>
        </w:rPr>
        <w:t>  Conduct of Meeting</w:t>
      </w:r>
      <w:r>
        <w:rPr>
          <w:rFonts w:ascii="Times New Roman" w:cs="Times New Roman" w:eastAsia="Times New Roman" w:hAnsi="Times New Roman"/>
          <w:sz w:val="12"/>
          <w:szCs w:val="12"/>
          <w:color w:val="auto"/>
        </w:rPr>
        <w:t>. The Board of Directors may adopt by resolution such rules, regulations and procedures for the conduct of any meeting of stockholders as it shall deem appropriate. Except to the extent inconsistent with rules, regulations and procedures adopted by the Board of Directors, the chair of the meeting shall have the right to prescribe such rules, regulations and procedures and to do all such acts, as, in the judgment of such chair, are necessary, appropriate or convenient for the proper conduct of the meeting. Such rules, regulations or procedures, whether adopted by the Board of Directors or the chair of the meeting, may include, without limitation, the following: (a) the establishment of an agenda for the meeting; (b) rules and procedures for maintaining order at the meeting and the safety of those present at the meeting; (c) limitations on attendance at or participation in the meeting to stockholders of record of the Corporation, their duly authorized and constituted proxies, or such other persons as the chair of the meeting shall determine; (d) restrictions on entry to the meeting after the time fixed for the commencement thereof; (e) the determination of the circumstances in which any person may make a statement or ask questions and limitations on the time allotted to questions or comments; (f) the determination of when the polls shall open and close for any given matter to be voted on at the meeting; (g) the exclusion or removal of any stockholders or any other individual who refuses to comply with meeting rules, regulations, or procedures; (h) restrictions on the use of audio and video recording devices, cell phones and other electronic devices; (i) rules, regulations and procedures for compliance with any federal, state or local laws or regulations (including those concerning safety, health or security); (j) procedures (if any) requiring attendees to provide the Corporation advance notice of their intent to attend the meeting; and (k) rules, regulations or procedures regarding the participation by means of remote communication of stockholders and proxy holders not physically present at a meeting, whether such meeting is to be held at a designated place or solely by means of remote communication. The chair of the meeting shall be: (i) such person as the Board of Directors shall have designated to preside over all meetings of the stockholders; (ii) if the Board of Directors has not so designated such a chair of the meeting or if the chair of the meeting is unable to so preside or is absent, then the Chairperson of the Board, if one is elected; (iii) if the Board of Directors has not so designated a chair of the meeting and there is no Chairperson of the Board, or if the chair of the meeting or the Chairperson of the Board is unable to so preside or is absent, then the Chief Executive Officer, if one is elected; or (iv) in the absence or inability to serve of any of the aforementioned persons, the President of the Corporation. Unless and to the extent determined by the Board of Directors or the chair of the meeting, the chair of the meeting shall not be obligated to adopt or follow any technical, formal or parliamentary rules or principles of procedure. In the absence of the Secretary of the Corporation, the secretary of the meeting shall be such person as the chair of the meeting appoints.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111" w:name="page112"/>
    <w:bookmarkEnd w:id="111"/>
    <w:p>
      <w:pPr>
        <w:ind w:right="20" w:firstLine="432"/>
        <w:spacing w:after="0" w:line="255" w:lineRule="auto"/>
        <w:rPr>
          <w:sz w:val="20"/>
          <w:szCs w:val="20"/>
          <w:color w:val="auto"/>
        </w:rPr>
      </w:pPr>
      <w:r>
        <w:rPr>
          <w:rFonts w:ascii="Times New Roman" w:cs="Times New Roman" w:eastAsia="Times New Roman" w:hAnsi="Times New Roman"/>
          <w:sz w:val="12"/>
          <w:szCs w:val="12"/>
          <w:color w:val="auto"/>
        </w:rPr>
        <w:t>SECTION 10.      </w:t>
      </w:r>
      <w:r>
        <w:rPr>
          <w:rFonts w:ascii="Times New Roman" w:cs="Times New Roman" w:eastAsia="Times New Roman" w:hAnsi="Times New Roman"/>
          <w:sz w:val="12"/>
          <w:szCs w:val="12"/>
          <w:u w:val="single" w:color="auto"/>
          <w:color w:val="auto"/>
        </w:rPr>
        <w:t>  Inspectors of Elections</w:t>
      </w:r>
      <w:r>
        <w:rPr>
          <w:rFonts w:ascii="Times New Roman" w:cs="Times New Roman" w:eastAsia="Times New Roman" w:hAnsi="Times New Roman"/>
          <w:sz w:val="12"/>
          <w:szCs w:val="12"/>
          <w:color w:val="auto"/>
        </w:rPr>
        <w:t>. The Corporation shall, in advance of any meeting of stockholders, appoint one or three inspectors to act at the meeting and make a written report thereof. The Corporation may designate one or more persons as alternate inspectors to replace any inspector who fails to act. If no inspector or alternate is able to act at a meeting of stockholders, the chair of the meeting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chair of the meeting may review all determinations made by the inspectors, and in so doing the chair of the meeting shall be entitled to exercise his or her sole judgment and discretion and he or she shall not be bound by any determinations made by the inspectors. All determinations by the inspectors and, if applicable, the chair of the meeting, shall be subject to further review by any court of competent jurisdiction.</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u w:val="single" w:color="auto"/>
          <w:color w:val="auto"/>
        </w:rPr>
        <w:t>ARTICLE II</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u w:val="single" w:color="auto"/>
          <w:color w:val="auto"/>
        </w:rPr>
        <w:t>Directors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1.      </w:t>
      </w:r>
      <w:r>
        <w:rPr>
          <w:rFonts w:ascii="Times New Roman" w:cs="Times New Roman" w:eastAsia="Times New Roman" w:hAnsi="Times New Roman"/>
          <w:sz w:val="12"/>
          <w:szCs w:val="12"/>
          <w:u w:val="single" w:color="auto"/>
          <w:color w:val="auto"/>
        </w:rPr>
        <w:t>  Powers</w:t>
      </w:r>
      <w:r>
        <w:rPr>
          <w:rFonts w:ascii="Times New Roman" w:cs="Times New Roman" w:eastAsia="Times New Roman" w:hAnsi="Times New Roman"/>
          <w:sz w:val="12"/>
          <w:szCs w:val="12"/>
          <w:color w:val="auto"/>
        </w:rPr>
        <w:t>. The business and affairs of the Corporation shall be managed by or under the direction of the Board of Directors, except as otherwise provided by the Certificate or required by law.</w:t>
      </w:r>
    </w:p>
    <w:p>
      <w:pPr>
        <w:spacing w:after="0" w:line="150"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SECTION 2.      </w:t>
      </w:r>
      <w:r>
        <w:rPr>
          <w:rFonts w:ascii="Times New Roman" w:cs="Times New Roman" w:eastAsia="Times New Roman" w:hAnsi="Times New Roman"/>
          <w:sz w:val="12"/>
          <w:szCs w:val="12"/>
          <w:u w:val="single" w:color="auto"/>
          <w:color w:val="auto"/>
        </w:rPr>
        <w:t>  Number and Terms</w:t>
      </w:r>
      <w:r>
        <w:rPr>
          <w:rFonts w:ascii="Times New Roman" w:cs="Times New Roman" w:eastAsia="Times New Roman" w:hAnsi="Times New Roman"/>
          <w:sz w:val="12"/>
          <w:szCs w:val="12"/>
          <w:color w:val="auto"/>
        </w:rPr>
        <w:t>. The number of directors of the Corporation shall be fixed solely and exclusively by resolution duly adopted from time to time by the Board of Directors, provided the Board of Directors shall consist of at least one (1) member. The directors shall hold office in the manner provided in the Certificate.</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3.      </w:t>
      </w:r>
      <w:r>
        <w:rPr>
          <w:rFonts w:ascii="Times New Roman" w:cs="Times New Roman" w:eastAsia="Times New Roman" w:hAnsi="Times New Roman"/>
          <w:sz w:val="12"/>
          <w:szCs w:val="12"/>
          <w:u w:val="single" w:color="auto"/>
          <w:color w:val="auto"/>
        </w:rPr>
        <w:t>  Qualification</w:t>
      </w:r>
      <w:r>
        <w:rPr>
          <w:rFonts w:ascii="Times New Roman" w:cs="Times New Roman" w:eastAsia="Times New Roman" w:hAnsi="Times New Roman"/>
          <w:sz w:val="12"/>
          <w:szCs w:val="12"/>
          <w:color w:val="auto"/>
        </w:rPr>
        <w:t>. No director need be a stockholder of the Corporation.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4.      </w:t>
      </w:r>
      <w:r>
        <w:rPr>
          <w:rFonts w:ascii="Times New Roman" w:cs="Times New Roman" w:eastAsia="Times New Roman" w:hAnsi="Times New Roman"/>
          <w:sz w:val="12"/>
          <w:szCs w:val="12"/>
          <w:u w:val="single" w:color="auto"/>
          <w:color w:val="auto"/>
        </w:rPr>
        <w:t>  Vacancies</w:t>
      </w:r>
      <w:r>
        <w:rPr>
          <w:rFonts w:ascii="Times New Roman" w:cs="Times New Roman" w:eastAsia="Times New Roman" w:hAnsi="Times New Roman"/>
          <w:sz w:val="12"/>
          <w:szCs w:val="12"/>
          <w:color w:val="auto"/>
        </w:rPr>
        <w:t>. Vacancies in the Board of Directors shall be filled in the manner provided in the Certificate.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5.      </w:t>
      </w:r>
      <w:r>
        <w:rPr>
          <w:rFonts w:ascii="Times New Roman" w:cs="Times New Roman" w:eastAsia="Times New Roman" w:hAnsi="Times New Roman"/>
          <w:sz w:val="12"/>
          <w:szCs w:val="12"/>
          <w:u w:val="single" w:color="auto"/>
          <w:color w:val="auto"/>
        </w:rPr>
        <w:t>  Removal</w:t>
      </w:r>
      <w:r>
        <w:rPr>
          <w:rFonts w:ascii="Times New Roman" w:cs="Times New Roman" w:eastAsia="Times New Roman" w:hAnsi="Times New Roman"/>
          <w:sz w:val="12"/>
          <w:szCs w:val="12"/>
          <w:color w:val="auto"/>
        </w:rPr>
        <w:t>. Directors may be removed from office only in the manner provided in the Certificate or by applicable law.</w:t>
      </w:r>
    </w:p>
    <w:p>
      <w:pPr>
        <w:spacing w:after="0" w:line="150" w:lineRule="exact"/>
        <w:rPr>
          <w:sz w:val="20"/>
          <w:szCs w:val="20"/>
          <w:color w:val="auto"/>
        </w:rPr>
      </w:pPr>
    </w:p>
    <w:p>
      <w:pPr>
        <w:ind w:right="360" w:firstLine="432"/>
        <w:spacing w:after="0" w:line="279" w:lineRule="auto"/>
        <w:rPr>
          <w:sz w:val="20"/>
          <w:szCs w:val="20"/>
          <w:color w:val="auto"/>
        </w:rPr>
      </w:pPr>
      <w:r>
        <w:rPr>
          <w:rFonts w:ascii="Times New Roman" w:cs="Times New Roman" w:eastAsia="Times New Roman" w:hAnsi="Times New Roman"/>
          <w:sz w:val="12"/>
          <w:szCs w:val="12"/>
          <w:color w:val="auto"/>
        </w:rPr>
        <w:t>SECTION 6.      </w:t>
      </w:r>
      <w:r>
        <w:rPr>
          <w:rFonts w:ascii="Times New Roman" w:cs="Times New Roman" w:eastAsia="Times New Roman" w:hAnsi="Times New Roman"/>
          <w:sz w:val="12"/>
          <w:szCs w:val="12"/>
          <w:u w:val="single" w:color="auto"/>
          <w:color w:val="auto"/>
        </w:rPr>
        <w:t>  Resignation</w:t>
      </w:r>
      <w:r>
        <w:rPr>
          <w:rFonts w:ascii="Times New Roman" w:cs="Times New Roman" w:eastAsia="Times New Roman" w:hAnsi="Times New Roman"/>
          <w:sz w:val="12"/>
          <w:szCs w:val="12"/>
          <w:color w:val="auto"/>
        </w:rPr>
        <w:t>. A director may resign at any time by electronic transmission or by giving written notice to the Chairperson of the Board, if one is elected, the President or the Secretary. A resignation shall be effective upon receipt, unless the resignation otherwise provides.</w:t>
      </w:r>
    </w:p>
    <w:p>
      <w:pPr>
        <w:spacing w:after="0" w:line="111" w:lineRule="exact"/>
        <w:rPr>
          <w:sz w:val="20"/>
          <w:szCs w:val="20"/>
          <w:color w:val="auto"/>
        </w:rPr>
      </w:pPr>
    </w:p>
    <w:p>
      <w:pPr>
        <w:ind w:right="80" w:firstLine="432"/>
        <w:spacing w:after="0" w:line="279" w:lineRule="auto"/>
        <w:rPr>
          <w:sz w:val="20"/>
          <w:szCs w:val="20"/>
          <w:color w:val="auto"/>
        </w:rPr>
      </w:pPr>
      <w:r>
        <w:rPr>
          <w:rFonts w:ascii="Times New Roman" w:cs="Times New Roman" w:eastAsia="Times New Roman" w:hAnsi="Times New Roman"/>
          <w:sz w:val="12"/>
          <w:szCs w:val="12"/>
          <w:color w:val="auto"/>
        </w:rPr>
        <w:t>SECTION 7.      </w:t>
      </w:r>
      <w:r>
        <w:rPr>
          <w:rFonts w:ascii="Times New Roman" w:cs="Times New Roman" w:eastAsia="Times New Roman" w:hAnsi="Times New Roman"/>
          <w:sz w:val="12"/>
          <w:szCs w:val="12"/>
          <w:u w:val="single" w:color="auto"/>
          <w:color w:val="auto"/>
        </w:rPr>
        <w:t>  Regular Meetings</w:t>
      </w:r>
      <w:r>
        <w:rPr>
          <w:rFonts w:ascii="Times New Roman" w:cs="Times New Roman" w:eastAsia="Times New Roman" w:hAnsi="Times New Roman"/>
          <w:sz w:val="12"/>
          <w:szCs w:val="12"/>
          <w:color w:val="auto"/>
        </w:rPr>
        <w:t>. Regular meetings of the Board of Directors may be held at such hour, date and place (if any) as the Board of Directors may from time to time determine and publicize by means of reasonable notice given to any director who is not present when such determination is made.</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SECTION 8.      </w:t>
      </w:r>
      <w:r>
        <w:rPr>
          <w:rFonts w:ascii="Times New Roman" w:cs="Times New Roman" w:eastAsia="Times New Roman" w:hAnsi="Times New Roman"/>
          <w:sz w:val="11"/>
          <w:szCs w:val="11"/>
          <w:u w:val="single" w:color="auto"/>
          <w:color w:val="auto"/>
        </w:rPr>
        <w:t>  Special Meetings</w:t>
      </w:r>
      <w:r>
        <w:rPr>
          <w:rFonts w:ascii="Times New Roman" w:cs="Times New Roman" w:eastAsia="Times New Roman" w:hAnsi="Times New Roman"/>
          <w:sz w:val="11"/>
          <w:szCs w:val="11"/>
          <w:color w:val="auto"/>
        </w:rPr>
        <w:t>. Special meetings of the Board of Directors may be called, orally or in writing, by or at the request of a majority of the directors, the Chairperson of the Board, if one is elected, or the President.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person calling any such special meeting of the Board of Directors may fix the hour, date and place (if any) thereof. Notice thereof shall be given to each director as provided in Section 9 of this Article II.</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2" w:name="page113"/>
    <w:bookmarkEnd w:id="112"/>
    <w:p>
      <w:pPr>
        <w:ind w:firstLine="432"/>
        <w:spacing w:after="0" w:line="253" w:lineRule="auto"/>
        <w:rPr>
          <w:sz w:val="20"/>
          <w:szCs w:val="20"/>
          <w:color w:val="auto"/>
        </w:rPr>
      </w:pPr>
      <w:r>
        <w:rPr>
          <w:rFonts w:ascii="Times New Roman" w:cs="Times New Roman" w:eastAsia="Times New Roman" w:hAnsi="Times New Roman"/>
          <w:sz w:val="12"/>
          <w:szCs w:val="12"/>
          <w:color w:val="auto"/>
        </w:rPr>
        <w:t>SECTION 9.      </w:t>
      </w:r>
      <w:r>
        <w:rPr>
          <w:rFonts w:ascii="Times New Roman" w:cs="Times New Roman" w:eastAsia="Times New Roman" w:hAnsi="Times New Roman"/>
          <w:sz w:val="12"/>
          <w:szCs w:val="12"/>
          <w:u w:val="single" w:color="auto"/>
          <w:color w:val="auto"/>
        </w:rPr>
        <w:t>  Notice of Meetings</w:t>
      </w:r>
      <w:r>
        <w:rPr>
          <w:rFonts w:ascii="Times New Roman" w:cs="Times New Roman" w:eastAsia="Times New Roman" w:hAnsi="Times New Roman"/>
          <w:sz w:val="12"/>
          <w:szCs w:val="12"/>
          <w:color w:val="auto"/>
        </w:rPr>
        <w:t>. Notice of the hour, date and place (if any) of all special meetings of the Board of Directors shall be given to each director by the Secretary or an Assistant Secretary, or in case of the death, absence, incapacity or refusal of such persons, by the Chairperson of the Board, if one is elected, the President or such other officer designated by the Chairperson of the Board, if one is elected, or any one of the directors calling the meeting. Notice of any special meeting of the Board of Directors shall be given to each director in person, by telephone, or by facsimile, electronic mail or other form of electronic communication, sent to his or her business or home address, at least twenty-four (24) hours in advance of the meeting, or by written notice mailed to his or her business or home address, at least forty-eight (48) hours in advance of the meeting provided, however, that if the person or persons calling the meeting determine that it is otherwise necessary or advisable to hold the meeting sooner, then such person or persons may prescribe a shorter time period for notice to be given personally or by telephone, facsimile, electronic mail or other similar means of communication. Such notice shall be deemed to be delivered when hand-delivered to such address; read to such director by telephone; deposited in the mail so addressed, with postage thereon prepaid, if mailed; or dispatched or transmitted if sent by facsimile transmission or by electronic mail or other form of electronic communication. A written waiver of notice signed or electronically transmitted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129" w:lineRule="exact"/>
        <w:rPr>
          <w:sz w:val="20"/>
          <w:szCs w:val="20"/>
          <w:color w:val="auto"/>
        </w:rPr>
      </w:pPr>
    </w:p>
    <w:p>
      <w:pPr>
        <w:ind w:right="140" w:firstLine="432"/>
        <w:spacing w:after="0" w:line="265" w:lineRule="auto"/>
        <w:rPr>
          <w:sz w:val="20"/>
          <w:szCs w:val="20"/>
          <w:color w:val="auto"/>
        </w:rPr>
      </w:pPr>
      <w:r>
        <w:rPr>
          <w:rFonts w:ascii="Times New Roman" w:cs="Times New Roman" w:eastAsia="Times New Roman" w:hAnsi="Times New Roman"/>
          <w:sz w:val="12"/>
          <w:szCs w:val="12"/>
          <w:color w:val="auto"/>
        </w:rPr>
        <w:t>SECTION 10.      </w:t>
      </w:r>
      <w:r>
        <w:rPr>
          <w:rFonts w:ascii="Times New Roman" w:cs="Times New Roman" w:eastAsia="Times New Roman" w:hAnsi="Times New Roman"/>
          <w:sz w:val="12"/>
          <w:szCs w:val="12"/>
          <w:u w:val="single" w:color="auto"/>
          <w:color w:val="auto"/>
        </w:rPr>
        <w:t>  Quorum</w:t>
      </w:r>
      <w:r>
        <w:rPr>
          <w:rFonts w:ascii="Times New Roman" w:cs="Times New Roman" w:eastAsia="Times New Roman" w:hAnsi="Times New Roman"/>
          <w:sz w:val="12"/>
          <w:szCs w:val="12"/>
          <w:color w:val="auto"/>
        </w:rPr>
        <w:t>.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that might have been transacted at the meeting as originally noticed may be transacted at such adjourned meeting at which a quorum is present. For purposes of this Article II, the total number of directors includes any unfilled vacancies on the Board of Directors.</w:t>
      </w:r>
    </w:p>
    <w:p>
      <w:pPr>
        <w:spacing w:after="0" w:line="119" w:lineRule="exact"/>
        <w:rPr>
          <w:sz w:val="20"/>
          <w:szCs w:val="20"/>
          <w:color w:val="auto"/>
        </w:rPr>
      </w:pPr>
    </w:p>
    <w:p>
      <w:pPr>
        <w:ind w:right="260" w:firstLine="432"/>
        <w:spacing w:after="0" w:line="279" w:lineRule="auto"/>
        <w:rPr>
          <w:sz w:val="20"/>
          <w:szCs w:val="20"/>
          <w:color w:val="auto"/>
        </w:rPr>
      </w:pPr>
      <w:r>
        <w:rPr>
          <w:rFonts w:ascii="Times New Roman" w:cs="Times New Roman" w:eastAsia="Times New Roman" w:hAnsi="Times New Roman"/>
          <w:sz w:val="12"/>
          <w:szCs w:val="12"/>
          <w:color w:val="auto"/>
        </w:rPr>
        <w:t>SECTION 11.      </w:t>
      </w:r>
      <w:r>
        <w:rPr>
          <w:rFonts w:ascii="Times New Roman" w:cs="Times New Roman" w:eastAsia="Times New Roman" w:hAnsi="Times New Roman"/>
          <w:sz w:val="12"/>
          <w:szCs w:val="12"/>
          <w:u w:val="single" w:color="auto"/>
          <w:color w:val="auto"/>
        </w:rPr>
        <w:t>  Action at Meeting</w:t>
      </w:r>
      <w:r>
        <w:rPr>
          <w:rFonts w:ascii="Times New Roman" w:cs="Times New Roman" w:eastAsia="Times New Roman" w:hAnsi="Times New Roman"/>
          <w:sz w:val="12"/>
          <w:szCs w:val="12"/>
          <w:color w:val="auto"/>
        </w:rPr>
        <w:t>. At any meeting of the Board of Directors at which a quorum is present, the affirmative vote of a majority of the directors present shall constitute action by the Board of Directors, unless otherwise required by law, by the Certificate or by these Bylaws.</w:t>
      </w:r>
    </w:p>
    <w:p>
      <w:pPr>
        <w:spacing w:after="0" w:line="111" w:lineRule="exact"/>
        <w:rPr>
          <w:sz w:val="20"/>
          <w:szCs w:val="20"/>
          <w:color w:val="auto"/>
        </w:rPr>
      </w:pPr>
    </w:p>
    <w:p>
      <w:pPr>
        <w:jc w:val="both"/>
        <w:ind w:right="60" w:firstLine="432"/>
        <w:spacing w:after="0" w:line="265" w:lineRule="auto"/>
        <w:rPr>
          <w:sz w:val="20"/>
          <w:szCs w:val="20"/>
          <w:color w:val="auto"/>
        </w:rPr>
      </w:pPr>
      <w:r>
        <w:rPr>
          <w:rFonts w:ascii="Times New Roman" w:cs="Times New Roman" w:eastAsia="Times New Roman" w:hAnsi="Times New Roman"/>
          <w:sz w:val="12"/>
          <w:szCs w:val="12"/>
          <w:color w:val="auto"/>
        </w:rPr>
        <w:t>SECTION 12.      </w:t>
      </w:r>
      <w:r>
        <w:rPr>
          <w:rFonts w:ascii="Times New Roman" w:cs="Times New Roman" w:eastAsia="Times New Roman" w:hAnsi="Times New Roman"/>
          <w:sz w:val="12"/>
          <w:szCs w:val="12"/>
          <w:u w:val="single" w:color="auto"/>
          <w:color w:val="auto"/>
        </w:rPr>
        <w:t>  Action by Consent</w:t>
      </w:r>
      <w:r>
        <w:rPr>
          <w:rFonts w:ascii="Times New Roman" w:cs="Times New Roman" w:eastAsia="Times New Roman" w:hAnsi="Times New Roman"/>
          <w:sz w:val="12"/>
          <w:szCs w:val="12"/>
          <w:color w:val="auto"/>
        </w:rPr>
        <w:t>. Any action required or permitted to be taken at any meeting of the Board of Directors may be taken without a meeting if all members of the Board of Directors consent thereto in writing or by electronic transmission. After such action is taken, the writing or writings or electronic transmission or transmissions shall be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119" w:lineRule="exact"/>
        <w:rPr>
          <w:sz w:val="20"/>
          <w:szCs w:val="20"/>
          <w:color w:val="auto"/>
        </w:rPr>
      </w:pPr>
    </w:p>
    <w:p>
      <w:pPr>
        <w:ind w:right="400" w:firstLine="432"/>
        <w:spacing w:after="0" w:line="279" w:lineRule="auto"/>
        <w:rPr>
          <w:sz w:val="20"/>
          <w:szCs w:val="20"/>
          <w:color w:val="auto"/>
        </w:rPr>
      </w:pPr>
      <w:r>
        <w:rPr>
          <w:rFonts w:ascii="Times New Roman" w:cs="Times New Roman" w:eastAsia="Times New Roman" w:hAnsi="Times New Roman"/>
          <w:sz w:val="12"/>
          <w:szCs w:val="12"/>
          <w:color w:val="auto"/>
        </w:rPr>
        <w:t>SECTION 13.      </w:t>
      </w:r>
      <w:r>
        <w:rPr>
          <w:rFonts w:ascii="Times New Roman" w:cs="Times New Roman" w:eastAsia="Times New Roman" w:hAnsi="Times New Roman"/>
          <w:sz w:val="12"/>
          <w:szCs w:val="12"/>
          <w:u w:val="single" w:color="auto"/>
          <w:color w:val="auto"/>
        </w:rPr>
        <w:t>  Manner of Participation</w:t>
      </w:r>
      <w:r>
        <w:rPr>
          <w:rFonts w:ascii="Times New Roman" w:cs="Times New Roman" w:eastAsia="Times New Roman" w:hAnsi="Times New Roman"/>
          <w:sz w:val="12"/>
          <w:szCs w:val="12"/>
          <w:color w:val="auto"/>
        </w:rPr>
        <w:t>. Directors may participate in meetings of the Board of Directors by means of video conference,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spacing w:after="0" w:line="111" w:lineRule="exact"/>
        <w:rPr>
          <w:sz w:val="20"/>
          <w:szCs w:val="20"/>
          <w:color w:val="auto"/>
        </w:rPr>
      </w:pPr>
    </w:p>
    <w:p>
      <w:pPr>
        <w:jc w:val="both"/>
        <w:ind w:right="80" w:firstLine="432"/>
        <w:spacing w:after="0" w:line="300" w:lineRule="auto"/>
        <w:rPr>
          <w:sz w:val="20"/>
          <w:szCs w:val="20"/>
          <w:color w:val="auto"/>
        </w:rPr>
      </w:pPr>
      <w:r>
        <w:rPr>
          <w:rFonts w:ascii="Times New Roman" w:cs="Times New Roman" w:eastAsia="Times New Roman" w:hAnsi="Times New Roman"/>
          <w:sz w:val="11"/>
          <w:szCs w:val="11"/>
          <w:color w:val="auto"/>
        </w:rPr>
        <w:t>SECTION 14.      </w:t>
      </w:r>
      <w:r>
        <w:rPr>
          <w:rFonts w:ascii="Times New Roman" w:cs="Times New Roman" w:eastAsia="Times New Roman" w:hAnsi="Times New Roman"/>
          <w:sz w:val="11"/>
          <w:szCs w:val="11"/>
          <w:u w:val="single" w:color="auto"/>
          <w:color w:val="auto"/>
        </w:rPr>
        <w:t>  Presiding Director</w:t>
      </w:r>
      <w:r>
        <w:rPr>
          <w:rFonts w:ascii="Times New Roman" w:cs="Times New Roman" w:eastAsia="Times New Roman" w:hAnsi="Times New Roman"/>
          <w:sz w:val="11"/>
          <w:szCs w:val="11"/>
          <w:color w:val="auto"/>
        </w:rPr>
        <w:t>.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Chairperson of the Board, if one is elected, shall preside over all meetings of the Board of Directors. If both the designated presiding director, if one is so designated, and the Chairperson of the Board, if one is elected, are unable to preside or are absent, the Board of Directors shall designate an alternate representative to preside over a meeting of the Board of Directors.</w:t>
      </w:r>
    </w:p>
    <w:p>
      <w:pPr>
        <w:spacing w:after="0" w:line="102" w:lineRule="exact"/>
        <w:rPr>
          <w:sz w:val="20"/>
          <w:szCs w:val="20"/>
          <w:color w:val="auto"/>
        </w:rPr>
      </w:pPr>
    </w:p>
    <w:p>
      <w:pPr>
        <w:ind w:right="80" w:firstLine="432"/>
        <w:spacing w:after="0" w:line="257" w:lineRule="auto"/>
        <w:rPr>
          <w:sz w:val="20"/>
          <w:szCs w:val="20"/>
          <w:color w:val="auto"/>
        </w:rPr>
      </w:pPr>
      <w:r>
        <w:rPr>
          <w:rFonts w:ascii="Times New Roman" w:cs="Times New Roman" w:eastAsia="Times New Roman" w:hAnsi="Times New Roman"/>
          <w:sz w:val="12"/>
          <w:szCs w:val="12"/>
          <w:color w:val="auto"/>
        </w:rPr>
        <w:t>SECTION 15.      </w:t>
      </w:r>
      <w:r>
        <w:rPr>
          <w:rFonts w:ascii="Times New Roman" w:cs="Times New Roman" w:eastAsia="Times New Roman" w:hAnsi="Times New Roman"/>
          <w:sz w:val="12"/>
          <w:szCs w:val="12"/>
          <w:u w:val="single" w:color="auto"/>
          <w:color w:val="auto"/>
        </w:rPr>
        <w:t>  Committees</w:t>
      </w:r>
      <w:r>
        <w:rPr>
          <w:rFonts w:ascii="Times New Roman" w:cs="Times New Roman" w:eastAsia="Times New Roman" w:hAnsi="Times New Roman"/>
          <w:sz w:val="12"/>
          <w:szCs w:val="12"/>
          <w:color w:val="auto"/>
        </w:rPr>
        <w:t>. The Board of Directors may designate one or more committees, including, without limitation, a Compensation Committee, a Nominating &amp; Corporate Governance Committee and an Audit Committee, and may delegate thereto some or all of its powers to such committee(s)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113" w:name="page114"/>
    <w:bookmarkEnd w:id="113"/>
    <w:p>
      <w:pPr>
        <w:ind w:right="200" w:firstLine="432"/>
        <w:spacing w:after="0" w:line="279" w:lineRule="auto"/>
        <w:rPr>
          <w:sz w:val="20"/>
          <w:szCs w:val="20"/>
          <w:color w:val="auto"/>
        </w:rPr>
      </w:pPr>
      <w:r>
        <w:rPr>
          <w:rFonts w:ascii="Times New Roman" w:cs="Times New Roman" w:eastAsia="Times New Roman" w:hAnsi="Times New Roman"/>
          <w:sz w:val="12"/>
          <w:szCs w:val="12"/>
          <w:color w:val="auto"/>
        </w:rPr>
        <w:t>SECTION 16.      </w:t>
      </w:r>
      <w:r>
        <w:rPr>
          <w:rFonts w:ascii="Times New Roman" w:cs="Times New Roman" w:eastAsia="Times New Roman" w:hAnsi="Times New Roman"/>
          <w:sz w:val="12"/>
          <w:szCs w:val="12"/>
          <w:u w:val="single" w:color="auto"/>
          <w:color w:val="auto"/>
        </w:rPr>
        <w:t>  Compensation of Directors</w:t>
      </w:r>
      <w:r>
        <w:rPr>
          <w:rFonts w:ascii="Times New Roman" w:cs="Times New Roman" w:eastAsia="Times New Roman" w:hAnsi="Times New Roman"/>
          <w:sz w:val="12"/>
          <w:szCs w:val="12"/>
          <w:color w:val="auto"/>
        </w:rPr>
        <w:t>. Directors shall receive such compensation for their services as shall be determined by the Board of Directors, or a designated committee thereof, provided that directors who are serving the Corporation as employees shall not receive any salary or other compensation for their services as directors of the Corporation.</w:t>
      </w:r>
    </w:p>
    <w:p>
      <w:pPr>
        <w:spacing w:after="0" w:line="111" w:lineRule="exact"/>
        <w:rPr>
          <w:sz w:val="20"/>
          <w:szCs w:val="20"/>
          <w:color w:val="auto"/>
        </w:rPr>
      </w:pPr>
    </w:p>
    <w:p>
      <w:pPr>
        <w:ind w:right="360" w:firstLine="432"/>
        <w:spacing w:after="0" w:line="279" w:lineRule="auto"/>
        <w:rPr>
          <w:sz w:val="20"/>
          <w:szCs w:val="20"/>
          <w:color w:val="auto"/>
        </w:rPr>
      </w:pPr>
      <w:r>
        <w:rPr>
          <w:rFonts w:ascii="Times New Roman" w:cs="Times New Roman" w:eastAsia="Times New Roman" w:hAnsi="Times New Roman"/>
          <w:sz w:val="12"/>
          <w:szCs w:val="12"/>
          <w:color w:val="auto"/>
        </w:rPr>
        <w:t>SECTION 17.      </w:t>
      </w:r>
      <w:r>
        <w:rPr>
          <w:rFonts w:ascii="Times New Roman" w:cs="Times New Roman" w:eastAsia="Times New Roman" w:hAnsi="Times New Roman"/>
          <w:sz w:val="12"/>
          <w:szCs w:val="12"/>
          <w:u w:val="single" w:color="auto"/>
          <w:color w:val="auto"/>
        </w:rPr>
        <w:t>  Emergency Bylaws</w:t>
      </w:r>
      <w:r>
        <w:rPr>
          <w:rFonts w:ascii="Times New Roman" w:cs="Times New Roman" w:eastAsia="Times New Roman" w:hAnsi="Times New Roman"/>
          <w:sz w:val="12"/>
          <w:szCs w:val="12"/>
          <w:color w:val="auto"/>
        </w:rPr>
        <w:t>. In the event of any emergency, disaster, catastrophe or other similar emergency condition of a type described in Section 110(a) of the DGCL (an “Emergency”), notwithstanding any different or conflicting provisions in the DGCL, the Certificate or these Bylaws, during such Emergency:</w:t>
      </w:r>
    </w:p>
    <w:p>
      <w:pPr>
        <w:spacing w:after="0" w:line="111" w:lineRule="exact"/>
        <w:rPr>
          <w:sz w:val="20"/>
          <w:szCs w:val="20"/>
          <w:color w:val="auto"/>
        </w:rPr>
      </w:pPr>
    </w:p>
    <w:p>
      <w:pPr>
        <w:ind w:right="20" w:firstLine="432"/>
        <w:spacing w:after="0" w:line="265" w:lineRule="auto"/>
        <w:rPr>
          <w:sz w:val="20"/>
          <w:szCs w:val="20"/>
          <w:color w:val="auto"/>
        </w:rPr>
      </w:pPr>
      <w:r>
        <w:rPr>
          <w:rFonts w:ascii="Times New Roman" w:cs="Times New Roman" w:eastAsia="Times New Roman" w:hAnsi="Times New Roman"/>
          <w:sz w:val="12"/>
          <w:szCs w:val="12"/>
          <w:color w:val="auto"/>
        </w:rPr>
        <w:t>(a)            A meeting of the Board of Directors or a committee thereof may be called by any director, the Chairperson of the Board, the Chief Executive Officer, the President or the Secretary by such means as, in the judgment of the person calling the meeting, may be feasible at the time, and notice of any such meeting of the Board of Directors or any committee may be given, in the judgment of the person calling the meeting, only to such directors as it may be feasible to reach at the time and by such means as may be feasible at the time. Such notice shall be given at such time in advance of the meeting as, in the judgment of the person calling the meeting, circumstances permit.</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(b)            The director or directors in attendance at a meeting called in accordance with Section 17(a) of this Article II shall constitute a quorum.</w:t>
      </w:r>
    </w:p>
    <w:p>
      <w:pPr>
        <w:spacing w:after="0" w:line="150" w:lineRule="exact"/>
        <w:rPr>
          <w:sz w:val="20"/>
          <w:szCs w:val="20"/>
          <w:color w:val="auto"/>
        </w:rPr>
      </w:pPr>
    </w:p>
    <w:p>
      <w:pPr>
        <w:ind w:right="100" w:firstLine="432"/>
        <w:spacing w:after="0" w:line="279" w:lineRule="auto"/>
        <w:rPr>
          <w:sz w:val="20"/>
          <w:szCs w:val="20"/>
          <w:color w:val="auto"/>
        </w:rPr>
      </w:pPr>
      <w:r>
        <w:rPr>
          <w:rFonts w:ascii="Times New Roman" w:cs="Times New Roman" w:eastAsia="Times New Roman" w:hAnsi="Times New Roman"/>
          <w:sz w:val="12"/>
          <w:szCs w:val="12"/>
          <w:color w:val="auto"/>
        </w:rPr>
        <w:t>(c)            No officer, director or employee acting in accordance with this Section 17 shall be liable except for willful misconduct. No amendment, repeal or change to this Section 17 shall modify the prior sentence with regard to actions taken prior to the time of such amendment, repeal or change.</w:t>
      </w:r>
    </w:p>
    <w:p>
      <w:pPr>
        <w:spacing w:after="0" w:line="111" w:lineRule="exact"/>
        <w:rPr>
          <w:sz w:val="20"/>
          <w:szCs w:val="20"/>
          <w:color w:val="auto"/>
        </w:rPr>
      </w:pPr>
    </w:p>
    <w:p>
      <w:pPr>
        <w:ind w:right="180" w:firstLine="432"/>
        <w:spacing w:after="0" w:line="279" w:lineRule="auto"/>
        <w:rPr>
          <w:sz w:val="20"/>
          <w:szCs w:val="20"/>
          <w:color w:val="auto"/>
        </w:rPr>
      </w:pPr>
      <w:r>
        <w:rPr>
          <w:rFonts w:ascii="Times New Roman" w:cs="Times New Roman" w:eastAsia="Times New Roman" w:hAnsi="Times New Roman"/>
          <w:sz w:val="12"/>
          <w:szCs w:val="12"/>
          <w:color w:val="auto"/>
        </w:rPr>
        <w:t>SECTION 18.      </w:t>
      </w:r>
      <w:r>
        <w:rPr>
          <w:rFonts w:ascii="Times New Roman" w:cs="Times New Roman" w:eastAsia="Times New Roman" w:hAnsi="Times New Roman"/>
          <w:sz w:val="12"/>
          <w:szCs w:val="12"/>
          <w:u w:val="single" w:color="auto"/>
          <w:color w:val="auto"/>
        </w:rPr>
        <w:t>  Observers</w:t>
      </w:r>
      <w:r>
        <w:rPr>
          <w:rFonts w:ascii="Times New Roman" w:cs="Times New Roman" w:eastAsia="Times New Roman" w:hAnsi="Times New Roman"/>
          <w:sz w:val="12"/>
          <w:szCs w:val="12"/>
          <w:color w:val="auto"/>
        </w:rPr>
        <w:t>. The Corporation may agree to appoint one or more observers to the Board of Directors (each, an “Observer”). The terms of appointment of any Observer shall be at the discretion of the Board of Directors including with respect to entitlement, scope, and timing of communications, participation, and attendance. In no case shall an Observer be entitled to vote at any meeting of the Board of Directors.</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u w:val="single" w:color="auto"/>
          <w:color w:val="auto"/>
        </w:rPr>
        <w:t>ARTICLE III</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u w:val="single" w:color="auto"/>
          <w:color w:val="auto"/>
        </w:rPr>
        <w:t>Officers</w:t>
      </w:r>
    </w:p>
    <w:p>
      <w:pPr>
        <w:spacing w:after="0" w:line="150"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SECTION 1.      </w:t>
      </w:r>
      <w:r>
        <w:rPr>
          <w:rFonts w:ascii="Times New Roman" w:cs="Times New Roman" w:eastAsia="Times New Roman" w:hAnsi="Times New Roman"/>
          <w:sz w:val="12"/>
          <w:szCs w:val="12"/>
          <w:u w:val="single" w:color="auto"/>
          <w:color w:val="auto"/>
        </w:rPr>
        <w:t>  Enumeration</w:t>
      </w:r>
      <w:r>
        <w:rPr>
          <w:rFonts w:ascii="Times New Roman" w:cs="Times New Roman" w:eastAsia="Times New Roman" w:hAnsi="Times New Roman"/>
          <w:sz w:val="12"/>
          <w:szCs w:val="12"/>
          <w:color w:val="auto"/>
        </w:rPr>
        <w:t>. The officers of the Corporation shall consist of a President, a Treasurer, a Secretary and such other officers, including, without limitation, a Chairperson of the Board, a Chief Executive Officer and one or more Vice Presidents (including Executive Vice Presidents or Senior Vice Presidents), Assistant Vice Presidents, Assistant Treasurers and Assistant Secretaries, as the Board of Directors may determine. Any number of offices may be held by the same person. The salaries and other compensation of the officers of the Corporation will be fixed by or in the manner designated by the Board of Directors or a committee thereof to which the Board of Directors has delegated such responsibility.</w:t>
      </w:r>
    </w:p>
    <w:p>
      <w:pPr>
        <w:spacing w:after="0" w:line="122" w:lineRule="exact"/>
        <w:rPr>
          <w:sz w:val="20"/>
          <w:szCs w:val="20"/>
          <w:color w:val="auto"/>
        </w:rPr>
      </w:pPr>
    </w:p>
    <w:p>
      <w:pPr>
        <w:ind w:right="160" w:firstLine="432"/>
        <w:spacing w:after="0" w:line="279" w:lineRule="auto"/>
        <w:rPr>
          <w:sz w:val="20"/>
          <w:szCs w:val="20"/>
          <w:color w:val="auto"/>
        </w:rPr>
      </w:pPr>
      <w:r>
        <w:rPr>
          <w:rFonts w:ascii="Times New Roman" w:cs="Times New Roman" w:eastAsia="Times New Roman" w:hAnsi="Times New Roman"/>
          <w:sz w:val="12"/>
          <w:szCs w:val="12"/>
          <w:color w:val="auto"/>
        </w:rPr>
        <w:t>SECTION 2.      </w:t>
      </w:r>
      <w:r>
        <w:rPr>
          <w:rFonts w:ascii="Times New Roman" w:cs="Times New Roman" w:eastAsia="Times New Roman" w:hAnsi="Times New Roman"/>
          <w:sz w:val="12"/>
          <w:szCs w:val="12"/>
          <w:u w:val="single" w:color="auto"/>
          <w:color w:val="auto"/>
        </w:rPr>
        <w:t>  Election</w:t>
      </w:r>
      <w:r>
        <w:rPr>
          <w:rFonts w:ascii="Times New Roman" w:cs="Times New Roman" w:eastAsia="Times New Roman" w:hAnsi="Times New Roman"/>
          <w:sz w:val="12"/>
          <w:szCs w:val="12"/>
          <w:color w:val="auto"/>
        </w:rPr>
        <w:t>. The Board of Directors shall elect the President, the Treasurer and the Secretary. Other officers may be elected by the Board of Directors or by such officers delegated such authority by the Board of Directors.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3.      </w:t>
      </w:r>
      <w:r>
        <w:rPr>
          <w:rFonts w:ascii="Times New Roman" w:cs="Times New Roman" w:eastAsia="Times New Roman" w:hAnsi="Times New Roman"/>
          <w:sz w:val="12"/>
          <w:szCs w:val="12"/>
          <w:u w:val="single" w:color="auto"/>
          <w:color w:val="auto"/>
        </w:rPr>
        <w:t>  Qualification</w:t>
      </w:r>
      <w:r>
        <w:rPr>
          <w:rFonts w:ascii="Times New Roman" w:cs="Times New Roman" w:eastAsia="Times New Roman" w:hAnsi="Times New Roman"/>
          <w:sz w:val="12"/>
          <w:szCs w:val="12"/>
          <w:color w:val="auto"/>
        </w:rPr>
        <w:t>. No officer need be a stockholder or a director.</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51" w:right="339" w:bottom="1440" w:gutter="0" w:footer="0" w:header="0"/>
        </w:sectPr>
      </w:pPr>
    </w:p>
    <w:bookmarkStart w:id="114" w:name="page115"/>
    <w:bookmarkEnd w:id="114"/>
    <w:p>
      <w:pPr>
        <w:ind w:right="220" w:firstLine="432"/>
        <w:spacing w:after="0" w:line="279" w:lineRule="auto"/>
        <w:rPr>
          <w:sz w:val="20"/>
          <w:szCs w:val="20"/>
          <w:color w:val="auto"/>
        </w:rPr>
      </w:pPr>
      <w:r>
        <w:rPr>
          <w:rFonts w:ascii="Times New Roman" w:cs="Times New Roman" w:eastAsia="Times New Roman" w:hAnsi="Times New Roman"/>
          <w:sz w:val="12"/>
          <w:szCs w:val="12"/>
          <w:color w:val="auto"/>
        </w:rPr>
        <w:t>SECTION 4.      </w:t>
      </w:r>
      <w:r>
        <w:rPr>
          <w:rFonts w:ascii="Times New Roman" w:cs="Times New Roman" w:eastAsia="Times New Roman" w:hAnsi="Times New Roman"/>
          <w:sz w:val="12"/>
          <w:szCs w:val="12"/>
          <w:u w:val="single" w:color="auto"/>
          <w:color w:val="auto"/>
        </w:rPr>
        <w:t>  Tenure</w:t>
      </w:r>
      <w:r>
        <w:rPr>
          <w:rFonts w:ascii="Times New Roman" w:cs="Times New Roman" w:eastAsia="Times New Roman" w:hAnsi="Times New Roman"/>
          <w:sz w:val="12"/>
          <w:szCs w:val="12"/>
          <w:color w:val="auto"/>
        </w:rPr>
        <w:t>. Except as otherwise provided by the Certificate or by these Bylaws, each of the officers of the Corporation shall hold office until his or her successor is elected and qualified or until his or her earlier death, resignation or removal.</w:t>
      </w:r>
    </w:p>
    <w:p>
      <w:pPr>
        <w:spacing w:after="0" w:line="111" w:lineRule="exact"/>
        <w:rPr>
          <w:sz w:val="20"/>
          <w:szCs w:val="20"/>
          <w:color w:val="auto"/>
        </w:rPr>
      </w:pPr>
    </w:p>
    <w:p>
      <w:pPr>
        <w:ind w:right="100" w:firstLine="432"/>
        <w:spacing w:after="0" w:line="257" w:lineRule="auto"/>
        <w:rPr>
          <w:sz w:val="20"/>
          <w:szCs w:val="20"/>
          <w:color w:val="auto"/>
        </w:rPr>
      </w:pPr>
      <w:r>
        <w:rPr>
          <w:rFonts w:ascii="Times New Roman" w:cs="Times New Roman" w:eastAsia="Times New Roman" w:hAnsi="Times New Roman"/>
          <w:sz w:val="12"/>
          <w:szCs w:val="12"/>
          <w:color w:val="auto"/>
        </w:rPr>
        <w:t>SECTION 5.      </w:t>
      </w:r>
      <w:r>
        <w:rPr>
          <w:rFonts w:ascii="Times New Roman" w:cs="Times New Roman" w:eastAsia="Times New Roman" w:hAnsi="Times New Roman"/>
          <w:sz w:val="12"/>
          <w:szCs w:val="12"/>
          <w:u w:val="single" w:color="auto"/>
          <w:color w:val="auto"/>
        </w:rPr>
        <w:t>  Resignation and Removal</w:t>
      </w:r>
      <w:r>
        <w:rPr>
          <w:rFonts w:ascii="Times New Roman" w:cs="Times New Roman" w:eastAsia="Times New Roman" w:hAnsi="Times New Roman"/>
          <w:sz w:val="12"/>
          <w:szCs w:val="12"/>
          <w:color w:val="auto"/>
        </w:rPr>
        <w:t>. Any officer may resign by delivering his or her written or electronically transmitted resignation to the Corporation addressed to the President or the Secretary, and such resignation shall be effective upon receipt, unless the resignation otherwise provides. Any resignation is without prejudice to the rights, if any, of the Corporation under any contract to which the officer is a party. Except as otherwise provided by law or by resolution of the Board of Directors, the Board of Directors may remove any officer. Except as the Board of Directors may otherwise determine, no officer who resigns or is removed shall have any right to any compensation as an officer for any period following his or her resignation or removal, or any right to damages on account of such removal, whether his or her compensation be by the month or by the year or otherwise, unless such compensation is expressly provided in a duly authorized written agreement with the Corporation.</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6.      </w:t>
      </w:r>
      <w:r>
        <w:rPr>
          <w:rFonts w:ascii="Times New Roman" w:cs="Times New Roman" w:eastAsia="Times New Roman" w:hAnsi="Times New Roman"/>
          <w:sz w:val="12"/>
          <w:szCs w:val="12"/>
          <w:u w:val="single" w:color="auto"/>
          <w:color w:val="auto"/>
        </w:rPr>
        <w:t>  Absence or Disability</w:t>
      </w:r>
      <w:r>
        <w:rPr>
          <w:rFonts w:ascii="Times New Roman" w:cs="Times New Roman" w:eastAsia="Times New Roman" w:hAnsi="Times New Roman"/>
          <w:sz w:val="12"/>
          <w:szCs w:val="12"/>
          <w:color w:val="auto"/>
        </w:rPr>
        <w:t>. In the event of the absence or disability of any officer, the Board of Directors may designate another officer to act temporarily in place of such absent or disabled officer.</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7.      </w:t>
      </w:r>
      <w:r>
        <w:rPr>
          <w:rFonts w:ascii="Times New Roman" w:cs="Times New Roman" w:eastAsia="Times New Roman" w:hAnsi="Times New Roman"/>
          <w:sz w:val="12"/>
          <w:szCs w:val="12"/>
          <w:u w:val="single" w:color="auto"/>
          <w:color w:val="auto"/>
        </w:rPr>
        <w:t>  Vacancies</w:t>
      </w:r>
      <w:r>
        <w:rPr>
          <w:rFonts w:ascii="Times New Roman" w:cs="Times New Roman" w:eastAsia="Times New Roman" w:hAnsi="Times New Roman"/>
          <w:sz w:val="12"/>
          <w:szCs w:val="12"/>
          <w:color w:val="auto"/>
        </w:rPr>
        <w:t>. Any vacancy in any office may be filled for the unexpired portion of the term by the Board of Directors.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8.      </w:t>
      </w:r>
      <w:r>
        <w:rPr>
          <w:rFonts w:ascii="Times New Roman" w:cs="Times New Roman" w:eastAsia="Times New Roman" w:hAnsi="Times New Roman"/>
          <w:sz w:val="12"/>
          <w:szCs w:val="12"/>
          <w:u w:val="single" w:color="auto"/>
          <w:color w:val="auto"/>
        </w:rPr>
        <w:t>  President</w:t>
      </w:r>
      <w:r>
        <w:rPr>
          <w:rFonts w:ascii="Times New Roman" w:cs="Times New Roman" w:eastAsia="Times New Roman" w:hAnsi="Times New Roman"/>
          <w:sz w:val="12"/>
          <w:szCs w:val="12"/>
          <w:color w:val="auto"/>
        </w:rPr>
        <w:t>. The President shall, subject to the direction of the Board of Directors, have such powers and shall perform such duties as the Board of Directors may from time to time designate.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9.      </w:t>
      </w:r>
      <w:r>
        <w:rPr>
          <w:rFonts w:ascii="Times New Roman" w:cs="Times New Roman" w:eastAsia="Times New Roman" w:hAnsi="Times New Roman"/>
          <w:sz w:val="12"/>
          <w:szCs w:val="12"/>
          <w:u w:val="single" w:color="auto"/>
          <w:color w:val="auto"/>
        </w:rPr>
        <w:t>  Chairperson of the Board</w:t>
      </w:r>
      <w:r>
        <w:rPr>
          <w:rFonts w:ascii="Times New Roman" w:cs="Times New Roman" w:eastAsia="Times New Roman" w:hAnsi="Times New Roman"/>
          <w:sz w:val="12"/>
          <w:szCs w:val="12"/>
          <w:color w:val="auto"/>
        </w:rPr>
        <w:t>. The Chairperson of the Board, if one is elected, shall have such powers and shall perform such duties as the Board of Directors may from time to time designate.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10.      </w:t>
      </w:r>
      <w:r>
        <w:rPr>
          <w:rFonts w:ascii="Times New Roman" w:cs="Times New Roman" w:eastAsia="Times New Roman" w:hAnsi="Times New Roman"/>
          <w:sz w:val="12"/>
          <w:szCs w:val="12"/>
          <w:u w:val="single" w:color="auto"/>
          <w:color w:val="auto"/>
        </w:rPr>
        <w:t>  Chief Executive Officer</w:t>
      </w:r>
      <w:r>
        <w:rPr>
          <w:rFonts w:ascii="Times New Roman" w:cs="Times New Roman" w:eastAsia="Times New Roman" w:hAnsi="Times New Roman"/>
          <w:sz w:val="12"/>
          <w:szCs w:val="12"/>
          <w:color w:val="auto"/>
        </w:rPr>
        <w:t>. The Chief Executive Officer, if one is elected, shall have such powers and shall perform such duties as the Board of Directors may from time to time designate.</w:t>
      </w:r>
    </w:p>
    <w:p>
      <w:pPr>
        <w:spacing w:after="0" w:line="150" w:lineRule="exact"/>
        <w:rPr>
          <w:sz w:val="20"/>
          <w:szCs w:val="20"/>
          <w:color w:val="auto"/>
        </w:rPr>
      </w:pPr>
    </w:p>
    <w:p>
      <w:pPr>
        <w:ind w:right="60" w:firstLine="432"/>
        <w:spacing w:after="0" w:line="279" w:lineRule="auto"/>
        <w:rPr>
          <w:sz w:val="20"/>
          <w:szCs w:val="20"/>
          <w:color w:val="auto"/>
        </w:rPr>
      </w:pPr>
      <w:r>
        <w:rPr>
          <w:rFonts w:ascii="Times New Roman" w:cs="Times New Roman" w:eastAsia="Times New Roman" w:hAnsi="Times New Roman"/>
          <w:sz w:val="12"/>
          <w:szCs w:val="12"/>
          <w:color w:val="auto"/>
        </w:rPr>
        <w:t>SECTION 11.      </w:t>
      </w:r>
      <w:r>
        <w:rPr>
          <w:rFonts w:ascii="Times New Roman" w:cs="Times New Roman" w:eastAsia="Times New Roman" w:hAnsi="Times New Roman"/>
          <w:sz w:val="12"/>
          <w:szCs w:val="12"/>
          <w:u w:val="single" w:color="auto"/>
          <w:color w:val="auto"/>
        </w:rPr>
        <w:t>  Vice Presidents and Assistant Vice Presidents</w:t>
      </w:r>
      <w:r>
        <w:rPr>
          <w:rFonts w:ascii="Times New Roman" w:cs="Times New Roman" w:eastAsia="Times New Roman" w:hAnsi="Times New Roman"/>
          <w:sz w:val="12"/>
          <w:szCs w:val="12"/>
          <w:color w:val="auto"/>
        </w:rPr>
        <w:t>.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111" w:lineRule="exact"/>
        <w:rPr>
          <w:sz w:val="20"/>
          <w:szCs w:val="20"/>
          <w:color w:val="auto"/>
        </w:rPr>
      </w:pPr>
    </w:p>
    <w:p>
      <w:pPr>
        <w:ind w:right="140" w:firstLine="432"/>
        <w:spacing w:after="0" w:line="260" w:lineRule="auto"/>
        <w:rPr>
          <w:sz w:val="20"/>
          <w:szCs w:val="20"/>
          <w:color w:val="auto"/>
        </w:rPr>
      </w:pPr>
      <w:r>
        <w:rPr>
          <w:rFonts w:ascii="Times New Roman" w:cs="Times New Roman" w:eastAsia="Times New Roman" w:hAnsi="Times New Roman"/>
          <w:sz w:val="12"/>
          <w:szCs w:val="12"/>
          <w:color w:val="auto"/>
        </w:rPr>
        <w:t>SECTION 12.      </w:t>
      </w:r>
      <w:r>
        <w:rPr>
          <w:rFonts w:ascii="Times New Roman" w:cs="Times New Roman" w:eastAsia="Times New Roman" w:hAnsi="Times New Roman"/>
          <w:sz w:val="12"/>
          <w:szCs w:val="12"/>
          <w:u w:val="single" w:color="auto"/>
          <w:color w:val="auto"/>
        </w:rPr>
        <w:t>  Treasurer and Assistant Treasurers</w:t>
      </w:r>
      <w:r>
        <w:rPr>
          <w:rFonts w:ascii="Times New Roman" w:cs="Times New Roman" w:eastAsia="Times New Roman" w:hAnsi="Times New Roman"/>
          <w:sz w:val="12"/>
          <w:szCs w:val="12"/>
          <w:color w:val="auto"/>
        </w:rPr>
        <w:t>.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122"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2"/>
          <w:szCs w:val="12"/>
          <w:color w:val="auto"/>
        </w:rPr>
        <w:t>SECTION 13.      </w:t>
      </w:r>
      <w:r>
        <w:rPr>
          <w:rFonts w:ascii="Times New Roman" w:cs="Times New Roman" w:eastAsia="Times New Roman" w:hAnsi="Times New Roman"/>
          <w:sz w:val="12"/>
          <w:szCs w:val="12"/>
          <w:u w:val="single" w:color="auto"/>
          <w:color w:val="auto"/>
        </w:rPr>
        <w:t>  Secretary and Assistant Secretaries</w:t>
      </w:r>
      <w:r>
        <w:rPr>
          <w:rFonts w:ascii="Times New Roman" w:cs="Times New Roman" w:eastAsia="Times New Roman" w:hAnsi="Times New Roman"/>
          <w:sz w:val="12"/>
          <w:szCs w:val="12"/>
          <w:color w:val="auto"/>
        </w:rPr>
        <w:t>.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115" w:name="page116"/>
    <w:bookmarkEnd w:id="115"/>
    <w:p>
      <w:pPr>
        <w:ind w:right="140" w:firstLine="432"/>
        <w:spacing w:after="0" w:line="279" w:lineRule="auto"/>
        <w:rPr>
          <w:sz w:val="20"/>
          <w:szCs w:val="20"/>
          <w:color w:val="auto"/>
        </w:rPr>
      </w:pPr>
      <w:r>
        <w:rPr>
          <w:rFonts w:ascii="Times New Roman" w:cs="Times New Roman" w:eastAsia="Times New Roman" w:hAnsi="Times New Roman"/>
          <w:sz w:val="12"/>
          <w:szCs w:val="12"/>
          <w:color w:val="auto"/>
        </w:rPr>
        <w:t>SECTION 14.      </w:t>
      </w:r>
      <w:r>
        <w:rPr>
          <w:rFonts w:ascii="Times New Roman" w:cs="Times New Roman" w:eastAsia="Times New Roman" w:hAnsi="Times New Roman"/>
          <w:sz w:val="12"/>
          <w:szCs w:val="12"/>
          <w:u w:val="single" w:color="auto"/>
          <w:color w:val="auto"/>
        </w:rPr>
        <w:t>  Other Powers and Duties</w:t>
      </w:r>
      <w:r>
        <w:rPr>
          <w:rFonts w:ascii="Times New Roman" w:cs="Times New Roman" w:eastAsia="Times New Roman" w:hAnsi="Times New Roman"/>
          <w:sz w:val="12"/>
          <w:szCs w:val="12"/>
          <w:color w:val="auto"/>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111" w:lineRule="exact"/>
        <w:rPr>
          <w:sz w:val="20"/>
          <w:szCs w:val="20"/>
          <w:color w:val="auto"/>
        </w:rPr>
      </w:pPr>
    </w:p>
    <w:p>
      <w:pPr>
        <w:ind w:right="40" w:firstLine="432"/>
        <w:spacing w:after="0" w:line="265" w:lineRule="auto"/>
        <w:rPr>
          <w:sz w:val="20"/>
          <w:szCs w:val="20"/>
          <w:color w:val="auto"/>
        </w:rPr>
      </w:pPr>
      <w:r>
        <w:rPr>
          <w:rFonts w:ascii="Times New Roman" w:cs="Times New Roman" w:eastAsia="Times New Roman" w:hAnsi="Times New Roman"/>
          <w:sz w:val="12"/>
          <w:szCs w:val="12"/>
          <w:color w:val="auto"/>
        </w:rPr>
        <w:t>SECTION 15.      </w:t>
      </w:r>
      <w:r>
        <w:rPr>
          <w:rFonts w:ascii="Times New Roman" w:cs="Times New Roman" w:eastAsia="Times New Roman" w:hAnsi="Times New Roman"/>
          <w:sz w:val="12"/>
          <w:szCs w:val="12"/>
          <w:u w:val="single" w:color="auto"/>
          <w:color w:val="auto"/>
        </w:rPr>
        <w:t>  Representation of Shares of Other Corporations</w:t>
      </w:r>
      <w:r>
        <w:rPr>
          <w:rFonts w:ascii="Times New Roman" w:cs="Times New Roman" w:eastAsia="Times New Roman" w:hAnsi="Times New Roman"/>
          <w:sz w:val="12"/>
          <w:szCs w:val="12"/>
          <w:color w:val="auto"/>
        </w:rPr>
        <w:t>. The Chairperson of the Board, the President, any Vice President, the Treasurer, the Secretary or Assistant Secretary of this Corporation, or any other person authorized by the Board of Directors or the President or a Vice President, is authorized to vote, represent and exercise on behalf of this Corporation all rights incident to any and all securities of any other entity or entities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19" w:lineRule="exact"/>
        <w:rPr>
          <w:sz w:val="20"/>
          <w:szCs w:val="20"/>
          <w:color w:val="auto"/>
        </w:rPr>
      </w:pPr>
    </w:p>
    <w:p>
      <w:pPr>
        <w:ind w:right="20" w:firstLine="432"/>
        <w:spacing w:after="0" w:line="265" w:lineRule="auto"/>
        <w:rPr>
          <w:sz w:val="20"/>
          <w:szCs w:val="20"/>
          <w:color w:val="auto"/>
        </w:rPr>
      </w:pPr>
      <w:r>
        <w:rPr>
          <w:rFonts w:ascii="Times New Roman" w:cs="Times New Roman" w:eastAsia="Times New Roman" w:hAnsi="Times New Roman"/>
          <w:sz w:val="12"/>
          <w:szCs w:val="12"/>
          <w:color w:val="auto"/>
        </w:rPr>
        <w:t>SECTION 16.      </w:t>
      </w:r>
      <w:r>
        <w:rPr>
          <w:rFonts w:ascii="Times New Roman" w:cs="Times New Roman" w:eastAsia="Times New Roman" w:hAnsi="Times New Roman"/>
          <w:sz w:val="12"/>
          <w:szCs w:val="12"/>
          <w:u w:val="single" w:color="auto"/>
          <w:color w:val="auto"/>
        </w:rPr>
        <w:t>  Bonded Officers</w:t>
      </w:r>
      <w:r>
        <w:rPr>
          <w:rFonts w:ascii="Times New Roman" w:cs="Times New Roman" w:eastAsia="Times New Roman" w:hAnsi="Times New Roman"/>
          <w:sz w:val="12"/>
          <w:szCs w:val="12"/>
          <w:color w:val="auto"/>
        </w:rPr>
        <w:t>. The Board of Directors may require any officer to give the Corporation a bond in such sum and with such surety or sureties as shall be satisfactory to the Board of Directors upon such terms and conditions as the Board of Directors may specify, including, without limitation, a bond for the faithful performance of his or her duties and for the restoration to the Corporation of all property in his or her possession or under his or her control belonging to the Corporation.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u w:val="single" w:color="auto"/>
          <w:color w:val="auto"/>
        </w:rPr>
        <w:t>ARTICLE IV</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u w:val="single" w:color="auto"/>
          <w:color w:val="auto"/>
        </w:rPr>
        <w:t>Capital Stock</w:t>
      </w:r>
    </w:p>
    <w:p>
      <w:pPr>
        <w:spacing w:after="0" w:line="150"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2"/>
          <w:szCs w:val="12"/>
          <w:color w:val="auto"/>
        </w:rPr>
        <w:t>SECTION 1.      </w:t>
      </w:r>
      <w:r>
        <w:rPr>
          <w:rFonts w:ascii="Times New Roman" w:cs="Times New Roman" w:eastAsia="Times New Roman" w:hAnsi="Times New Roman"/>
          <w:sz w:val="12"/>
          <w:szCs w:val="12"/>
          <w:u w:val="single" w:color="auto"/>
          <w:color w:val="auto"/>
        </w:rPr>
        <w:t>  Certificates of Stock</w:t>
      </w:r>
      <w:r>
        <w:rPr>
          <w:rFonts w:ascii="Times New Roman" w:cs="Times New Roman" w:eastAsia="Times New Roman" w:hAnsi="Times New Roman"/>
          <w:sz w:val="12"/>
          <w:szCs w:val="12"/>
          <w:color w:val="auto"/>
        </w:rPr>
        <w:t>. Each stockholder shall be entitled to a certificate of the capital stock of the Corporation in such form as may from time to time be prescribed by the Board of Directors. Such certificate shall be signed by any two authorized officers of the Corporation.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Notwithstanding anything to the contrary provided in these Bylaws, the Board of Directors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126" w:lineRule="exact"/>
        <w:rPr>
          <w:sz w:val="20"/>
          <w:szCs w:val="20"/>
          <w:color w:val="auto"/>
        </w:rPr>
      </w:pPr>
    </w:p>
    <w:p>
      <w:pPr>
        <w:jc w:val="both"/>
        <w:ind w:right="80" w:firstLine="432"/>
        <w:spacing w:after="0" w:line="260" w:lineRule="auto"/>
        <w:rPr>
          <w:sz w:val="20"/>
          <w:szCs w:val="20"/>
          <w:color w:val="auto"/>
        </w:rPr>
      </w:pPr>
      <w:r>
        <w:rPr>
          <w:rFonts w:ascii="Times New Roman" w:cs="Times New Roman" w:eastAsia="Times New Roman" w:hAnsi="Times New Roman"/>
          <w:sz w:val="12"/>
          <w:szCs w:val="12"/>
          <w:color w:val="auto"/>
        </w:rPr>
        <w:t>SECTION 2.      </w:t>
      </w:r>
      <w:r>
        <w:rPr>
          <w:rFonts w:ascii="Times New Roman" w:cs="Times New Roman" w:eastAsia="Times New Roman" w:hAnsi="Times New Roman"/>
          <w:sz w:val="12"/>
          <w:szCs w:val="12"/>
          <w:u w:val="single" w:color="auto"/>
          <w:color w:val="auto"/>
        </w:rPr>
        <w:t>  Transfers</w:t>
      </w:r>
      <w:r>
        <w:rPr>
          <w:rFonts w:ascii="Times New Roman" w:cs="Times New Roman" w:eastAsia="Times New Roman" w:hAnsi="Times New Roman"/>
          <w:sz w:val="12"/>
          <w:szCs w:val="12"/>
          <w:color w:val="auto"/>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therefor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122" w:lineRule="exact"/>
        <w:rPr>
          <w:sz w:val="20"/>
          <w:szCs w:val="20"/>
          <w:color w:val="auto"/>
        </w:rPr>
      </w:pPr>
    </w:p>
    <w:p>
      <w:pPr>
        <w:ind w:right="220" w:firstLine="432"/>
        <w:spacing w:after="0" w:line="279" w:lineRule="auto"/>
        <w:rPr>
          <w:sz w:val="20"/>
          <w:szCs w:val="20"/>
          <w:color w:val="auto"/>
        </w:rPr>
      </w:pPr>
      <w:r>
        <w:rPr>
          <w:rFonts w:ascii="Times New Roman" w:cs="Times New Roman" w:eastAsia="Times New Roman" w:hAnsi="Times New Roman"/>
          <w:sz w:val="12"/>
          <w:szCs w:val="12"/>
          <w:color w:val="auto"/>
        </w:rPr>
        <w:t>SECTION 3.      </w:t>
      </w:r>
      <w:r>
        <w:rPr>
          <w:rFonts w:ascii="Times New Roman" w:cs="Times New Roman" w:eastAsia="Times New Roman" w:hAnsi="Times New Roman"/>
          <w:sz w:val="12"/>
          <w:szCs w:val="12"/>
          <w:u w:val="single" w:color="auto"/>
          <w:color w:val="auto"/>
        </w:rPr>
        <w:t>  Stock Transfer Agreements</w:t>
      </w:r>
      <w:r>
        <w:rPr>
          <w:rFonts w:ascii="Times New Roman" w:cs="Times New Roman" w:eastAsia="Times New Roman" w:hAnsi="Times New Roman"/>
          <w:sz w:val="12"/>
          <w:szCs w:val="12"/>
          <w:color w:val="auto"/>
        </w:rPr>
        <w:t>. 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11"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2"/>
          <w:szCs w:val="12"/>
          <w:color w:val="auto"/>
        </w:rPr>
        <w:t>SECTION 4.      </w:t>
      </w:r>
      <w:r>
        <w:rPr>
          <w:rFonts w:ascii="Times New Roman" w:cs="Times New Roman" w:eastAsia="Times New Roman" w:hAnsi="Times New Roman"/>
          <w:sz w:val="12"/>
          <w:szCs w:val="12"/>
          <w:u w:val="single" w:color="auto"/>
          <w:color w:val="auto"/>
        </w:rPr>
        <w:t>  Record Holders</w:t>
      </w:r>
      <w:r>
        <w:rPr>
          <w:rFonts w:ascii="Times New Roman" w:cs="Times New Roman" w:eastAsia="Times New Roman" w:hAnsi="Times New Roman"/>
          <w:sz w:val="12"/>
          <w:szCs w:val="12"/>
          <w:color w:val="auto"/>
        </w:rPr>
        <w:t>.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116" w:name="page117"/>
    <w:bookmarkEnd w:id="116"/>
    <w:p>
      <w:pPr>
        <w:ind w:right="20" w:firstLine="432"/>
        <w:spacing w:after="0" w:line="255" w:lineRule="auto"/>
        <w:rPr>
          <w:sz w:val="20"/>
          <w:szCs w:val="20"/>
          <w:color w:val="auto"/>
        </w:rPr>
      </w:pPr>
      <w:r>
        <w:rPr>
          <w:rFonts w:ascii="Times New Roman" w:cs="Times New Roman" w:eastAsia="Times New Roman" w:hAnsi="Times New Roman"/>
          <w:sz w:val="12"/>
          <w:szCs w:val="12"/>
          <w:color w:val="auto"/>
        </w:rPr>
        <w:t>SECTION 5.      </w:t>
      </w:r>
      <w:r>
        <w:rPr>
          <w:rFonts w:ascii="Times New Roman" w:cs="Times New Roman" w:eastAsia="Times New Roman" w:hAnsi="Times New Roman"/>
          <w:sz w:val="12"/>
          <w:szCs w:val="12"/>
          <w:u w:val="single" w:color="auto"/>
          <w:color w:val="auto"/>
        </w:rPr>
        <w:t>  Record Date</w:t>
      </w:r>
      <w:r>
        <w:rPr>
          <w:rFonts w:ascii="Times New Roman" w:cs="Times New Roman" w:eastAsia="Times New Roman" w:hAnsi="Times New Roman"/>
          <w:sz w:val="12"/>
          <w:szCs w:val="12"/>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5:00 p.m. Eastern time on the day next preceding the day on which notice is given, or, if notice is waived, at 5:00 p.m. Eastern time on the day next preceding the day on which the meeting is held; and (ii) the record date for determining stockholders for any other purpose shall be 5:00 p.m. Eastern time on the day on which the Board of Directors adopts the resolution relating thereto.</w:t>
      </w:r>
    </w:p>
    <w:p>
      <w:pPr>
        <w:spacing w:after="0" w:line="126"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SECTION 6.      </w:t>
      </w:r>
      <w:r>
        <w:rPr>
          <w:rFonts w:ascii="Times New Roman" w:cs="Times New Roman" w:eastAsia="Times New Roman" w:hAnsi="Times New Roman"/>
          <w:sz w:val="12"/>
          <w:szCs w:val="12"/>
          <w:u w:val="single" w:color="auto"/>
          <w:color w:val="auto"/>
        </w:rPr>
        <w:t>  Replacement of Certificates</w:t>
      </w:r>
      <w:r>
        <w:rPr>
          <w:rFonts w:ascii="Times New Roman" w:cs="Times New Roman" w:eastAsia="Times New Roman" w:hAnsi="Times New Roman"/>
          <w:sz w:val="12"/>
          <w:szCs w:val="12"/>
          <w:color w:val="auto"/>
        </w:rPr>
        <w:t>. In case of the alleged loss, destruction or mutilation of a certificate of stock of the Corporation, a duplicate certificate may be issued in place thereof, upon such terms as the Board of Directors may prescribe.</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7.      </w:t>
      </w:r>
      <w:r>
        <w:rPr>
          <w:rFonts w:ascii="Times New Roman" w:cs="Times New Roman" w:eastAsia="Times New Roman" w:hAnsi="Times New Roman"/>
          <w:sz w:val="12"/>
          <w:szCs w:val="12"/>
          <w:u w:val="single" w:color="auto"/>
          <w:color w:val="auto"/>
        </w:rPr>
        <w:t>  Lock-Up</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2"/>
          <w:szCs w:val="12"/>
          <w:color w:val="auto"/>
        </w:rPr>
        <w:t>(a)            Subject to Section 7(b) of this Article IV, the holders (the “Lock-up Holders”) of common stock of the Corporation, par value of $0.00001 per share (“Common Stock”), including (1) the shares of Common Stock designated as Series A Common Stock (“Series A Common Stock”) and Series B Common Stock, issued (i) as consideration pursuant to the merger of Factorial Inc., a Delaware corporation (“Factorial”), with and into Fenway MS, Inc., a Delaware corporation and a direct, wholly owned subsidiary of the Corporation (“Merger Sub”) (the “Factorial Transaction”), pursuant to that certain Business Combination Agreement, dated as of [__], 2025 (the “Business Combination Agreement”), by and among Factorial, the Corporation, and Merger Sub, or (ii) upon the settlement or exercise of warrants, stock options, restricted stock units or other equity awards assumed, continued or substituted by the Corporation pursuant to the Business Combination Agreement (such awards, the “Equity Awards” and such shares, the “Factorial Equity Award Shares”) and (2) the Sponsor Shares, shall not, without the prior written consent of the Board of Directors, Transfer any Lock-up Shares until the end of the Lock-up Period (the “Lock-up”).</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(b)            The restrictions set forth in Section 7(a) of this Article IV shall not apply to:</w:t>
      </w:r>
    </w:p>
    <w:p>
      <w:pPr>
        <w:spacing w:after="0" w:line="150" w:lineRule="exact"/>
        <w:rPr>
          <w:sz w:val="20"/>
          <w:szCs w:val="20"/>
          <w:color w:val="auto"/>
        </w:rPr>
      </w:pPr>
    </w:p>
    <w:p>
      <w:pPr>
        <w:ind w:left="420" w:right="40" w:firstLine="432"/>
        <w:spacing w:after="0" w:line="279" w:lineRule="auto"/>
        <w:rPr>
          <w:sz w:val="20"/>
          <w:szCs w:val="20"/>
          <w:color w:val="auto"/>
        </w:rPr>
      </w:pPr>
      <w:r>
        <w:rPr>
          <w:rFonts w:ascii="Times New Roman" w:cs="Times New Roman" w:eastAsia="Times New Roman" w:hAnsi="Times New Roman"/>
          <w:sz w:val="12"/>
          <w:szCs w:val="12"/>
          <w:color w:val="auto"/>
        </w:rPr>
        <w:t>(1)            a Transfer to the Corporation’s officers or directors, any affiliate or family members of the Corporation’s officers or directors, any members or partners of such Lock-up Holder or their affiliates, any affiliates of such Lock-up Holder, or any employees of such affiliates;</w:t>
      </w:r>
    </w:p>
    <w:p>
      <w:pPr>
        <w:spacing w:after="0" w:line="111" w:lineRule="exact"/>
        <w:rPr>
          <w:sz w:val="20"/>
          <w:szCs w:val="20"/>
          <w:color w:val="auto"/>
        </w:rPr>
      </w:pPr>
    </w:p>
    <w:p>
      <w:pPr>
        <w:ind w:left="420" w:right="400" w:firstLine="432"/>
        <w:spacing w:after="0" w:line="279" w:lineRule="auto"/>
        <w:rPr>
          <w:sz w:val="20"/>
          <w:szCs w:val="20"/>
          <w:color w:val="auto"/>
        </w:rPr>
      </w:pPr>
      <w:r>
        <w:rPr>
          <w:rFonts w:ascii="Times New Roman" w:cs="Times New Roman" w:eastAsia="Times New Roman" w:hAnsi="Times New Roman"/>
          <w:sz w:val="12"/>
          <w:szCs w:val="12"/>
          <w:color w:val="auto"/>
        </w:rPr>
        <w:t>(2)            in the case of an individual, a Transfer by gift to a member of the individual’s immediate family (as defined below), or to a trust, the beneficiary of which is the individual or a member of the individual’s immediate family or an affiliate of such person, or to a charitable organization;</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(3)            in the case of an individual, Transfers by virtue of laws of descent and distribution upon death of the individual;</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(4)            in the case of an individual, Transfers by operation of law or pursuant to a qualified domestic relations order;</w:t>
      </w:r>
    </w:p>
    <w:p>
      <w:pPr>
        <w:spacing w:after="0" w:line="150" w:lineRule="exact"/>
        <w:rPr>
          <w:sz w:val="20"/>
          <w:szCs w:val="20"/>
          <w:color w:val="auto"/>
        </w:rPr>
      </w:pPr>
    </w:p>
    <w:p>
      <w:pPr>
        <w:ind w:left="420" w:right="240" w:firstLine="432"/>
        <w:spacing w:after="0" w:line="279" w:lineRule="auto"/>
        <w:rPr>
          <w:sz w:val="20"/>
          <w:szCs w:val="20"/>
          <w:color w:val="auto"/>
        </w:rPr>
      </w:pPr>
      <w:r>
        <w:rPr>
          <w:rFonts w:ascii="Times New Roman" w:cs="Times New Roman" w:eastAsia="Times New Roman" w:hAnsi="Times New Roman"/>
          <w:sz w:val="12"/>
          <w:szCs w:val="12"/>
          <w:color w:val="auto"/>
        </w:rPr>
        <w:t>(5)            in the case of an individual, Transfers to a partnership, limited liability company or other entity of which the undersigned and/or the immediate family (as defined below) of the undersigned are the legal and beneficial owner of all of the outstanding equity securities or similar interests;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117" w:name="page118"/>
    <w:bookmarkEnd w:id="117"/>
    <w:p>
      <w:pPr>
        <w:ind w:left="420" w:right="20" w:firstLine="432"/>
        <w:spacing w:after="0" w:line="279" w:lineRule="auto"/>
        <w:rPr>
          <w:sz w:val="20"/>
          <w:szCs w:val="20"/>
          <w:color w:val="auto"/>
        </w:rPr>
      </w:pPr>
      <w:r>
        <w:rPr>
          <w:rFonts w:ascii="Times New Roman" w:cs="Times New Roman" w:eastAsia="Times New Roman" w:hAnsi="Times New Roman"/>
          <w:sz w:val="12"/>
          <w:szCs w:val="12"/>
          <w:color w:val="auto"/>
        </w:rPr>
        <w:t>(6)            in the case of an entity, Transfers to any direct or indirect partners, members or equity holders of such entity, or any related investment funds or vehicles controlled or managed by such persons or entities or their respective affiliates;</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(7)            in the case of an entity that is a trust, Transfers to a trustor or beneficiary of the trust or to the estate of a beneficiary of such trust;</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(8)            in the case of an entity, Transfers by virtue of the laws of the entity’s jurisdiction of formation or incorporation or the entity’s organizational documents upon dissolution of the entity;</w:t>
      </w:r>
    </w:p>
    <w:p>
      <w:pPr>
        <w:spacing w:after="0" w:line="150" w:lineRule="exact"/>
        <w:rPr>
          <w:sz w:val="20"/>
          <w:szCs w:val="20"/>
          <w:color w:val="auto"/>
        </w:rPr>
      </w:pPr>
    </w:p>
    <w:p>
      <w:pPr>
        <w:ind w:left="420" w:right="60" w:firstLine="432"/>
        <w:spacing w:after="0" w:line="279" w:lineRule="auto"/>
        <w:rPr>
          <w:sz w:val="20"/>
          <w:szCs w:val="20"/>
          <w:color w:val="auto"/>
        </w:rPr>
      </w:pPr>
      <w:r>
        <w:rPr>
          <w:rFonts w:ascii="Times New Roman" w:cs="Times New Roman" w:eastAsia="Times New Roman" w:hAnsi="Times New Roman"/>
          <w:sz w:val="12"/>
          <w:szCs w:val="12"/>
          <w:color w:val="auto"/>
        </w:rPr>
        <w:t>(9)            Transfers to any other Lock-up Holders, any affiliates of such other Lock-up Holders or their Permitted Transferees or any related investment funds or vehicles controlled or managed by such persons or entities or their respective affiliates;</w:t>
      </w:r>
    </w:p>
    <w:p>
      <w:pPr>
        <w:spacing w:after="0" w:line="111" w:lineRule="exact"/>
        <w:rPr>
          <w:sz w:val="20"/>
          <w:szCs w:val="20"/>
          <w:color w:val="auto"/>
        </w:rPr>
      </w:pPr>
    </w:p>
    <w:p>
      <w:pPr>
        <w:ind w:left="420" w:right="80" w:firstLine="432"/>
        <w:spacing w:after="0" w:line="260" w:lineRule="auto"/>
        <w:rPr>
          <w:sz w:val="20"/>
          <w:szCs w:val="20"/>
          <w:color w:val="auto"/>
        </w:rPr>
      </w:pPr>
      <w:r>
        <w:rPr>
          <w:rFonts w:ascii="Times New Roman" w:cs="Times New Roman" w:eastAsia="Times New Roman" w:hAnsi="Times New Roman"/>
          <w:sz w:val="12"/>
          <w:szCs w:val="12"/>
          <w:color w:val="auto"/>
        </w:rPr>
        <w:t>(10)            the exercise of Equity Awards, stock options or warrants to purchase shares of Common Stock or the vesting of stock awards of Common Stock (including Factorial Equity Award Shares) and any related transfer of shares to the Corporation in connection therewith (1) deemed to occur upon the “cashless” or “net” exercise of such options or warrants or (2) for the purpose of paying the exercise price of such options or warrants or for paying taxes due as a result of the exercise of such options or warrants, the vesting of such options, warrants or stock awards, or as a result of the vesting of such shares, it being understood that all shares received upon such exercise, vesting or transfer will remain subject to the restrictions set forth in Section 7(a) of this Article IV during the Lock-Up Period;</w:t>
      </w:r>
    </w:p>
    <w:p>
      <w:pPr>
        <w:spacing w:after="0" w:line="122" w:lineRule="exact"/>
        <w:rPr>
          <w:sz w:val="20"/>
          <w:szCs w:val="20"/>
          <w:color w:val="auto"/>
        </w:rPr>
      </w:pPr>
    </w:p>
    <w:p>
      <w:pPr>
        <w:ind w:left="420" w:right="220" w:firstLine="432"/>
        <w:spacing w:after="0" w:line="265" w:lineRule="auto"/>
        <w:rPr>
          <w:sz w:val="20"/>
          <w:szCs w:val="20"/>
          <w:color w:val="auto"/>
        </w:rPr>
      </w:pPr>
      <w:r>
        <w:rPr>
          <w:rFonts w:ascii="Times New Roman" w:cs="Times New Roman" w:eastAsia="Times New Roman" w:hAnsi="Times New Roman"/>
          <w:sz w:val="12"/>
          <w:szCs w:val="12"/>
          <w:color w:val="auto"/>
        </w:rPr>
        <w:t>(11)            Transfers to the Corporation pursuant to any contractual arrangement in effect at the Closing (as such term is defined in the Business Combination Agreement) that provides for the repurchase by the Corporation or forfeiture of Equity Awards, Common Stock or other securities convertible into or exercisable or exchangeable for Common Stock in connection with the termination of such Lock-up Holder’s service to the Corporation;</w:t>
      </w:r>
    </w:p>
    <w:p>
      <w:pPr>
        <w:spacing w:after="0" w:line="119" w:lineRule="exact"/>
        <w:rPr>
          <w:sz w:val="20"/>
          <w:szCs w:val="20"/>
          <w:color w:val="auto"/>
        </w:rPr>
      </w:pPr>
    </w:p>
    <w:p>
      <w:pPr>
        <w:ind w:left="420" w:firstLine="432"/>
        <w:spacing w:after="0" w:line="279" w:lineRule="auto"/>
        <w:rPr>
          <w:sz w:val="20"/>
          <w:szCs w:val="20"/>
          <w:color w:val="auto"/>
        </w:rPr>
      </w:pPr>
      <w:r>
        <w:rPr>
          <w:rFonts w:ascii="Times New Roman" w:cs="Times New Roman" w:eastAsia="Times New Roman" w:hAnsi="Times New Roman"/>
          <w:sz w:val="12"/>
          <w:szCs w:val="12"/>
          <w:color w:val="auto"/>
        </w:rPr>
        <w:t>(12)            the entry, by the Lock-up Holder, at any time after the Closing (as such term is defined in the Business Combination Agreement), of any trading plan providing for the sale of shares held by the Lock-up Holder, which trading plan meets the requirements of Rule 10b5-l(c) under the Exchange Act, provided, however, that such plan does not provide for, or permit, the sale of any shares during the Lock-Up Period; and</w:t>
      </w:r>
    </w:p>
    <w:p>
      <w:pPr>
        <w:spacing w:after="0" w:line="111" w:lineRule="exact"/>
        <w:rPr>
          <w:sz w:val="20"/>
          <w:szCs w:val="20"/>
          <w:color w:val="auto"/>
        </w:rPr>
      </w:pPr>
    </w:p>
    <w:p>
      <w:pPr>
        <w:ind w:left="420" w:right="200" w:firstLine="432"/>
        <w:spacing w:after="0" w:line="265" w:lineRule="auto"/>
        <w:rPr>
          <w:sz w:val="20"/>
          <w:szCs w:val="20"/>
          <w:color w:val="auto"/>
        </w:rPr>
      </w:pPr>
      <w:r>
        <w:rPr>
          <w:rFonts w:ascii="Times New Roman" w:cs="Times New Roman" w:eastAsia="Times New Roman" w:hAnsi="Times New Roman"/>
          <w:sz w:val="12"/>
          <w:szCs w:val="12"/>
          <w:color w:val="auto"/>
        </w:rPr>
        <w:t>(13)            Transfers in connection with a liquidation, merger, stock exchange, reorganization, tender offer approved by the Board of Directors or a duly authorized committee thereof or other similar transaction which results in all of the Corporation’s stockholders having the right to exchange their shares of Common Stock for cash, securities or other property subsequent to the Closing Date (as such term is defined in the Business Combination Agreement).</w:t>
      </w:r>
    </w:p>
    <w:p>
      <w:pPr>
        <w:spacing w:after="0" w:line="119" w:lineRule="exact"/>
        <w:rPr>
          <w:sz w:val="20"/>
          <w:szCs w:val="20"/>
          <w:color w:val="auto"/>
        </w:rPr>
      </w:pPr>
    </w:p>
    <w:p>
      <w:pPr>
        <w:ind w:right="580" w:firstLine="864"/>
        <w:spacing w:after="0" w:line="279" w:lineRule="auto"/>
        <w:rPr>
          <w:sz w:val="20"/>
          <w:szCs w:val="20"/>
          <w:color w:val="auto"/>
        </w:rPr>
      </w:pPr>
      <w:r>
        <w:rPr>
          <w:rFonts w:ascii="Times New Roman" w:cs="Times New Roman" w:eastAsia="Times New Roman" w:hAnsi="Times New Roman"/>
          <w:sz w:val="12"/>
          <w:szCs w:val="12"/>
          <w:color w:val="auto"/>
        </w:rPr>
        <w:t>provided, however, that in any such case, it shall be a condition to such Transfer that each Permitted Transferee execute and deliver to the Corporation an agreement in form and substance satisfactory to the Corporation stating that such Transferee will not engage in any activities restricted under this Section 7 (as if such transferee had been an original Lock-up Holder hereto).</w:t>
      </w:r>
    </w:p>
    <w:p>
      <w:pPr>
        <w:spacing w:after="0" w:line="111" w:lineRule="exact"/>
        <w:rPr>
          <w:sz w:val="20"/>
          <w:szCs w:val="20"/>
          <w:color w:val="auto"/>
        </w:rPr>
      </w:pPr>
    </w:p>
    <w:p>
      <w:pPr>
        <w:ind w:right="320" w:firstLine="864"/>
        <w:spacing w:after="0" w:line="279" w:lineRule="auto"/>
        <w:rPr>
          <w:sz w:val="20"/>
          <w:szCs w:val="20"/>
          <w:color w:val="auto"/>
        </w:rPr>
      </w:pPr>
      <w:r>
        <w:rPr>
          <w:rFonts w:ascii="Times New Roman" w:cs="Times New Roman" w:eastAsia="Times New Roman" w:hAnsi="Times New Roman"/>
          <w:sz w:val="12"/>
          <w:szCs w:val="12"/>
          <w:color w:val="auto"/>
        </w:rPr>
        <w:t>For purposes of this Section 7(b) of Article IV, “immediate family” shall mean a spouse, domestic partner, child (including by adoption), father, mother, brother or sister of the undersigned, and lineal descendant (including by adoption) of the undersigned or of any of the foregoing persons; and “affiliate” shall have the meaning set forth in Rule 405 under the Securities Act of 1933, as amended (the “Securities Act”).</w:t>
      </w:r>
    </w:p>
    <w:p>
      <w:pPr>
        <w:spacing w:after="0" w:line="111" w:lineRule="exact"/>
        <w:rPr>
          <w:sz w:val="20"/>
          <w:szCs w:val="20"/>
          <w:color w:val="auto"/>
        </w:rPr>
      </w:pPr>
    </w:p>
    <w:p>
      <w:pPr>
        <w:ind w:right="80" w:firstLine="864"/>
        <w:spacing w:after="0" w:line="279" w:lineRule="auto"/>
        <w:rPr>
          <w:sz w:val="20"/>
          <w:szCs w:val="20"/>
          <w:color w:val="auto"/>
        </w:rPr>
      </w:pPr>
      <w:r>
        <w:rPr>
          <w:rFonts w:ascii="Times New Roman" w:cs="Times New Roman" w:eastAsia="Times New Roman" w:hAnsi="Times New Roman"/>
          <w:sz w:val="12"/>
          <w:szCs w:val="12"/>
          <w:color w:val="auto"/>
        </w:rPr>
        <w:t>For the avoidance of doubt, each Lock-up Holder shall retain all of its rights as a stockholder of the Corporation with respect to the Lock-up Shares during the Lock-Up Period, including the right to vote any Lock-up Shares that are entitled to vote.</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118" w:name="page119"/>
    <w:bookmarkEnd w:id="118"/>
    <w:p>
      <w:pPr>
        <w:ind w:right="100" w:firstLine="864"/>
        <w:spacing w:after="0" w:line="265" w:lineRule="auto"/>
        <w:rPr>
          <w:sz w:val="20"/>
          <w:szCs w:val="20"/>
          <w:color w:val="auto"/>
        </w:rPr>
      </w:pPr>
      <w:r>
        <w:rPr>
          <w:rFonts w:ascii="Times New Roman" w:cs="Times New Roman" w:eastAsia="Times New Roman" w:hAnsi="Times New Roman"/>
          <w:sz w:val="12"/>
          <w:szCs w:val="12"/>
          <w:color w:val="auto"/>
        </w:rPr>
        <w:t>In furtherance of the foregoing, the Corporation, and any duly appointed transfer agent for the registration or transfer of the securities described therein, are hereby authorized to decline to make any transfer of securities if such transfer would constitute a violation or breach of this restriction, and such purported Transfer shall be null and void ab initio. In addition, during the Lock-Up Period, each certificate or book-entry position evidencing the Lock-Up Shares shall be marked with a legend in substantially the following form, in addition to any other applicable legends:</w:t>
      </w:r>
    </w:p>
    <w:p>
      <w:pPr>
        <w:spacing w:after="0" w:line="119" w:lineRule="exact"/>
        <w:rPr>
          <w:sz w:val="20"/>
          <w:szCs w:val="20"/>
          <w:color w:val="auto"/>
        </w:rPr>
      </w:pPr>
    </w:p>
    <w:p>
      <w:pPr>
        <w:ind w:right="420" w:firstLine="864"/>
        <w:spacing w:after="0" w:line="279" w:lineRule="auto"/>
        <w:rPr>
          <w:sz w:val="20"/>
          <w:szCs w:val="20"/>
          <w:color w:val="auto"/>
        </w:rPr>
      </w:pPr>
      <w:r>
        <w:rPr>
          <w:rFonts w:ascii="Times New Roman" w:cs="Times New Roman" w:eastAsia="Times New Roman" w:hAnsi="Times New Roman"/>
          <w:sz w:val="12"/>
          <w:szCs w:val="12"/>
          <w:color w:val="auto"/>
        </w:rPr>
        <w:t>“THE SECURITIES REPRESENTED HEREBY ARE SUBJECT TO RESTRICTIONS ON TRANSFER SET FORTH IN THE ISSUER’S BYLAWS. A COPY OF SUCH BYLAWS WILL BE FURNISHED WITHOUT CHARGE BY THE ISSUER TO THE HOLDER HEREOF UPON WRITTEN REQUEST.”</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(c)            Notwithstanding the other provisions set forth in this Section 7 of this Article IV, the Board of Directors may, in its sole discretion, determine to waive, amend, or repeal the Lock-up obligation set forth herein.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(d)            For purposes of this Section 7 of this Article IV:</w:t>
      </w:r>
    </w:p>
    <w:p>
      <w:pPr>
        <w:spacing w:after="0" w:line="150" w:lineRule="exact"/>
        <w:rPr>
          <w:sz w:val="20"/>
          <w:szCs w:val="20"/>
          <w:color w:val="auto"/>
        </w:rPr>
      </w:pPr>
    </w:p>
    <w:p>
      <w:pPr>
        <w:ind w:left="420" w:firstLine="432"/>
        <w:spacing w:after="0" w:line="279" w:lineRule="auto"/>
        <w:rPr>
          <w:sz w:val="20"/>
          <w:szCs w:val="20"/>
          <w:color w:val="auto"/>
        </w:rPr>
      </w:pPr>
      <w:r>
        <w:rPr>
          <w:rFonts w:ascii="Times New Roman" w:cs="Times New Roman" w:eastAsia="Times New Roman" w:hAnsi="Times New Roman"/>
          <w:sz w:val="12"/>
          <w:szCs w:val="12"/>
          <w:color w:val="auto"/>
        </w:rPr>
        <w:t>(1)            the term “First Trading Price Condition” means that the VWAP of the Series A Common Stock for the period of 20 Trading Days ending on the Trading Day immediately prior to the date of determination equals or exceeds $12.00;</w:t>
      </w:r>
    </w:p>
    <w:p>
      <w:pPr>
        <w:spacing w:after="0" w:line="111" w:lineRule="exact"/>
        <w:rPr>
          <w:sz w:val="20"/>
          <w:szCs w:val="20"/>
          <w:color w:val="auto"/>
        </w:rPr>
      </w:pPr>
    </w:p>
    <w:p>
      <w:pPr>
        <w:ind w:left="420" w:firstLine="432"/>
        <w:spacing w:after="0" w:line="253" w:lineRule="auto"/>
        <w:rPr>
          <w:sz w:val="20"/>
          <w:szCs w:val="20"/>
          <w:color w:val="auto"/>
        </w:rPr>
      </w:pPr>
      <w:r>
        <w:rPr>
          <w:rFonts w:ascii="Times New Roman" w:cs="Times New Roman" w:eastAsia="Times New Roman" w:hAnsi="Times New Roman"/>
          <w:sz w:val="12"/>
          <w:szCs w:val="12"/>
          <w:color w:val="auto"/>
        </w:rPr>
        <w:t>(2)            the term “Lock-up Period” means the period beginning on the Closing Date (as such term is defined in the Business Combination Agreement) and ending (i) with respect to 25% of the Lock-Up Shares (the “Six-Month Lock-Up Shares”), on the date one hundred and eighty (180) days after the Closing Date (as such term is defined in the Business Combination Agreement) (the “Six-Month Lock-Up Date”), (ii) with respect to 25% of the Lock-Up Shares (the “Nine-Month Lock-Up Shares”), on the date two hundred and seventy (270) days after the Closing Date (the “Nine-Month Lock-Up Date”) and (iii) with respect to 50% of the Lock-Up Shares (the “One Year Lock-Up Shares”), on the first anniversary of the Closing Date (the “One Year Lock-Up Date” and each of the Six-Month Lock-Up Date, the Nine-Month Lock-Up Date and the One Year Lock-Up Date, a “Lock-Up Termination Date”)); provided, however, that, on the date on which any Trading Price Condition is satisfied (an “Early Release Date”), the Lock-Up Period shall terminate with respect to one-third (1/3) of the Lock-Up Shares (“Early Release Lock-Up Shares”), with such Early Release Lock-Up Shares allocated first among the Lock-Up Shares with the earliest Lock-Up Termination Date that has not yet occurred and successively to each remaining tranche of Lock-Up Shares in chronological order. For example, if the First Trading Price Condition is satisfied prior to the Six-Month Lock-Up Date, then, on the related Early Release Date, the Lock-Up Period shall terminate with respect to all of the Six-Month Lock-Up Shares (1/4 of the aggregate Lock-Up Shares) and shall terminate with respect to one-third (1/3) of the Nine-Month Lock-Up Shares (1/12 of the aggregate Lock-Up Shares), but, if the First Trading Price Condition is satisfied after the Six-Month Lock-Up Date and prior to the Nine-Month Lock-Up Date, then, on the related Early Release Date, the Lock-Up Period shall terminate with respect to all of the Nine-Month Lock-Up Shares and shall terminate with respect to one-sixth (1/6) of the One Year Lock-Up Shares;</w:t>
      </w:r>
    </w:p>
    <w:p>
      <w:pPr>
        <w:spacing w:after="0" w:line="129" w:lineRule="exact"/>
        <w:rPr>
          <w:sz w:val="20"/>
          <w:szCs w:val="20"/>
          <w:color w:val="auto"/>
        </w:rPr>
      </w:pPr>
    </w:p>
    <w:p>
      <w:pPr>
        <w:ind w:left="420" w:firstLine="432"/>
        <w:spacing w:after="0" w:line="255" w:lineRule="auto"/>
        <w:rPr>
          <w:sz w:val="20"/>
          <w:szCs w:val="20"/>
          <w:color w:val="auto"/>
        </w:rPr>
      </w:pPr>
      <w:r>
        <w:rPr>
          <w:rFonts w:ascii="Times New Roman" w:cs="Times New Roman" w:eastAsia="Times New Roman" w:hAnsi="Times New Roman"/>
          <w:sz w:val="12"/>
          <w:szCs w:val="12"/>
          <w:color w:val="auto"/>
        </w:rPr>
        <w:t>(3)            the term “Lock-up Shares” means the shares of Common Stock issued as consideration in the Factorial Transaction pursuant to the Business Combination Agreement, the Sponsor Shares, and the Factorial Equity Award Shares, except, with respect to each Lock-up Holder, [ ] of the shares of Common Stock held by such Lock-Up Holder (or such lesser number as applicable); provided, that, for clarity, shares of Common Stock issued in connection with the Domestication (as defined in the Business Combination Agreement) (other than the Sponsor Shares) or the PIPE Financing (as defined in the Business Combination Agreement) shall not constitute Lock-up Shares; and provided further, that shares of Common Stock acquired upon the cash exercise of Equity Awards, stock options or warrants to purchase shares of Common Stock shall not constitute Lock-up Shares;</w:t>
      </w:r>
    </w:p>
    <w:p>
      <w:pPr>
        <w:ind w:left="420" w:right="460"/>
        <w:spacing w:after="0" w:line="260" w:lineRule="auto"/>
        <w:rPr>
          <w:sz w:val="20"/>
          <w:szCs w:val="20"/>
          <w:color w:val="auto"/>
        </w:rPr>
      </w:pPr>
      <w:r>
        <w:rPr>
          <w:rFonts w:ascii="Times New Roman" w:cs="Times New Roman" w:eastAsia="Times New Roman" w:hAnsi="Times New Roman"/>
          <w:sz w:val="12"/>
          <w:szCs w:val="12"/>
          <w:color w:val="auto"/>
        </w:rPr>
        <w:t>and provided further, that shares of Common Stock acquired in the public market shall not constitute Lock-up Shares; and provided finally that shares of Common Stock acquired pursuant to a transaction exempt from registration under the Securities Act or pursuant to a subscription agreement where the issuance of Common Stock occurs on or after the closing of the Factorial Transaction shall not constitute Lock-up Shares;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119" w:name="page120"/>
    <w:bookmarkEnd w:id="119"/>
    <w:p>
      <w:pPr>
        <w:ind w:right="300" w:firstLine="432"/>
        <w:spacing w:after="0" w:line="279" w:lineRule="auto"/>
        <w:rPr>
          <w:sz w:val="20"/>
          <w:szCs w:val="20"/>
          <w:color w:val="auto"/>
        </w:rPr>
      </w:pPr>
      <w:r>
        <w:rPr>
          <w:rFonts w:ascii="Times New Roman" w:cs="Times New Roman" w:eastAsia="Times New Roman" w:hAnsi="Times New Roman"/>
          <w:sz w:val="12"/>
          <w:szCs w:val="12"/>
          <w:color w:val="auto"/>
        </w:rPr>
        <w:t>(4)            the term “Permitted Transferees” means, prior to the expiration of the Lock-up Period, any person or entity to whom such Lock-up Holder is permitted to transfer such shares of Common Stock prior to the expiration of the Lock-up Period pursuant to Section 7(b) of this Article IV;</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(5)            the term “Principal Market” means, as of any time of determination, the principal trading market, if any, in which the shares of Series A Common Stock then trade;</w:t>
      </w:r>
    </w:p>
    <w:p>
      <w:pPr>
        <w:spacing w:after="0" w:line="150" w:lineRule="exact"/>
        <w:rPr>
          <w:sz w:val="20"/>
          <w:szCs w:val="20"/>
          <w:color w:val="auto"/>
        </w:rPr>
      </w:pPr>
    </w:p>
    <w:p>
      <w:pPr>
        <w:ind w:right="200" w:firstLine="432"/>
        <w:spacing w:after="0" w:line="279" w:lineRule="auto"/>
        <w:rPr>
          <w:sz w:val="20"/>
          <w:szCs w:val="20"/>
          <w:color w:val="auto"/>
        </w:rPr>
      </w:pPr>
      <w:r>
        <w:rPr>
          <w:rFonts w:ascii="Times New Roman" w:cs="Times New Roman" w:eastAsia="Times New Roman" w:hAnsi="Times New Roman"/>
          <w:sz w:val="12"/>
          <w:szCs w:val="12"/>
          <w:color w:val="auto"/>
        </w:rPr>
        <w:t>(6)            the term “Second Trading Price Condition” means that the VWAP of the Series A Common Stock for the period of 20 Trading Days ending on the Trading Day immediately prior to the date of determination equals or exceeds $14.00;</w:t>
      </w:r>
    </w:p>
    <w:p>
      <w:pPr>
        <w:spacing w:after="0" w:line="111" w:lineRule="exact"/>
        <w:rPr>
          <w:sz w:val="20"/>
          <w:szCs w:val="20"/>
          <w:color w:val="auto"/>
        </w:rPr>
      </w:pPr>
    </w:p>
    <w:p>
      <w:pPr>
        <w:ind w:right="240" w:firstLine="432"/>
        <w:spacing w:after="0" w:line="279" w:lineRule="auto"/>
        <w:rPr>
          <w:sz w:val="20"/>
          <w:szCs w:val="20"/>
          <w:color w:val="auto"/>
        </w:rPr>
      </w:pPr>
      <w:r>
        <w:rPr>
          <w:rFonts w:ascii="Times New Roman" w:cs="Times New Roman" w:eastAsia="Times New Roman" w:hAnsi="Times New Roman"/>
          <w:sz w:val="12"/>
          <w:szCs w:val="12"/>
          <w:color w:val="auto"/>
        </w:rPr>
        <w:t>(7)            the term “Sponsor Shares” means 6,800,000 shares of Series A Common Stock issued in connection with the Domestication (as defined in the Business Combination Agreement) to CGC III Sponsor LLC, a Cayman Islands limited liability company;</w:t>
      </w:r>
    </w:p>
    <w:p>
      <w:pPr>
        <w:spacing w:after="0" w:line="111" w:lineRule="exact"/>
        <w:rPr>
          <w:sz w:val="20"/>
          <w:szCs w:val="20"/>
          <w:color w:val="auto"/>
        </w:rPr>
      </w:pPr>
    </w:p>
    <w:p>
      <w:pPr>
        <w:ind w:right="280" w:firstLine="432"/>
        <w:spacing w:after="0" w:line="279" w:lineRule="auto"/>
        <w:rPr>
          <w:sz w:val="20"/>
          <w:szCs w:val="20"/>
          <w:color w:val="auto"/>
        </w:rPr>
      </w:pPr>
      <w:r>
        <w:rPr>
          <w:rFonts w:ascii="Times New Roman" w:cs="Times New Roman" w:eastAsia="Times New Roman" w:hAnsi="Times New Roman"/>
          <w:sz w:val="12"/>
          <w:szCs w:val="12"/>
          <w:color w:val="auto"/>
        </w:rPr>
        <w:t>(8)            the term “Third Trading Price Condition” means that the VWAP of the Series A Common Stock for the period of 20 Trading Days ending on the Trading Day immediately prior to the date of determination equals or exceeds $16.00;</w:t>
      </w:r>
    </w:p>
    <w:p>
      <w:pPr>
        <w:spacing w:after="0" w:line="111" w:lineRule="exact"/>
        <w:rPr>
          <w:sz w:val="20"/>
          <w:szCs w:val="20"/>
          <w:color w:val="auto"/>
        </w:rPr>
      </w:pPr>
    </w:p>
    <w:p>
      <w:pPr>
        <w:ind w:right="100" w:firstLine="432"/>
        <w:spacing w:after="0" w:line="260" w:lineRule="auto"/>
        <w:rPr>
          <w:sz w:val="20"/>
          <w:szCs w:val="20"/>
          <w:color w:val="auto"/>
        </w:rPr>
      </w:pPr>
      <w:r>
        <w:rPr>
          <w:rFonts w:ascii="Times New Roman" w:cs="Times New Roman" w:eastAsia="Times New Roman" w:hAnsi="Times New Roman"/>
          <w:sz w:val="12"/>
          <w:szCs w:val="12"/>
          <w:color w:val="auto"/>
        </w:rPr>
        <w:t>(9)            the term “Trading Day” means any day on which the Series A Common Stock is traded on the Principal Market, or, if the Principal Market is not the principal trading market for the Series A Common Stock, then on the principal securities exchange or securities market on which the Series A Common Stock is then traded, provided that “Trading Day” shall not include any day on which the Series A Common Stock is scheduled to trade on such exchange or market for less than 4.5 hours or any day that the Series A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(10)            the term “Trading Price Conditions” means each of the “First Trading Price Condition,” the “Second Trading Price Condition” and the “Third Trading Price Condition”;</w:t>
      </w:r>
    </w:p>
    <w:p>
      <w:pPr>
        <w:spacing w:after="0" w:line="150" w:lineRule="exact"/>
        <w:rPr>
          <w:sz w:val="20"/>
          <w:szCs w:val="20"/>
          <w:color w:val="auto"/>
        </w:rPr>
      </w:pPr>
    </w:p>
    <w:p>
      <w:pPr>
        <w:ind w:right="40" w:firstLine="432"/>
        <w:spacing w:after="0" w:line="257" w:lineRule="auto"/>
        <w:rPr>
          <w:sz w:val="20"/>
          <w:szCs w:val="20"/>
          <w:color w:val="auto"/>
        </w:rPr>
      </w:pPr>
      <w:r>
        <w:rPr>
          <w:rFonts w:ascii="Times New Roman" w:cs="Times New Roman" w:eastAsia="Times New Roman" w:hAnsi="Times New Roman"/>
          <w:sz w:val="12"/>
          <w:szCs w:val="12"/>
          <w:color w:val="auto"/>
        </w:rPr>
        <w:t>(11)            the term “Transfer” means (A) sell, offer to sell, contract or agree to sell, assign, transfer (including by operation of law), hypothecate, pledge, distribute, grant any option to purchase or otherwise dispose of or agree to dispose of, directly or indirectly, file (or participate in the filing of) a registration statement with the SEC or establish or increase a put equivalent position or liquidate or decrease a call equivalent position within the meaning of Section 16 of the Exchange Act with respect to, any Lock-up Shares, (B) deposit any Lock-up Shares into a voting trust or enter into a voting agreement or arrangement or grant any proxy or power of attorney with respect thereto that is inconsistent with these Bylaws, (C) enter into any swap or other arrangement that transfers to another, in whole or in part, any of the economic consequences of ownership of any Lock-up Shares, whether any such transaction is to be settled by delivery of such Lock-up Shares, in cash or otherwise, or (D) publicly announce any intention to effect any transaction specified in clauses (A) through (C); and</w:t>
      </w:r>
    </w:p>
    <w:p>
      <w:pPr>
        <w:spacing w:after="0" w:line="125"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2"/>
          <w:szCs w:val="12"/>
          <w:color w:val="auto"/>
        </w:rPr>
        <w:t>(12)            the term “VWAP” means the dollar volume-weighted average price for the Series A Common Stock on the Principal Market (or, if the Principal Market is not the principal trading market for such security, then on the principal securities exchange or securities market on which such security is then traded), during the period beginning at 9:30 a.m., New York time, and ending at 4:00 p.m., New York time, as reported by Bloomberg, L.P. (“Bloomberg”) through its “VAP” function (set to 09:30 start time and 16:00 end time) or, if the foregoing does not apply, the dollar volume-weighted average price of the Series A Common Stock in the over-the-counter market on the electronic bulletin board for such security during the period beginning at 9:30 a.m., New York time, and ending at 4:00 p.m., New York time, as reported by Bloomberg, or, if no dollar volume-weighted average price is reported for the Series A Common Stock by Bloomberg for such hours, the average of the highest closing bid price and the lowest closing ask price of any of the market makers for the Series A Common Stock as reported in The Pink Open Market (or a similar organization or agency succeeding to its functions of reporting prices). All such determinations shall be appropriately adjusted for any stock dividend, stock split, stock combination, recapitalization or other similar transaction during such period.</w:t>
      </w:r>
    </w:p>
    <w:p>
      <w:pPr>
        <w:spacing w:after="0" w:line="27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60"/>
          </w:cols>
          <w:pgMar w:left="720" w:top="651" w:right="319"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12"/>
          <w:szCs w:val="12"/>
          <w:u w:val="single" w:color="auto"/>
          <w:color w:val="auto"/>
        </w:rPr>
        <w:t>ARTICLE V</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u w:val="single" w:color="auto"/>
          <w:color w:val="auto"/>
        </w:rPr>
        <w:t>Indemnification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1.      </w:t>
      </w:r>
      <w:r>
        <w:rPr>
          <w:rFonts w:ascii="Times New Roman" w:cs="Times New Roman" w:eastAsia="Times New Roman" w:hAnsi="Times New Roman"/>
          <w:sz w:val="12"/>
          <w:szCs w:val="12"/>
          <w:u w:val="single" w:color="auto"/>
          <w:color w:val="auto"/>
        </w:rPr>
        <w:t>  Definitions</w:t>
      </w:r>
      <w:r>
        <w:rPr>
          <w:rFonts w:ascii="Times New Roman" w:cs="Times New Roman" w:eastAsia="Times New Roman" w:hAnsi="Times New Roman"/>
          <w:sz w:val="12"/>
          <w:szCs w:val="12"/>
          <w:color w:val="auto"/>
        </w:rPr>
        <w:t>. For purposes of this Article V:</w:t>
      </w:r>
    </w:p>
    <w:p>
      <w:pPr>
        <w:spacing w:after="0" w:line="150"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2"/>
          <w:szCs w:val="12"/>
          <w:color w:val="auto"/>
        </w:rPr>
        <w:t>(a)            “Corporate Status”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Section 1(a),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(b)            “Director” means any person who serves or has served the Corporation as a director on the Board of Directors of the Corporation;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(c)            “Disinterested Director” means, with respect to each Proceeding in respect of which indemnification is sought hereunder, a Director of the Corporation who is not and was not a party to such Proceeding;</w:t>
      </w:r>
    </w:p>
    <w:p>
      <w:pPr>
        <w:spacing w:after="0" w:line="150"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(d)            “Expenses” means all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(e)            “Liabilities” means judgments, damages, liabilities, losses, penalties, excise taxes, fines and amounts paid in settlement;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(f)            “Non-Officer Employee” means any person who serves or has served as an employee or agent of the Corporation, but who is not or was not a Director or Officer;</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(g)            “Officer” means any person who serves or has served the Corporation as an officer of the Corporation appointed by the Board of Directors of the Corporation;</w:t>
      </w:r>
    </w:p>
    <w:p>
      <w:pPr>
        <w:spacing w:after="0" w:line="150" w:lineRule="exact"/>
        <w:rPr>
          <w:sz w:val="20"/>
          <w:szCs w:val="20"/>
          <w:color w:val="auto"/>
        </w:rPr>
      </w:pPr>
    </w:p>
    <w:p>
      <w:pPr>
        <w:ind w:right="280" w:firstLine="432"/>
        <w:spacing w:after="0" w:line="279" w:lineRule="auto"/>
        <w:rPr>
          <w:sz w:val="20"/>
          <w:szCs w:val="20"/>
          <w:color w:val="auto"/>
        </w:rPr>
      </w:pPr>
      <w:r>
        <w:rPr>
          <w:rFonts w:ascii="Times New Roman" w:cs="Times New Roman" w:eastAsia="Times New Roman" w:hAnsi="Times New Roman"/>
          <w:sz w:val="12"/>
          <w:szCs w:val="12"/>
          <w:color w:val="auto"/>
        </w:rPr>
        <w:t>(h)            “Proceeding”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111" w:lineRule="exact"/>
        <w:rPr>
          <w:sz w:val="20"/>
          <w:szCs w:val="20"/>
          <w:color w:val="auto"/>
        </w:rPr>
      </w:pPr>
    </w:p>
    <w:p>
      <w:pPr>
        <w:ind w:right="160" w:firstLine="432"/>
        <w:spacing w:after="0" w:line="300" w:lineRule="auto"/>
        <w:rPr>
          <w:sz w:val="20"/>
          <w:szCs w:val="20"/>
          <w:color w:val="auto"/>
        </w:rPr>
      </w:pPr>
      <w:r>
        <w:rPr>
          <w:rFonts w:ascii="Times New Roman" w:cs="Times New Roman" w:eastAsia="Times New Roman" w:hAnsi="Times New Roman"/>
          <w:sz w:val="11"/>
          <w:szCs w:val="11"/>
          <w:color w:val="auto"/>
        </w:rPr>
        <w:t>(i)            “Subsidiary” means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51" w:right="339" w:bottom="1440" w:gutter="0" w:footer="0" w:header="0"/>
        </w:sectPr>
      </w:pPr>
    </w:p>
    <w:bookmarkStart w:id="121" w:name="page122"/>
    <w:bookmarkEnd w:id="121"/>
    <w:p>
      <w:pPr>
        <w:ind w:left="420"/>
        <w:spacing w:after="0"/>
        <w:rPr>
          <w:sz w:val="20"/>
          <w:szCs w:val="20"/>
          <w:color w:val="auto"/>
        </w:rPr>
      </w:pPr>
      <w:r>
        <w:rPr>
          <w:rFonts w:ascii="Times New Roman" w:cs="Times New Roman" w:eastAsia="Times New Roman" w:hAnsi="Times New Roman"/>
          <w:sz w:val="12"/>
          <w:szCs w:val="12"/>
          <w:color w:val="auto"/>
        </w:rPr>
        <w:t>SECTION 2.      </w:t>
      </w:r>
      <w:r>
        <w:rPr>
          <w:rFonts w:ascii="Times New Roman" w:cs="Times New Roman" w:eastAsia="Times New Roman" w:hAnsi="Times New Roman"/>
          <w:sz w:val="12"/>
          <w:szCs w:val="12"/>
          <w:u w:val="single" w:color="auto"/>
          <w:color w:val="auto"/>
        </w:rPr>
        <w:t>  Indemnification of Directors and Officers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right="60" w:firstLine="432"/>
        <w:spacing w:after="0" w:line="265" w:lineRule="auto"/>
        <w:rPr>
          <w:sz w:val="20"/>
          <w:szCs w:val="20"/>
          <w:color w:val="auto"/>
        </w:rPr>
      </w:pPr>
      <w:r>
        <w:rPr>
          <w:rFonts w:ascii="Times New Roman" w:cs="Times New Roman" w:eastAsia="Times New Roman" w:hAnsi="Times New Roman"/>
          <w:sz w:val="12"/>
          <w:szCs w:val="12"/>
          <w:color w:val="auto"/>
        </w:rPr>
        <w:t>(a)            Subject to the operation of Section 4 of this Article V,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Section 2.</w:t>
      </w:r>
    </w:p>
    <w:p>
      <w:pPr>
        <w:spacing w:after="0" w:line="119" w:lineRule="exact"/>
        <w:rPr>
          <w:sz w:val="20"/>
          <w:szCs w:val="20"/>
          <w:color w:val="auto"/>
        </w:rPr>
      </w:pPr>
    </w:p>
    <w:p>
      <w:pPr>
        <w:ind w:left="420" w:right="100" w:firstLine="432"/>
        <w:spacing w:after="0" w:line="291" w:lineRule="auto"/>
        <w:rPr>
          <w:sz w:val="20"/>
          <w:szCs w:val="20"/>
          <w:color w:val="auto"/>
        </w:rPr>
      </w:pPr>
      <w:r>
        <w:rPr>
          <w:rFonts w:ascii="Times New Roman" w:cs="Times New Roman" w:eastAsia="Times New Roman" w:hAnsi="Times New Roman"/>
          <w:sz w:val="11"/>
          <w:szCs w:val="11"/>
          <w:color w:val="auto"/>
        </w:rPr>
        <w:t>(1)          </w:t>
      </w:r>
      <w:r>
        <w:rPr>
          <w:rFonts w:ascii="Times New Roman" w:cs="Times New Roman" w:eastAsia="Times New Roman" w:hAnsi="Times New Roman"/>
          <w:sz w:val="11"/>
          <w:szCs w:val="11"/>
          <w:u w:val="single" w:color="auto"/>
          <w:color w:val="auto"/>
        </w:rPr>
        <w:t>  Actions, Suits and Proceedings Other than By or In the Right of the Corporation</w:t>
      </w:r>
      <w:r>
        <w:rPr>
          <w:rFonts w:ascii="Times New Roman" w:cs="Times New Roman" w:eastAsia="Times New Roman" w:hAnsi="Times New Roman"/>
          <w:sz w:val="11"/>
          <w:szCs w:val="11"/>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107" w:lineRule="exact"/>
        <w:rPr>
          <w:sz w:val="20"/>
          <w:szCs w:val="20"/>
          <w:color w:val="auto"/>
        </w:rPr>
      </w:pPr>
    </w:p>
    <w:p>
      <w:pPr>
        <w:ind w:left="420" w:right="40" w:firstLine="432"/>
        <w:spacing w:after="0" w:line="255" w:lineRule="auto"/>
        <w:rPr>
          <w:sz w:val="20"/>
          <w:szCs w:val="20"/>
          <w:color w:val="auto"/>
        </w:rPr>
      </w:pPr>
      <w:r>
        <w:rPr>
          <w:rFonts w:ascii="Times New Roman" w:cs="Times New Roman" w:eastAsia="Times New Roman" w:hAnsi="Times New Roman"/>
          <w:sz w:val="12"/>
          <w:szCs w:val="12"/>
          <w:color w:val="auto"/>
        </w:rPr>
        <w:t>(2)          </w:t>
      </w:r>
      <w:r>
        <w:rPr>
          <w:rFonts w:ascii="Times New Roman" w:cs="Times New Roman" w:eastAsia="Times New Roman" w:hAnsi="Times New Roman"/>
          <w:sz w:val="12"/>
          <w:szCs w:val="12"/>
          <w:u w:val="single" w:color="auto"/>
          <w:color w:val="auto"/>
        </w:rPr>
        <w:t>  Actions, Suits and Proceedings By or In the Right of the Corporation</w:t>
      </w:r>
      <w:r>
        <w:rPr>
          <w:rFonts w:ascii="Times New Roman" w:cs="Times New Roman" w:eastAsia="Times New Roman" w:hAnsi="Times New Roman"/>
          <w:sz w:val="12"/>
          <w:szCs w:val="12"/>
          <w:color w:val="auto"/>
        </w:rPr>
        <w:t>.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2(a)(2) in respect of any claim, issue or matter as to which such Director or Officer shall have been finally adjudged by a court of competent jurisdiction to be liable to the Corporation, unless, and only to the extent that, the Court of Chancery of the State of Delaware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26" w:lineRule="exact"/>
        <w:rPr>
          <w:sz w:val="20"/>
          <w:szCs w:val="20"/>
          <w:color w:val="auto"/>
        </w:rPr>
      </w:pPr>
    </w:p>
    <w:p>
      <w:pPr>
        <w:ind w:left="420" w:right="160" w:firstLine="432"/>
        <w:spacing w:after="0" w:line="279" w:lineRule="auto"/>
        <w:rPr>
          <w:sz w:val="20"/>
          <w:szCs w:val="20"/>
          <w:color w:val="auto"/>
        </w:rPr>
      </w:pPr>
      <w:r>
        <w:rPr>
          <w:rFonts w:ascii="Times New Roman" w:cs="Times New Roman" w:eastAsia="Times New Roman" w:hAnsi="Times New Roman"/>
          <w:sz w:val="12"/>
          <w:szCs w:val="12"/>
          <w:color w:val="auto"/>
        </w:rPr>
        <w:t>(3)          </w:t>
      </w:r>
      <w:r>
        <w:rPr>
          <w:rFonts w:ascii="Times New Roman" w:cs="Times New Roman" w:eastAsia="Times New Roman" w:hAnsi="Times New Roman"/>
          <w:sz w:val="12"/>
          <w:szCs w:val="12"/>
          <w:u w:val="single" w:color="auto"/>
          <w:color w:val="auto"/>
        </w:rPr>
        <w:t>  Survival of Rights</w:t>
      </w:r>
      <w:r>
        <w:rPr>
          <w:rFonts w:ascii="Times New Roman" w:cs="Times New Roman" w:eastAsia="Times New Roman" w:hAnsi="Times New Roman"/>
          <w:sz w:val="12"/>
          <w:szCs w:val="12"/>
          <w:color w:val="auto"/>
        </w:rPr>
        <w:t>. The rights of indemnification provided by this Section 2 shall continue as to a Director or Officer after he or she has ceased to be a Director or Officer and shall inure to the benefit of his or her heirs, executors, administrators and personal representatives.</w:t>
      </w:r>
    </w:p>
    <w:p>
      <w:pPr>
        <w:spacing w:after="0" w:line="111" w:lineRule="exact"/>
        <w:rPr>
          <w:sz w:val="20"/>
          <w:szCs w:val="20"/>
          <w:color w:val="auto"/>
        </w:rPr>
      </w:pPr>
    </w:p>
    <w:p>
      <w:pPr>
        <w:ind w:left="420" w:right="160" w:firstLine="432"/>
        <w:spacing w:after="0" w:line="265" w:lineRule="auto"/>
        <w:rPr>
          <w:sz w:val="20"/>
          <w:szCs w:val="20"/>
          <w:color w:val="auto"/>
        </w:rPr>
      </w:pPr>
      <w:r>
        <w:rPr>
          <w:rFonts w:ascii="Times New Roman" w:cs="Times New Roman" w:eastAsia="Times New Roman" w:hAnsi="Times New Roman"/>
          <w:sz w:val="12"/>
          <w:szCs w:val="12"/>
          <w:color w:val="auto"/>
        </w:rPr>
        <w:t>(4)          </w:t>
      </w:r>
      <w:r>
        <w:rPr>
          <w:rFonts w:ascii="Times New Roman" w:cs="Times New Roman" w:eastAsia="Times New Roman" w:hAnsi="Times New Roman"/>
          <w:sz w:val="12"/>
          <w:szCs w:val="12"/>
          <w:u w:val="single" w:color="auto"/>
          <w:color w:val="auto"/>
        </w:rPr>
        <w:t>  Actions by Directors or Officers</w:t>
      </w:r>
      <w:r>
        <w:rPr>
          <w:rFonts w:ascii="Times New Roman" w:cs="Times New Roman" w:eastAsia="Times New Roman" w:hAnsi="Times New Roman"/>
          <w:sz w:val="12"/>
          <w:szCs w:val="12"/>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unless such Proceeding was brought to enforce such Officer’s or Director’s rights to indemnification or, in the case of Directors, advancement of Expenses under these Bylaws in accordance with the provisions set forth herein.</w:t>
      </w:r>
    </w:p>
    <w:p>
      <w:pPr>
        <w:spacing w:after="0" w:line="11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2"/>
          <w:szCs w:val="12"/>
          <w:color w:val="auto"/>
        </w:rPr>
        <w:t>SECTION 3.      </w:t>
      </w:r>
      <w:r>
        <w:rPr>
          <w:rFonts w:ascii="Times New Roman" w:cs="Times New Roman" w:eastAsia="Times New Roman" w:hAnsi="Times New Roman"/>
          <w:sz w:val="12"/>
          <w:szCs w:val="12"/>
          <w:u w:val="single" w:color="auto"/>
          <w:color w:val="auto"/>
        </w:rPr>
        <w:t>  Indemnification of Non-Officer Employees</w:t>
      </w:r>
      <w:r>
        <w:rPr>
          <w:rFonts w:ascii="Times New Roman" w:cs="Times New Roman" w:eastAsia="Times New Roman" w:hAnsi="Times New Roman"/>
          <w:sz w:val="12"/>
          <w:szCs w:val="12"/>
          <w:color w:val="auto"/>
        </w:rPr>
        <w:t>. Subject to the operation of Section 4 of this Article V, each Non-Officer Employee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3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22" w:name="page123"/>
    <w:bookmarkEnd w:id="122"/>
    <w:p>
      <w:pPr>
        <w:ind w:right="60" w:firstLine="432"/>
        <w:spacing w:after="0" w:line="257" w:lineRule="auto"/>
        <w:rPr>
          <w:sz w:val="20"/>
          <w:szCs w:val="20"/>
          <w:color w:val="auto"/>
        </w:rPr>
      </w:pPr>
      <w:r>
        <w:rPr>
          <w:rFonts w:ascii="Times New Roman" w:cs="Times New Roman" w:eastAsia="Times New Roman" w:hAnsi="Times New Roman"/>
          <w:sz w:val="12"/>
          <w:szCs w:val="12"/>
          <w:color w:val="auto"/>
        </w:rPr>
        <w:t>SECTION 4.      </w:t>
      </w:r>
      <w:r>
        <w:rPr>
          <w:rFonts w:ascii="Times New Roman" w:cs="Times New Roman" w:eastAsia="Times New Roman" w:hAnsi="Times New Roman"/>
          <w:sz w:val="12"/>
          <w:szCs w:val="12"/>
          <w:u w:val="single" w:color="auto"/>
          <w:color w:val="auto"/>
        </w:rPr>
        <w:t>  Determination</w:t>
      </w:r>
      <w:r>
        <w:rPr>
          <w:rFonts w:ascii="Times New Roman" w:cs="Times New Roman" w:eastAsia="Times New Roman" w:hAnsi="Times New Roman"/>
          <w:sz w:val="12"/>
          <w:szCs w:val="12"/>
          <w:color w:val="auto"/>
        </w:rPr>
        <w:t>. Unless ordered by a court, no indemnification shall be provided pursuant to this Article V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5.      </w:t>
      </w:r>
      <w:r>
        <w:rPr>
          <w:rFonts w:ascii="Times New Roman" w:cs="Times New Roman" w:eastAsia="Times New Roman" w:hAnsi="Times New Roman"/>
          <w:sz w:val="12"/>
          <w:szCs w:val="12"/>
          <w:u w:val="single" w:color="auto"/>
          <w:color w:val="auto"/>
        </w:rPr>
        <w:t>  Advancement of Expenses to Directors Prior to Final Disposition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2"/>
          <w:szCs w:val="12"/>
          <w:color w:val="auto"/>
        </w:rPr>
        <w:t>(a)            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or (ii) brought to enforce such Director’s rights to indemnification or advancement of Expenses under these Bylaws.</w:t>
      </w:r>
    </w:p>
    <w:p>
      <w:pPr>
        <w:spacing w:after="0" w:line="125" w:lineRule="exact"/>
        <w:rPr>
          <w:sz w:val="20"/>
          <w:szCs w:val="20"/>
          <w:color w:val="auto"/>
        </w:rPr>
      </w:pPr>
    </w:p>
    <w:p>
      <w:pPr>
        <w:ind w:firstLine="432"/>
        <w:spacing w:after="0" w:line="257" w:lineRule="auto"/>
        <w:rPr>
          <w:sz w:val="20"/>
          <w:szCs w:val="20"/>
          <w:color w:val="auto"/>
        </w:rPr>
      </w:pPr>
      <w:r>
        <w:rPr>
          <w:rFonts w:ascii="Times New Roman" w:cs="Times New Roman" w:eastAsia="Times New Roman" w:hAnsi="Times New Roman"/>
          <w:sz w:val="12"/>
          <w:szCs w:val="12"/>
          <w:color w:val="auto"/>
        </w:rPr>
        <w:t>(b)            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Article V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125"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(c)            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6.      </w:t>
      </w:r>
      <w:r>
        <w:rPr>
          <w:rFonts w:ascii="Times New Roman" w:cs="Times New Roman" w:eastAsia="Times New Roman" w:hAnsi="Times New Roman"/>
          <w:sz w:val="12"/>
          <w:szCs w:val="12"/>
          <w:u w:val="single" w:color="auto"/>
          <w:color w:val="auto"/>
        </w:rPr>
        <w:t>  Advancement of Expenses to Officers and Non-Officer Employees Prior to Final Disposition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firstLine="432"/>
        <w:spacing w:after="0" w:line="257" w:lineRule="auto"/>
        <w:rPr>
          <w:sz w:val="20"/>
          <w:szCs w:val="20"/>
          <w:color w:val="auto"/>
        </w:rPr>
      </w:pPr>
      <w:r>
        <w:rPr>
          <w:rFonts w:ascii="Times New Roman" w:cs="Times New Roman" w:eastAsia="Times New Roman" w:hAnsi="Times New Roman"/>
          <w:sz w:val="12"/>
          <w:szCs w:val="12"/>
          <w:color w:val="auto"/>
        </w:rPr>
        <w:t>(a)            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23" w:name="page124"/>
    <w:bookmarkEnd w:id="123"/>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(b)            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7.      </w:t>
      </w:r>
      <w:r>
        <w:rPr>
          <w:rFonts w:ascii="Times New Roman" w:cs="Times New Roman" w:eastAsia="Times New Roman" w:hAnsi="Times New Roman"/>
          <w:sz w:val="12"/>
          <w:szCs w:val="12"/>
          <w:u w:val="single" w:color="auto"/>
          <w:color w:val="auto"/>
        </w:rPr>
        <w:t>  Contractual Nature of Rights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2"/>
          <w:szCs w:val="12"/>
          <w:color w:val="auto"/>
        </w:rPr>
        <w:t>(a)            The provisions of this Article V shall be deemed to be a contract between the Corporation and each Director and Officer entitled to the benefits hereof at any time while this Article V is in effect, in consideration of such person’s past or current and any future performance of services for the Corporation. Neither amendment, repeal or modification of any provision of this Article V nor the adoption of any provision of the Certificate inconsistent with this Article V shall eliminate or reduce any right conferred by this Article V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Article V shall continue notwithstanding that the person has ceased to be a director or officer of the Corporation and shall inure to the benefit of the estate, heirs, executors, administrators, legatees and distributees of such person.</w:t>
      </w:r>
    </w:p>
    <w:p>
      <w:pPr>
        <w:spacing w:after="0" w:line="126" w:lineRule="exact"/>
        <w:rPr>
          <w:sz w:val="20"/>
          <w:szCs w:val="20"/>
          <w:color w:val="auto"/>
        </w:rPr>
      </w:pPr>
    </w:p>
    <w:p>
      <w:pPr>
        <w:ind w:firstLine="432"/>
        <w:spacing w:after="0" w:line="257" w:lineRule="auto"/>
        <w:rPr>
          <w:sz w:val="20"/>
          <w:szCs w:val="20"/>
          <w:color w:val="auto"/>
        </w:rPr>
      </w:pPr>
      <w:r>
        <w:rPr>
          <w:rFonts w:ascii="Times New Roman" w:cs="Times New Roman" w:eastAsia="Times New Roman" w:hAnsi="Times New Roman"/>
          <w:sz w:val="12"/>
          <w:szCs w:val="12"/>
          <w:color w:val="auto"/>
        </w:rPr>
        <w:t>(b)            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Article V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(c)            In any suit brought by a Director or Officer to enforce a right to indemnification hereunder, it shall be a defense that such Director or Officer has not met any applicable standard for indemnification set forth in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DGCL.</w:t>
      </w:r>
    </w:p>
    <w:p>
      <w:pPr>
        <w:spacing w:after="0" w:line="139" w:lineRule="exact"/>
        <w:rPr>
          <w:sz w:val="20"/>
          <w:szCs w:val="20"/>
          <w:color w:val="auto"/>
        </w:rPr>
      </w:pPr>
    </w:p>
    <w:p>
      <w:pPr>
        <w:ind w:right="80" w:firstLine="432"/>
        <w:spacing w:after="0" w:line="279" w:lineRule="auto"/>
        <w:rPr>
          <w:sz w:val="20"/>
          <w:szCs w:val="20"/>
          <w:color w:val="auto"/>
        </w:rPr>
      </w:pPr>
      <w:r>
        <w:rPr>
          <w:rFonts w:ascii="Times New Roman" w:cs="Times New Roman" w:eastAsia="Times New Roman" w:hAnsi="Times New Roman"/>
          <w:sz w:val="12"/>
          <w:szCs w:val="12"/>
          <w:color w:val="auto"/>
        </w:rPr>
        <w:t>SECTION 8.      </w:t>
      </w:r>
      <w:r>
        <w:rPr>
          <w:rFonts w:ascii="Times New Roman" w:cs="Times New Roman" w:eastAsia="Times New Roman" w:hAnsi="Times New Roman"/>
          <w:sz w:val="12"/>
          <w:szCs w:val="12"/>
          <w:u w:val="single" w:color="auto"/>
          <w:color w:val="auto"/>
        </w:rPr>
        <w:t>  Non-Exclusivity of Rights</w:t>
      </w:r>
      <w:r>
        <w:rPr>
          <w:rFonts w:ascii="Times New Roman" w:cs="Times New Roman" w:eastAsia="Times New Roman" w:hAnsi="Times New Roman"/>
          <w:sz w:val="12"/>
          <w:szCs w:val="12"/>
          <w:color w:val="auto"/>
        </w:rPr>
        <w:t>. The rights to indemnification and to advancement of Expenses set forth in this Article V shall not be exclusive of any other right that any Director, Officer or Non-Officer Employee may have or hereafter acquire under any statute, provision of the Certificate or these Bylaws, agreement, vote of stockholders or Disinterested Directors or otherwise.</w:t>
      </w:r>
    </w:p>
    <w:p>
      <w:pPr>
        <w:spacing w:after="0" w:line="111" w:lineRule="exact"/>
        <w:rPr>
          <w:sz w:val="20"/>
          <w:szCs w:val="20"/>
          <w:color w:val="auto"/>
        </w:rPr>
      </w:pPr>
    </w:p>
    <w:p>
      <w:pPr>
        <w:ind w:right="80" w:firstLine="432"/>
        <w:spacing w:after="0" w:line="265" w:lineRule="auto"/>
        <w:rPr>
          <w:sz w:val="20"/>
          <w:szCs w:val="20"/>
          <w:color w:val="auto"/>
        </w:rPr>
      </w:pPr>
      <w:r>
        <w:rPr>
          <w:rFonts w:ascii="Times New Roman" w:cs="Times New Roman" w:eastAsia="Times New Roman" w:hAnsi="Times New Roman"/>
          <w:sz w:val="12"/>
          <w:szCs w:val="12"/>
          <w:color w:val="auto"/>
        </w:rPr>
        <w:t>SECTION 9.      </w:t>
      </w:r>
      <w:r>
        <w:rPr>
          <w:rFonts w:ascii="Times New Roman" w:cs="Times New Roman" w:eastAsia="Times New Roman" w:hAnsi="Times New Roman"/>
          <w:sz w:val="12"/>
          <w:szCs w:val="12"/>
          <w:u w:val="single" w:color="auto"/>
          <w:color w:val="auto"/>
        </w:rPr>
        <w:t>  Insurance</w:t>
      </w:r>
      <w:r>
        <w:rPr>
          <w:rFonts w:ascii="Times New Roman" w:cs="Times New Roman" w:eastAsia="Times New Roman" w:hAnsi="Times New Roman"/>
          <w:sz w:val="12"/>
          <w:szCs w:val="12"/>
          <w:color w:val="auto"/>
        </w:rPr>
        <w:t>.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Article V.</w:t>
      </w:r>
    </w:p>
    <w:p>
      <w:pPr>
        <w:spacing w:after="0" w:line="119" w:lineRule="exact"/>
        <w:rPr>
          <w:sz w:val="20"/>
          <w:szCs w:val="20"/>
          <w:color w:val="auto"/>
        </w:rPr>
      </w:pPr>
    </w:p>
    <w:p>
      <w:pPr>
        <w:ind w:right="20" w:firstLine="432"/>
        <w:spacing w:after="0" w:line="257" w:lineRule="auto"/>
        <w:rPr>
          <w:sz w:val="20"/>
          <w:szCs w:val="20"/>
          <w:color w:val="auto"/>
        </w:rPr>
      </w:pPr>
      <w:r>
        <w:rPr>
          <w:rFonts w:ascii="Times New Roman" w:cs="Times New Roman" w:eastAsia="Times New Roman" w:hAnsi="Times New Roman"/>
          <w:sz w:val="12"/>
          <w:szCs w:val="12"/>
          <w:color w:val="auto"/>
        </w:rPr>
        <w:t>SECTION 10.      </w:t>
      </w:r>
      <w:r>
        <w:rPr>
          <w:rFonts w:ascii="Times New Roman" w:cs="Times New Roman" w:eastAsia="Times New Roman" w:hAnsi="Times New Roman"/>
          <w:sz w:val="12"/>
          <w:szCs w:val="12"/>
          <w:u w:val="single" w:color="auto"/>
          <w:color w:val="auto"/>
        </w:rPr>
        <w:t>  Other Indemnification</w:t>
      </w:r>
      <w:r>
        <w:rPr>
          <w:rFonts w:ascii="Times New Roman" w:cs="Times New Roman" w:eastAsia="Times New Roman" w:hAnsi="Times New Roman"/>
          <w:sz w:val="12"/>
          <w:szCs w:val="12"/>
          <w:color w:val="auto"/>
        </w:rPr>
        <w:t>. The Corporation’s obligation, if any, to indemnify or provide advancement of Expenses to any person under this Article V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“Primary Indemnitor”). Any indemnification or advancement of Expenses under this Article V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51" w:right="339" w:bottom="1440" w:gutter="0" w:footer="0" w:header="0"/>
        </w:sectPr>
      </w:pPr>
    </w:p>
    <w:bookmarkStart w:id="124" w:name="page125"/>
    <w:bookmarkEnd w:id="124"/>
    <w:p>
      <w:pPr>
        <w:ind w:right="60" w:firstLine="432"/>
        <w:spacing w:after="0" w:line="260" w:lineRule="auto"/>
        <w:rPr>
          <w:sz w:val="20"/>
          <w:szCs w:val="20"/>
          <w:color w:val="auto"/>
        </w:rPr>
      </w:pPr>
      <w:r>
        <w:rPr>
          <w:rFonts w:ascii="Times New Roman" w:cs="Times New Roman" w:eastAsia="Times New Roman" w:hAnsi="Times New Roman"/>
          <w:sz w:val="12"/>
          <w:szCs w:val="12"/>
          <w:color w:val="auto"/>
        </w:rPr>
        <w:t>SECTION 11.      </w:t>
      </w:r>
      <w:r>
        <w:rPr>
          <w:rFonts w:ascii="Times New Roman" w:cs="Times New Roman" w:eastAsia="Times New Roman" w:hAnsi="Times New Roman"/>
          <w:sz w:val="12"/>
          <w:szCs w:val="12"/>
          <w:u w:val="single" w:color="auto"/>
          <w:color w:val="auto"/>
        </w:rPr>
        <w:t>  Savings Clause</w:t>
      </w:r>
      <w:r>
        <w:rPr>
          <w:rFonts w:ascii="Times New Roman" w:cs="Times New Roman" w:eastAsia="Times New Roman" w:hAnsi="Times New Roman"/>
          <w:sz w:val="12"/>
          <w:szCs w:val="12"/>
          <w:color w:val="auto"/>
        </w:rPr>
        <w:t>. If this Article V or any portion hereof shall be invalidated on any ground by any court of competent jurisdiction, then the Corporation shall nevertheless indemnify each indemnitee as to any expenses (including, without limitation, attorneys’ fees), liabilities, losses, judgments, fines (including, without limitation, excise taxes and penalties arising under the Employee Retirement Income Security Act of 1974, as amended) and amounts paid in settlement in connection with any action, suit, proceeding or investigation, whether civil, criminal or administrative, including, without limitation, an action by or in the right of the Corporation, to the fullest extent permitted by any applicable portion of this Article V that shall not have been invalidated and to the fullest extent permitted by applicable law.</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u w:val="single" w:color="auto"/>
          <w:color w:val="auto"/>
        </w:rPr>
        <w:t>ARTICLE VI</w:t>
      </w:r>
    </w:p>
    <w:p>
      <w:pPr>
        <w:spacing w:after="0" w:line="15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u w:val="single" w:color="auto"/>
          <w:color w:val="auto"/>
        </w:rPr>
        <w:t>Miscellaneous Provisions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1.      </w:t>
      </w:r>
      <w:r>
        <w:rPr>
          <w:rFonts w:ascii="Times New Roman" w:cs="Times New Roman" w:eastAsia="Times New Roman" w:hAnsi="Times New Roman"/>
          <w:sz w:val="12"/>
          <w:szCs w:val="12"/>
          <w:u w:val="single" w:color="auto"/>
          <w:color w:val="auto"/>
        </w:rPr>
        <w:t>  Fiscal Year</w:t>
      </w:r>
      <w:r>
        <w:rPr>
          <w:rFonts w:ascii="Times New Roman" w:cs="Times New Roman" w:eastAsia="Times New Roman" w:hAnsi="Times New Roman"/>
          <w:sz w:val="12"/>
          <w:szCs w:val="12"/>
          <w:color w:val="auto"/>
        </w:rPr>
        <w:t>. The fiscal year of the Corporation shall be determined by the Board of Directors.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2.      </w:t>
      </w:r>
      <w:r>
        <w:rPr>
          <w:rFonts w:ascii="Times New Roman" w:cs="Times New Roman" w:eastAsia="Times New Roman" w:hAnsi="Times New Roman"/>
          <w:sz w:val="12"/>
          <w:szCs w:val="12"/>
          <w:u w:val="single" w:color="auto"/>
          <w:color w:val="auto"/>
        </w:rPr>
        <w:t>  Seal</w:t>
      </w:r>
      <w:r>
        <w:rPr>
          <w:rFonts w:ascii="Times New Roman" w:cs="Times New Roman" w:eastAsia="Times New Roman" w:hAnsi="Times New Roman"/>
          <w:sz w:val="12"/>
          <w:szCs w:val="12"/>
          <w:color w:val="auto"/>
        </w:rPr>
        <w:t>. The Board of Directors shall have power to adopt and alter the seal of the Corporation.</w:t>
      </w:r>
    </w:p>
    <w:p>
      <w:pPr>
        <w:spacing w:after="0" w:line="150" w:lineRule="exact"/>
        <w:rPr>
          <w:sz w:val="20"/>
          <w:szCs w:val="20"/>
          <w:color w:val="auto"/>
        </w:rPr>
      </w:pPr>
    </w:p>
    <w:p>
      <w:pPr>
        <w:ind w:right="20" w:firstLine="432"/>
        <w:spacing w:after="0" w:line="265" w:lineRule="auto"/>
        <w:rPr>
          <w:sz w:val="20"/>
          <w:szCs w:val="20"/>
          <w:color w:val="auto"/>
        </w:rPr>
      </w:pPr>
      <w:r>
        <w:rPr>
          <w:rFonts w:ascii="Times New Roman" w:cs="Times New Roman" w:eastAsia="Times New Roman" w:hAnsi="Times New Roman"/>
          <w:sz w:val="12"/>
          <w:szCs w:val="12"/>
          <w:color w:val="auto"/>
        </w:rPr>
        <w:t>SECTION 3.      </w:t>
      </w:r>
      <w:r>
        <w:rPr>
          <w:rFonts w:ascii="Times New Roman" w:cs="Times New Roman" w:eastAsia="Times New Roman" w:hAnsi="Times New Roman"/>
          <w:sz w:val="12"/>
          <w:szCs w:val="12"/>
          <w:u w:val="single" w:color="auto"/>
          <w:color w:val="auto"/>
        </w:rPr>
        <w:t>  Execution of Instruments</w:t>
      </w:r>
      <w:r>
        <w:rPr>
          <w:rFonts w:ascii="Times New Roman" w:cs="Times New Roman" w:eastAsia="Times New Roman" w:hAnsi="Times New Roman"/>
          <w:sz w:val="12"/>
          <w:szCs w:val="12"/>
          <w:color w:val="auto"/>
        </w:rPr>
        <w:t>. All deeds, leases, transfers, contracts, bonds, notes and other obligations to be entered into by the Corporation in the ordinary course of its business without director action may be executed on behalf of the Corporation by the Chairperson of the Board, if one is elected, the President, the Chief Executive Officer or the Treasurer or any other officer, employee or agent of the Corporation as the Board of Directors or an executive committee of the Board of Directors may authorize or determine.</w:t>
      </w:r>
    </w:p>
    <w:p>
      <w:pPr>
        <w:spacing w:after="0" w:line="119"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2"/>
          <w:szCs w:val="12"/>
          <w:color w:val="auto"/>
        </w:rPr>
        <w:t>SECTION 4.      </w:t>
      </w:r>
      <w:r>
        <w:rPr>
          <w:rFonts w:ascii="Times New Roman" w:cs="Times New Roman" w:eastAsia="Times New Roman" w:hAnsi="Times New Roman"/>
          <w:sz w:val="12"/>
          <w:szCs w:val="12"/>
          <w:u w:val="single" w:color="auto"/>
          <w:color w:val="auto"/>
        </w:rPr>
        <w:t>  Voting of Securities</w:t>
      </w:r>
      <w:r>
        <w:rPr>
          <w:rFonts w:ascii="Times New Roman" w:cs="Times New Roman" w:eastAsia="Times New Roman" w:hAnsi="Times New Roman"/>
          <w:sz w:val="12"/>
          <w:szCs w:val="12"/>
          <w:color w:val="auto"/>
        </w:rPr>
        <w:t>. Unless the Board of Directors otherwise provides, the Chairperson of the Board, if one is elected, the President or the Treasurer may waive notice of, and act on behalf of the Corporation, or appoint another person or persons to act as proxy or attorney in fact for the Corporation with or without discretionary power and/or power of substitution, at any meeting of stockholders or stockholders of any other corporation or organization, any of whose securities are held by the Corporation.</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5.      </w:t>
      </w:r>
      <w:r>
        <w:rPr>
          <w:rFonts w:ascii="Times New Roman" w:cs="Times New Roman" w:eastAsia="Times New Roman" w:hAnsi="Times New Roman"/>
          <w:sz w:val="12"/>
          <w:szCs w:val="12"/>
          <w:u w:val="single" w:color="auto"/>
          <w:color w:val="auto"/>
        </w:rPr>
        <w:t>  Resident Agent</w:t>
      </w:r>
      <w:r>
        <w:rPr>
          <w:rFonts w:ascii="Times New Roman" w:cs="Times New Roman" w:eastAsia="Times New Roman" w:hAnsi="Times New Roman"/>
          <w:sz w:val="12"/>
          <w:szCs w:val="12"/>
          <w:color w:val="auto"/>
        </w:rPr>
        <w:t>. The Board of Directors may appoint a resident agent upon whom legal process may be served in any action or proceeding against the Corporation.</w:t>
      </w:r>
    </w:p>
    <w:p>
      <w:pPr>
        <w:spacing w:after="0" w:line="150" w:lineRule="exact"/>
        <w:rPr>
          <w:sz w:val="20"/>
          <w:szCs w:val="20"/>
          <w:color w:val="auto"/>
        </w:rPr>
      </w:pPr>
    </w:p>
    <w:p>
      <w:pPr>
        <w:jc w:val="both"/>
        <w:ind w:right="100" w:firstLine="432"/>
        <w:spacing w:after="0" w:line="265" w:lineRule="auto"/>
        <w:rPr>
          <w:sz w:val="20"/>
          <w:szCs w:val="20"/>
          <w:color w:val="auto"/>
        </w:rPr>
      </w:pPr>
      <w:r>
        <w:rPr>
          <w:rFonts w:ascii="Times New Roman" w:cs="Times New Roman" w:eastAsia="Times New Roman" w:hAnsi="Times New Roman"/>
          <w:sz w:val="12"/>
          <w:szCs w:val="12"/>
          <w:color w:val="auto"/>
        </w:rPr>
        <w:t>SECTION 6.      </w:t>
      </w:r>
      <w:r>
        <w:rPr>
          <w:rFonts w:ascii="Times New Roman" w:cs="Times New Roman" w:eastAsia="Times New Roman" w:hAnsi="Times New Roman"/>
          <w:sz w:val="12"/>
          <w:szCs w:val="12"/>
          <w:u w:val="single" w:color="auto"/>
          <w:color w:val="auto"/>
        </w:rPr>
        <w:t>  Corporate Records</w:t>
      </w:r>
      <w:r>
        <w:rPr>
          <w:rFonts w:ascii="Times New Roman" w:cs="Times New Roman" w:eastAsia="Times New Roman" w:hAnsi="Times New Roman"/>
          <w:sz w:val="12"/>
          <w:szCs w:val="12"/>
          <w:color w:val="auto"/>
        </w:rPr>
        <w:t>.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in such manner as may be permitted by law.</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7.      </w:t>
      </w:r>
      <w:r>
        <w:rPr>
          <w:rFonts w:ascii="Times New Roman" w:cs="Times New Roman" w:eastAsia="Times New Roman" w:hAnsi="Times New Roman"/>
          <w:sz w:val="12"/>
          <w:szCs w:val="12"/>
          <w:u w:val="single" w:color="auto"/>
          <w:color w:val="auto"/>
        </w:rPr>
        <w:t>  Certificate</w:t>
      </w:r>
      <w:r>
        <w:rPr>
          <w:rFonts w:ascii="Times New Roman" w:cs="Times New Roman" w:eastAsia="Times New Roman" w:hAnsi="Times New Roman"/>
          <w:sz w:val="12"/>
          <w:szCs w:val="12"/>
          <w:color w:val="auto"/>
        </w:rPr>
        <w:t>. All references in these Bylaws to the Certificate shall be deemed to refer to the Certificate, as amended and/or restated and in effect from time to time.</w:t>
      </w:r>
    </w:p>
    <w:p>
      <w:pPr>
        <w:spacing w:after="0" w:line="150" w:lineRule="exact"/>
        <w:rPr>
          <w:sz w:val="20"/>
          <w:szCs w:val="20"/>
          <w:color w:val="auto"/>
        </w:rPr>
      </w:pPr>
    </w:p>
    <w:p>
      <w:pPr>
        <w:ind w:right="60" w:firstLine="432"/>
        <w:spacing w:after="0" w:line="254" w:lineRule="auto"/>
        <w:rPr>
          <w:sz w:val="20"/>
          <w:szCs w:val="20"/>
          <w:color w:val="auto"/>
        </w:rPr>
      </w:pPr>
      <w:r>
        <w:rPr>
          <w:rFonts w:ascii="Times New Roman" w:cs="Times New Roman" w:eastAsia="Times New Roman" w:hAnsi="Times New Roman"/>
          <w:sz w:val="12"/>
          <w:szCs w:val="12"/>
          <w:color w:val="auto"/>
        </w:rPr>
        <w:t>SECTION 8.      </w:t>
      </w:r>
      <w:r>
        <w:rPr>
          <w:rFonts w:ascii="Times New Roman" w:cs="Times New Roman" w:eastAsia="Times New Roman" w:hAnsi="Times New Roman"/>
          <w:sz w:val="12"/>
          <w:szCs w:val="12"/>
          <w:u w:val="single" w:color="auto"/>
          <w:color w:val="auto"/>
        </w:rPr>
        <w:t>  Exclusive Jurisdiction of Delaware Courts or the United States Federal District Courts</w:t>
      </w:r>
      <w:r>
        <w:rPr>
          <w:rFonts w:ascii="Times New Roman" w:cs="Times New Roman" w:eastAsia="Times New Roman" w:hAnsi="Times New Roman"/>
          <w:sz w:val="12"/>
          <w:szCs w:val="12"/>
          <w:color w:val="auto"/>
        </w:rPr>
        <w:t>. 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or a claim based on, a breach of a fiduciary duty owed by any current or former director, officer or other employee or stockholder of the Corporation to the Corporation or the Corporation’s stockholders, (iii) any action asserting a claim arising pursuant to any provision of the DGCL or the Certificate or these Bylaws (including the interpretation, validity or enforceability thereof) or as to which the DGCL confers jurisdiction on the Court of Chancery of the State of Delaware or (iv) any action asserting a claim governed by the internal affairs doctrine; provided, however, that this sentence will not apply to any causes of action arising under the Securities Act or the Exchange Act, or to any claim for which the federal courts have exclusive jurisdiction. Unless the Corporation consents in writing to the selection of an alternative forum, the federal district courts of the United States of America shall be the sole and exclusive forum for resolving any complaint asserting a cause of action arising under the Securities Act, the Exchange Act, or the respective rules and regulations promulgated thereunder. To the fullest extent permitted by law, any person or entity purchasing or otherwise acquiring any interest in shares of capital stock of the Corporation shall be deemed to have notice of and consented to the provisions of this Section 8.</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51" w:right="339" w:bottom="1440" w:gutter="0" w:footer="0" w:header="0"/>
        </w:sectPr>
      </w:pPr>
    </w:p>
    <w:bookmarkStart w:id="125" w:name="page126"/>
    <w:bookmarkEnd w:id="125"/>
    <w:p>
      <w:pPr>
        <w:ind w:left="420"/>
        <w:spacing w:after="0"/>
        <w:rPr>
          <w:sz w:val="20"/>
          <w:szCs w:val="20"/>
          <w:color w:val="auto"/>
        </w:rPr>
      </w:pPr>
      <w:r>
        <w:rPr>
          <w:rFonts w:ascii="Times New Roman" w:cs="Times New Roman" w:eastAsia="Times New Roman" w:hAnsi="Times New Roman"/>
          <w:sz w:val="12"/>
          <w:szCs w:val="12"/>
          <w:color w:val="auto"/>
        </w:rPr>
        <w:t>SECTION 9.      </w:t>
      </w:r>
      <w:r>
        <w:rPr>
          <w:rFonts w:ascii="Times New Roman" w:cs="Times New Roman" w:eastAsia="Times New Roman" w:hAnsi="Times New Roman"/>
          <w:sz w:val="12"/>
          <w:szCs w:val="12"/>
          <w:u w:val="single" w:color="auto"/>
          <w:color w:val="auto"/>
        </w:rPr>
        <w:t>  Amendment of Bylaws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right="320" w:firstLine="432"/>
        <w:spacing w:after="0" w:line="279"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Amendment by Directors</w:t>
      </w:r>
      <w:r>
        <w:rPr>
          <w:rFonts w:ascii="Times New Roman" w:cs="Times New Roman" w:eastAsia="Times New Roman" w:hAnsi="Times New Roman"/>
          <w:sz w:val="12"/>
          <w:szCs w:val="12"/>
          <w:color w:val="auto"/>
        </w:rPr>
        <w:t>. Except as otherwise required by law, these Bylaws may be amended or repealed by the Board of Directors by the affirmative vote of a majority of the directors then in office (so long as a quorum is present).</w:t>
      </w:r>
    </w:p>
    <w:p>
      <w:pPr>
        <w:spacing w:after="0" w:line="111"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Amendment by Stockholders</w:t>
      </w:r>
      <w:r>
        <w:rPr>
          <w:rFonts w:ascii="Times New Roman" w:cs="Times New Roman" w:eastAsia="Times New Roman" w:hAnsi="Times New Roman"/>
          <w:sz w:val="12"/>
          <w:szCs w:val="12"/>
          <w:color w:val="auto"/>
        </w:rPr>
        <w:t>. Except as otherwise provided herein, the Bylaws of the Corporation may be amended or repealed at any annual meeting of stockholders, or at any special meeting of stockholders called for such purpose, by the affirmative vote of the holders of not less than two-thirds (2/3) of the voting power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voting power of the outstanding shares of capital stock entitled to vote on such amendment or repeal, voting together as a single class.</w:t>
      </w:r>
    </w:p>
    <w:p>
      <w:pPr>
        <w:spacing w:after="0" w:line="122" w:lineRule="exact"/>
        <w:rPr>
          <w:sz w:val="20"/>
          <w:szCs w:val="20"/>
          <w:color w:val="auto"/>
        </w:rPr>
      </w:pPr>
    </w:p>
    <w:p>
      <w:pPr>
        <w:ind w:right="420" w:firstLine="432"/>
        <w:spacing w:after="0" w:line="279" w:lineRule="auto"/>
        <w:rPr>
          <w:sz w:val="20"/>
          <w:szCs w:val="20"/>
          <w:color w:val="auto"/>
        </w:rPr>
      </w:pPr>
      <w:r>
        <w:rPr>
          <w:rFonts w:ascii="Times New Roman" w:cs="Times New Roman" w:eastAsia="Times New Roman" w:hAnsi="Times New Roman"/>
          <w:sz w:val="12"/>
          <w:szCs w:val="12"/>
          <w:color w:val="auto"/>
        </w:rPr>
        <w:t>SECTION 10.      </w:t>
      </w:r>
      <w:r>
        <w:rPr>
          <w:rFonts w:ascii="Times New Roman" w:cs="Times New Roman" w:eastAsia="Times New Roman" w:hAnsi="Times New Roman"/>
          <w:sz w:val="12"/>
          <w:szCs w:val="12"/>
          <w:u w:val="single" w:color="auto"/>
          <w:color w:val="auto"/>
        </w:rPr>
        <w:t>  Notices</w:t>
      </w:r>
      <w:r>
        <w:rPr>
          <w:rFonts w:ascii="Times New Roman" w:cs="Times New Roman" w:eastAsia="Times New Roman" w:hAnsi="Times New Roman"/>
          <w:sz w:val="12"/>
          <w:szCs w:val="12"/>
          <w:color w:val="auto"/>
        </w:rPr>
        <w:t>.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111" w:lineRule="exact"/>
        <w:rPr>
          <w:sz w:val="20"/>
          <w:szCs w:val="20"/>
          <w:color w:val="auto"/>
        </w:rPr>
      </w:pPr>
    </w:p>
    <w:p>
      <w:pPr>
        <w:ind w:right="180" w:firstLine="432"/>
        <w:spacing w:after="0" w:line="279" w:lineRule="auto"/>
        <w:rPr>
          <w:sz w:val="20"/>
          <w:szCs w:val="20"/>
          <w:color w:val="auto"/>
        </w:rPr>
      </w:pPr>
      <w:r>
        <w:rPr>
          <w:rFonts w:ascii="Times New Roman" w:cs="Times New Roman" w:eastAsia="Times New Roman" w:hAnsi="Times New Roman"/>
          <w:sz w:val="12"/>
          <w:szCs w:val="12"/>
          <w:color w:val="auto"/>
        </w:rPr>
        <w:t>SECTION 11.      </w:t>
      </w:r>
      <w:r>
        <w:rPr>
          <w:rFonts w:ascii="Times New Roman" w:cs="Times New Roman" w:eastAsia="Times New Roman" w:hAnsi="Times New Roman"/>
          <w:sz w:val="12"/>
          <w:szCs w:val="12"/>
          <w:u w:val="single" w:color="auto"/>
          <w:color w:val="auto"/>
        </w:rPr>
        <w:t>  Waivers</w:t>
      </w:r>
      <w:r>
        <w:rPr>
          <w:rFonts w:ascii="Times New Roman" w:cs="Times New Roman" w:eastAsia="Times New Roman" w:hAnsi="Times New Roman"/>
          <w:sz w:val="12"/>
          <w:szCs w:val="12"/>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Adopted ___________, ____ and effective as of ___________, ____.</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51"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4"/>
          <w:szCs w:val="14"/>
          <w:b w:val="1"/>
          <w:bCs w:val="1"/>
          <w:color w:val="auto"/>
        </w:rPr>
        <w:t>Exhibit 10.1</w:t>
      </w:r>
    </w:p>
    <w:p>
      <w:pPr>
        <w:spacing w:after="0" w:line="16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SPONSOR SUPPORT AGREEMENT</w:t>
      </w:r>
    </w:p>
    <w:p>
      <w:pPr>
        <w:spacing w:after="0" w:line="154" w:lineRule="exact"/>
        <w:rPr>
          <w:sz w:val="20"/>
          <w:szCs w:val="20"/>
          <w:color w:val="auto"/>
        </w:rPr>
      </w:pPr>
    </w:p>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This SPONSOR SUPPORT AGREEMENT is made and entered into as of December 17, 2025 (this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by and between CGC III Sponsor LLC, a Cayman Islands limited liability company (“</w:t>
      </w:r>
      <w:r>
        <w:rPr>
          <w:rFonts w:ascii="Times New Roman" w:cs="Times New Roman" w:eastAsia="Times New Roman" w:hAnsi="Times New Roman"/>
          <w:sz w:val="12"/>
          <w:szCs w:val="12"/>
          <w:u w:val="single" w:color="auto"/>
          <w:color w:val="auto"/>
        </w:rPr>
        <w:t>Sponsor</w:t>
      </w:r>
      <w:r>
        <w:rPr>
          <w:rFonts w:ascii="Times New Roman" w:cs="Times New Roman" w:eastAsia="Times New Roman" w:hAnsi="Times New Roman"/>
          <w:sz w:val="12"/>
          <w:szCs w:val="12"/>
          <w:color w:val="auto"/>
        </w:rPr>
        <w:t>”) and Factorial Inc., a Delaware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WHEREAS, Cartesian Growth Corporation III, an exempted company incorporated under the laws of the Cayman Islands (“</w:t>
      </w:r>
      <w:r>
        <w:rPr>
          <w:rFonts w:ascii="Times New Roman" w:cs="Times New Roman" w:eastAsia="Times New Roman" w:hAnsi="Times New Roman"/>
          <w:sz w:val="12"/>
          <w:szCs w:val="12"/>
          <w:u w:val="single" w:color="auto"/>
          <w:color w:val="auto"/>
        </w:rPr>
        <w:t>CGC</w:t>
      </w:r>
      <w:r>
        <w:rPr>
          <w:rFonts w:ascii="Times New Roman" w:cs="Times New Roman" w:eastAsia="Times New Roman" w:hAnsi="Times New Roman"/>
          <w:sz w:val="12"/>
          <w:szCs w:val="12"/>
          <w:color w:val="auto"/>
        </w:rPr>
        <w:t>”), the Company and Fenway MS, Inc., a Delaware corporation (“</w:t>
      </w:r>
      <w:r>
        <w:rPr>
          <w:rFonts w:ascii="Times New Roman" w:cs="Times New Roman" w:eastAsia="Times New Roman" w:hAnsi="Times New Roman"/>
          <w:sz w:val="12"/>
          <w:szCs w:val="12"/>
          <w:u w:val="single" w:color="auto"/>
          <w:color w:val="auto"/>
        </w:rPr>
        <w:t>Merger Sub</w:t>
      </w:r>
      <w:r>
        <w:rPr>
          <w:rFonts w:ascii="Times New Roman" w:cs="Times New Roman" w:eastAsia="Times New Roman" w:hAnsi="Times New Roman"/>
          <w:sz w:val="12"/>
          <w:szCs w:val="12"/>
          <w:color w:val="auto"/>
        </w:rPr>
        <w:t>”), propose to enter into, contemporaneously herewith, that certain Business Combination Agreement, dated as of the date hereof (the “</w:t>
      </w:r>
      <w:r>
        <w:rPr>
          <w:rFonts w:ascii="Times New Roman" w:cs="Times New Roman" w:eastAsia="Times New Roman" w:hAnsi="Times New Roman"/>
          <w:sz w:val="12"/>
          <w:szCs w:val="12"/>
          <w:u w:val="single" w:color="auto"/>
          <w:color w:val="auto"/>
        </w:rPr>
        <w:t>BCA</w:t>
      </w:r>
      <w:r>
        <w:rPr>
          <w:rFonts w:ascii="Times New Roman" w:cs="Times New Roman" w:eastAsia="Times New Roman" w:hAnsi="Times New Roman"/>
          <w:sz w:val="12"/>
          <w:szCs w:val="12"/>
          <w:color w:val="auto"/>
        </w:rPr>
        <w:t>”; terms used but not defined in this Agreement shall have the meanings ascribed to them in the BCA); and</w:t>
      </w:r>
    </w:p>
    <w:p>
      <w:pPr>
        <w:spacing w:after="0" w:line="119"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WHEREAS, as of the date hereof, Sponsor owns beneficially and of record 6,800,000 CGC Class B Shares (the “</w:t>
      </w:r>
      <w:r>
        <w:rPr>
          <w:rFonts w:ascii="Times New Roman" w:cs="Times New Roman" w:eastAsia="Times New Roman" w:hAnsi="Times New Roman"/>
          <w:sz w:val="12"/>
          <w:szCs w:val="12"/>
          <w:u w:val="single" w:color="auto"/>
          <w:color w:val="auto"/>
        </w:rPr>
        <w:t>Sponsor Shares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WHEREAS, as of the date hereof, Sponsor owns beneficially and of record 4,400,000 CGC Warrants (the “</w:t>
      </w:r>
      <w:r>
        <w:rPr>
          <w:rFonts w:ascii="Times New Roman" w:cs="Times New Roman" w:eastAsia="Times New Roman" w:hAnsi="Times New Roman"/>
          <w:sz w:val="12"/>
          <w:szCs w:val="12"/>
          <w:u w:val="single" w:color="auto"/>
          <w:color w:val="auto"/>
        </w:rPr>
        <w:t>CGC Private Warrants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right="20" w:firstLine="864"/>
        <w:spacing w:after="0" w:line="279" w:lineRule="auto"/>
        <w:rPr>
          <w:sz w:val="20"/>
          <w:szCs w:val="20"/>
          <w:color w:val="auto"/>
        </w:rPr>
      </w:pPr>
      <w:r>
        <w:rPr>
          <w:rFonts w:ascii="Times New Roman" w:cs="Times New Roman" w:eastAsia="Times New Roman" w:hAnsi="Times New Roman"/>
          <w:sz w:val="12"/>
          <w:szCs w:val="12"/>
          <w:color w:val="auto"/>
        </w:rPr>
        <w:t>NOW, THEREFORE, in consideration of the foregoing and of the mutual covenants and agreements contained herein, the receipt and sufficiency of which is hereby acknowledged, and intending to be legally bound, the parties hereto hereby agree as follows:</w:t>
      </w:r>
    </w:p>
    <w:p>
      <w:pPr>
        <w:spacing w:after="0" w:line="111" w:lineRule="exact"/>
        <w:rPr>
          <w:sz w:val="20"/>
          <w:szCs w:val="20"/>
          <w:color w:val="auto"/>
        </w:rPr>
      </w:pPr>
    </w:p>
    <w:p>
      <w:pPr>
        <w:jc w:val="both"/>
        <w:ind w:left="8" w:firstLine="864"/>
        <w:spacing w:after="0" w:line="254" w:lineRule="auto"/>
        <w:rPr>
          <w:sz w:val="20"/>
          <w:szCs w:val="20"/>
          <w:color w:val="auto"/>
        </w:rPr>
      </w:pPr>
      <w:r>
        <w:rPr>
          <w:rFonts w:ascii="Times New Roman" w:cs="Times New Roman" w:eastAsia="Times New Roman" w:hAnsi="Times New Roman"/>
          <w:sz w:val="12"/>
          <w:szCs w:val="12"/>
          <w:color w:val="auto"/>
        </w:rPr>
        <w:t>1. </w:t>
      </w:r>
      <w:r>
        <w:rPr>
          <w:rFonts w:ascii="Times New Roman" w:cs="Times New Roman" w:eastAsia="Times New Roman" w:hAnsi="Times New Roman"/>
          <w:sz w:val="12"/>
          <w:szCs w:val="12"/>
          <w:u w:val="single" w:color="auto"/>
          <w:color w:val="auto"/>
        </w:rPr>
        <w:t> Voting Obligations</w:t>
      </w:r>
      <w:r>
        <w:rPr>
          <w:rFonts w:ascii="Times New Roman" w:cs="Times New Roman" w:eastAsia="Times New Roman" w:hAnsi="Times New Roman"/>
          <w:sz w:val="12"/>
          <w:szCs w:val="12"/>
          <w:color w:val="auto"/>
        </w:rPr>
        <w:t>. Until the earlier of (a) the Closing or (b) termination of the BCA in accordance with its terms, Sponsor agrees that, at the CGC Shareholders Meeting and in connection with any written consent of the CGC Shareholders, Sponsor shall (A) appear at each such meeting or otherwise cause all of its Sponsor Shares to be counted as present thereat for purposes of calculating a quorum and (B) vote (or duly and promptly execute and deliver an action by written consent), or cause to be voted at such meeting (or cause such consent to be duly and promptly executed and delivered with respect to), all of the Sponsor Shares (i) in favor of the approval and adoption of the BCA, the transactions contemplated by the BCA, and any other proposal submitted by the CGC Board for approval by the CGC Shareholders in connection with the transactions contemplated by the BCA, including the Warrant Amendment, (ii) in favor of any other matter reasonably necessary to the consummation of the transactions contemplated by the BCA and considered and voted upon by the CGC Shareholders, including the Warrant Amendment,</w:t>
      </w:r>
    </w:p>
    <w:p>
      <w:pPr>
        <w:spacing w:after="0" w:line="1" w:lineRule="exact"/>
        <w:rPr>
          <w:sz w:val="20"/>
          <w:szCs w:val="20"/>
          <w:color w:val="auto"/>
        </w:rPr>
      </w:pPr>
    </w:p>
    <w:p>
      <w:pPr>
        <w:jc w:val="both"/>
        <w:ind w:left="8" w:hanging="8"/>
        <w:spacing w:after="0" w:line="273" w:lineRule="auto"/>
        <w:tabs>
          <w:tab w:leader="none" w:pos="227" w:val="left"/>
        </w:tabs>
        <w:numPr>
          <w:ilvl w:val="0"/>
          <w:numId w:val="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against any action, agreement or transaction or proposal that would (A) reasonably be expected to result in a breach of any covenant, representation or warranty or any other obligation or agreement of CGC under the BCA or Ancillary Documents, (B) reasonably be expected to result in the failure of the transactions contemplated by the BCA to be consummated, or (C) change the business, management, or CGC Board except as contemplated by the BCA and the Ancillary Documents, and (iv) against any merger agreement, merger, consolidation, combination, sale of substantial assets, reorganization, recapitalization, dissolution, liquidation or winding up of or by CGC (other than the BCA and the transactions contemplated by the BCA). Until the earlier of (a) the Closing or (b) termination of the BCA in accordance with its terms, Sponsor agrees that, at any meeting of the holders of CGC Warrants and in connection with any written consent of the holders of CGC Warrants, Sponsor shall (A) appear at each such meeting or otherwise cause all of its CGC Private Warrants to be counted as present thereat for purposes of calculating a quorum and</w:t>
      </w:r>
    </w:p>
    <w:p>
      <w:pPr>
        <w:ind w:left="8" w:right="20"/>
        <w:spacing w:after="0" w:line="26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(B) vote (or duly and promptly execute and deliver an action by written consent), or cause to be voted at such meeting (or cause such consent to be duly and promptly executed and delivered with respect to), all of the CGC Private Warrants in favor of the approval and adoption of the Warrant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278765</wp:posOffset>
            </wp:positionV>
            <wp:extent cx="717804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81" w:right="299" w:bottom="1440" w:gutter="0" w:footer="0" w:header="0"/>
        </w:sectPr>
      </w:pPr>
    </w:p>
    <w:bookmarkStart w:id="127" w:name="page128"/>
    <w:bookmarkEnd w:id="127"/>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2. </w:t>
      </w:r>
      <w:r>
        <w:rPr>
          <w:rFonts w:ascii="Times New Roman" w:cs="Times New Roman" w:eastAsia="Times New Roman" w:hAnsi="Times New Roman"/>
          <w:sz w:val="12"/>
          <w:szCs w:val="12"/>
          <w:u w:val="single" w:color="auto"/>
          <w:color w:val="auto"/>
        </w:rPr>
        <w:t> CGC Private Warrant Exchange</w:t>
      </w:r>
      <w:r>
        <w:rPr>
          <w:rFonts w:ascii="Times New Roman" w:cs="Times New Roman" w:eastAsia="Times New Roman" w:hAnsi="Times New Roman"/>
          <w:sz w:val="12"/>
          <w:szCs w:val="12"/>
          <w:color w:val="auto"/>
        </w:rPr>
        <w:t>. At the Closing, Sponsor shall enter into the CGC Private Warrant Exchange Agreement pursuant to which it shall agree to exchange its CGC Private Warrants for shares of CGC Class A Common Stock at the same ratio as applied to the exchange of the CGC Public Warrants for shares of CGC Class A Common Stock pursuant to the Warrant Amendment.</w:t>
      </w:r>
    </w:p>
    <w:p>
      <w:pPr>
        <w:spacing w:after="0" w:line="111" w:lineRule="exact"/>
        <w:rPr>
          <w:sz w:val="20"/>
          <w:szCs w:val="20"/>
          <w:color w:val="auto"/>
        </w:rPr>
      </w:pPr>
    </w:p>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3. </w:t>
      </w:r>
      <w:r>
        <w:rPr>
          <w:rFonts w:ascii="Times New Roman" w:cs="Times New Roman" w:eastAsia="Times New Roman" w:hAnsi="Times New Roman"/>
          <w:sz w:val="12"/>
          <w:szCs w:val="12"/>
          <w:u w:val="single" w:color="auto"/>
          <w:color w:val="auto"/>
        </w:rPr>
        <w:t> Waiver of Redemption Rights</w:t>
      </w:r>
      <w:r>
        <w:rPr>
          <w:rFonts w:ascii="Times New Roman" w:cs="Times New Roman" w:eastAsia="Times New Roman" w:hAnsi="Times New Roman"/>
          <w:sz w:val="12"/>
          <w:szCs w:val="12"/>
          <w:color w:val="auto"/>
        </w:rPr>
        <w:t>. Sponsor agrees not to (a) demand that CGC redeem the Sponsor Shares in connection with the transactions contemplated by the BCA or (b) otherwise participate in any such redemption by tendering or submitting any of the Sponsor Shares for redemption.</w:t>
      </w:r>
    </w:p>
    <w:p>
      <w:pPr>
        <w:spacing w:after="0" w:line="111"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4. </w:t>
      </w:r>
      <w:r>
        <w:rPr>
          <w:rFonts w:ascii="Times New Roman" w:cs="Times New Roman" w:eastAsia="Times New Roman" w:hAnsi="Times New Roman"/>
          <w:sz w:val="12"/>
          <w:szCs w:val="12"/>
          <w:u w:val="single" w:color="auto"/>
          <w:color w:val="auto"/>
        </w:rPr>
        <w:t> Waiver of Anti-Dilution Rights</w:t>
      </w:r>
      <w:r>
        <w:rPr>
          <w:rFonts w:ascii="Times New Roman" w:cs="Times New Roman" w:eastAsia="Times New Roman" w:hAnsi="Times New Roman"/>
          <w:sz w:val="12"/>
          <w:szCs w:val="12"/>
          <w:color w:val="auto"/>
        </w:rPr>
        <w:t>. Sponsor hereby agrees to waive the provisions of Section 17.2 set forth in the Governing Document of CGC relating to the adjustment of the Initial Conversion Ratio (as defined in the Governing Document of CGC) in connection with the transactions contemplated by the BCA and agrees not to exercise, assert or perfect, any rights to adjustment or other anti-dilution protections with respect to the rate at which CGC Class B Shares held by such Sponsor convert into CGC Class A Shares, whether resulting from the transactions contemplated by the BCA or otherwise, so that each CGC Class B Share held by Sponsor issued and outstanding as of the Closing shall convert into one CGC Class A Share pursuant to, and in accordance with, the Governing Document of CGC.</w:t>
      </w:r>
    </w:p>
    <w:p>
      <w:pPr>
        <w:spacing w:after="0" w:line="122" w:lineRule="exact"/>
        <w:rPr>
          <w:sz w:val="20"/>
          <w:szCs w:val="20"/>
          <w:color w:val="auto"/>
        </w:rPr>
      </w:pPr>
    </w:p>
    <w:p>
      <w:pPr>
        <w:jc w:val="both"/>
        <w:ind w:left="8" w:firstLine="864"/>
        <w:spacing w:after="0" w:line="327" w:lineRule="auto"/>
        <w:rPr>
          <w:sz w:val="20"/>
          <w:szCs w:val="20"/>
          <w:color w:val="auto"/>
        </w:rPr>
      </w:pPr>
      <w:r>
        <w:rPr>
          <w:rFonts w:ascii="Times New Roman" w:cs="Times New Roman" w:eastAsia="Times New Roman" w:hAnsi="Times New Roman"/>
          <w:sz w:val="11"/>
          <w:szCs w:val="11"/>
          <w:color w:val="auto"/>
        </w:rPr>
        <w:t>5. </w:t>
      </w:r>
      <w:r>
        <w:rPr>
          <w:rFonts w:ascii="Times New Roman" w:cs="Times New Roman" w:eastAsia="Times New Roman" w:hAnsi="Times New Roman"/>
          <w:sz w:val="11"/>
          <w:szCs w:val="11"/>
          <w:u w:val="single" w:color="auto"/>
          <w:color w:val="auto"/>
        </w:rPr>
        <w:t> Transfer of Shares and CGC Private Warrants</w:t>
      </w:r>
      <w:r>
        <w:rPr>
          <w:rFonts w:ascii="Times New Roman" w:cs="Times New Roman" w:eastAsia="Times New Roman" w:hAnsi="Times New Roman"/>
          <w:sz w:val="11"/>
          <w:szCs w:val="11"/>
          <w:color w:val="auto"/>
        </w:rPr>
        <w:t>. Sponsor acknowledges and agrees that the Sponsor Shares and CGC Private Warrants are subject to the transfer restrictions under that certain Letter Agreement, dated May 1, 2025, between Sponsor and CGC (the “</w:t>
      </w:r>
      <w:r>
        <w:rPr>
          <w:rFonts w:ascii="Times New Roman" w:cs="Times New Roman" w:eastAsia="Times New Roman" w:hAnsi="Times New Roman"/>
          <w:sz w:val="11"/>
          <w:szCs w:val="11"/>
          <w:u w:val="single" w:color="auto"/>
          <w:color w:val="auto"/>
        </w:rPr>
        <w:t>Letter Agreement</w:t>
      </w:r>
      <w:r>
        <w:rPr>
          <w:rFonts w:ascii="Times New Roman" w:cs="Times New Roman" w:eastAsia="Times New Roman" w:hAnsi="Times New Roman"/>
          <w:sz w:val="11"/>
          <w:szCs w:val="11"/>
          <w:color w:val="auto"/>
        </w:rPr>
        <w:t>”). Sponsor hereby agrees that the Company is an express third party beneficiary of the Letter Agreement with rights to enforce the provisions thereof against the Sponsor.</w:t>
      </w:r>
    </w:p>
    <w:p>
      <w:pPr>
        <w:spacing w:after="0" w:line="87"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6. </w:t>
      </w:r>
      <w:r>
        <w:rPr>
          <w:rFonts w:ascii="Times New Roman" w:cs="Times New Roman" w:eastAsia="Times New Roman" w:hAnsi="Times New Roman"/>
          <w:sz w:val="12"/>
          <w:szCs w:val="12"/>
          <w:u w:val="single" w:color="auto"/>
          <w:color w:val="auto"/>
        </w:rPr>
        <w:t> Representations and Warranties</w:t>
      </w:r>
      <w:r>
        <w:rPr>
          <w:rFonts w:ascii="Times New Roman" w:cs="Times New Roman" w:eastAsia="Times New Roman" w:hAnsi="Times New Roman"/>
          <w:sz w:val="12"/>
          <w:szCs w:val="12"/>
          <w:color w:val="auto"/>
        </w:rPr>
        <w:t>. Sponsor represents and warrants to the Company as follows:</w:t>
      </w:r>
    </w:p>
    <w:p>
      <w:pPr>
        <w:spacing w:after="0" w:line="150"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Organization</w:t>
      </w:r>
      <w:r>
        <w:rPr>
          <w:rFonts w:ascii="Times New Roman" w:cs="Times New Roman" w:eastAsia="Times New Roman" w:hAnsi="Times New Roman"/>
          <w:sz w:val="12"/>
          <w:szCs w:val="12"/>
          <w:color w:val="auto"/>
        </w:rPr>
        <w:t>. Sponsor is duly organized, validly existing and in good standing under the Laws of the jurisdiction in which it is incorporated, formed, organized or constituted, and the execution, delivery and performance of this Agreement and the consummation of the transactions contemplated hereby are within the Sponsor’s corporate, limited liability company or organizational powers and have been duly authorized by all necessary corporate, limited liability company or organizational actions on the part of the Sponsor.</w:t>
      </w:r>
    </w:p>
    <w:p>
      <w:pPr>
        <w:spacing w:after="0" w:line="119"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No Conflicts</w:t>
      </w:r>
      <w:r>
        <w:rPr>
          <w:rFonts w:ascii="Times New Roman" w:cs="Times New Roman" w:eastAsia="Times New Roman" w:hAnsi="Times New Roman"/>
          <w:sz w:val="12"/>
          <w:szCs w:val="12"/>
          <w:color w:val="auto"/>
        </w:rPr>
        <w:t>. The execution, delivery and performance by Sponsor of this Agreement and the consummation by Sponsor of the transactions contemplated hereby do not and will not (i) conflict with or violate any United States or non-United States Law applicable to Sponsor, (ii) require any consent, approval or authorization of, declaration, filing or registration with, or notice to, any person or entity, (iii) result in the creation of any encumbrance on any Sponsor Shares or CGC Private Warrants (other than under this Agreement, the BCA and the agreements contemplated by the BCA, including the other Ancillary Documents), or (iv) conflict with or result in a breach of or constitute a default under any provision of Sponsor’s governing documents.</w:t>
      </w:r>
    </w:p>
    <w:p>
      <w:pPr>
        <w:spacing w:after="0" w:line="122" w:lineRule="exact"/>
        <w:rPr>
          <w:sz w:val="20"/>
          <w:szCs w:val="20"/>
          <w:color w:val="auto"/>
        </w:rPr>
      </w:pPr>
    </w:p>
    <w:p>
      <w:pPr>
        <w:jc w:val="both"/>
        <w:ind w:left="8" w:firstLine="864"/>
        <w:spacing w:after="0" w:line="259" w:lineRule="auto"/>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Ownership</w:t>
      </w:r>
      <w:r>
        <w:rPr>
          <w:rFonts w:ascii="Times New Roman" w:cs="Times New Roman" w:eastAsia="Times New Roman" w:hAnsi="Times New Roman"/>
          <w:sz w:val="12"/>
          <w:szCs w:val="12"/>
          <w:color w:val="auto"/>
        </w:rPr>
        <w:t>. As of the date of this Agreement, Sponsor owns exclusively and has good, valid and marketable title to the Sponsor Shares and the CGC Private Warrants free and clear of any Lien, proxy, option, right of first refusal, agreement, voting restriction, limitation on disposition, charge, adverse claim of ownership or use or other encumbrance of any kind, other than pursuant to (i) this Agreement, (ii) applicable securities Laws, and</w:t>
      </w:r>
    </w:p>
    <w:p>
      <w:pPr>
        <w:spacing w:after="0" w:line="1" w:lineRule="exact"/>
        <w:rPr>
          <w:sz w:val="20"/>
          <w:szCs w:val="20"/>
          <w:color w:val="auto"/>
        </w:rPr>
      </w:pPr>
    </w:p>
    <w:p>
      <w:pPr>
        <w:ind w:left="8" w:right="20" w:hanging="8"/>
        <w:spacing w:after="0" w:line="260" w:lineRule="auto"/>
        <w:tabs>
          <w:tab w:leader="none" w:pos="219"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Governing Document of CGC, and as of the date of this Agreement, Sponsor has the sole power (as currently in effect) to vote and right, power and authority to sell, transfer and deliver the Sponsor Shares and the CGC Private Warrants, as applicable, and Sponsor does not own, directly or indirectly, any other CGC Class B Shares.</w:t>
      </w:r>
    </w:p>
    <w:p>
      <w:pPr>
        <w:spacing w:after="0" w:line="26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28" w:name="page129"/>
    <w:bookmarkEnd w:id="128"/>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u w:val="single" w:color="auto"/>
          <w:color w:val="auto"/>
        </w:rPr>
        <w:t>  Due Authorization</w:t>
      </w:r>
      <w:r>
        <w:rPr>
          <w:rFonts w:ascii="Times New Roman" w:cs="Times New Roman" w:eastAsia="Times New Roman" w:hAnsi="Times New Roman"/>
          <w:sz w:val="12"/>
          <w:szCs w:val="12"/>
          <w:color w:val="auto"/>
        </w:rPr>
        <w:t>. Sponsor has the power, authority and capacity to execute, deliver and perform this Agreement and this Agreement has been duly authorized, executed and delivered by Sponsor and, assuming due authorization, execution and delivery by the other parties to this Agreement, this Agreement constitutes a legally valid and binding obligation of the Sponsor, enforceable against the Sponsor in accordance with the terms hereof (except as enforceability may be limited by bankruptcy Laws, other similar Laws affecting creditors’ rights and general principles of equity affecting the availability of specific performance and other equitable remedies).</w:t>
      </w:r>
    </w:p>
    <w:p>
      <w:pPr>
        <w:spacing w:after="0" w:line="119" w:lineRule="exact"/>
        <w:rPr>
          <w:sz w:val="20"/>
          <w:szCs w:val="20"/>
          <w:color w:val="auto"/>
        </w:rPr>
      </w:pPr>
    </w:p>
    <w:p>
      <w:pPr>
        <w:jc w:val="both"/>
        <w:ind w:right="20" w:firstLine="864"/>
        <w:spacing w:after="0" w:line="327" w:lineRule="auto"/>
        <w:rPr>
          <w:sz w:val="20"/>
          <w:szCs w:val="20"/>
          <w:color w:val="auto"/>
        </w:rPr>
      </w:pPr>
      <w:r>
        <w:rPr>
          <w:rFonts w:ascii="Times New Roman" w:cs="Times New Roman" w:eastAsia="Times New Roman" w:hAnsi="Times New Roman"/>
          <w:sz w:val="11"/>
          <w:szCs w:val="11"/>
          <w:color w:val="auto"/>
        </w:rPr>
        <w:t>(e)          </w:t>
      </w:r>
      <w:r>
        <w:rPr>
          <w:rFonts w:ascii="Times New Roman" w:cs="Times New Roman" w:eastAsia="Times New Roman" w:hAnsi="Times New Roman"/>
          <w:sz w:val="11"/>
          <w:szCs w:val="11"/>
          <w:u w:val="single" w:color="auto"/>
          <w:color w:val="auto"/>
        </w:rPr>
        <w:t>  Litigation</w:t>
      </w:r>
      <w:r>
        <w:rPr>
          <w:rFonts w:ascii="Times New Roman" w:cs="Times New Roman" w:eastAsia="Times New Roman" w:hAnsi="Times New Roman"/>
          <w:sz w:val="11"/>
          <w:szCs w:val="11"/>
          <w:color w:val="auto"/>
        </w:rPr>
        <w:t>. There is no Proceeding pending against the Sponsor, or to the knowledge of the Sponsor threatened against Sponsor, before (or, in the case of threatened actions, that would be before) any arbitrator or any Governmental Entity, which in any manner challenges or seeks to prevent, enjoin or materially delay the performance by Sponsor of its obligations under this Agreement, the BCA or the transactions contemplated thereby.</w:t>
      </w:r>
    </w:p>
    <w:p>
      <w:pPr>
        <w:spacing w:after="0" w:line="8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(f)          </w:t>
      </w:r>
      <w:r>
        <w:rPr>
          <w:rFonts w:ascii="Times New Roman" w:cs="Times New Roman" w:eastAsia="Times New Roman" w:hAnsi="Times New Roman"/>
          <w:sz w:val="12"/>
          <w:szCs w:val="12"/>
          <w:u w:val="single" w:color="auto"/>
          <w:color w:val="auto"/>
        </w:rPr>
        <w:t>  Acknowledgment</w:t>
      </w:r>
      <w:r>
        <w:rPr>
          <w:rFonts w:ascii="Times New Roman" w:cs="Times New Roman" w:eastAsia="Times New Roman" w:hAnsi="Times New Roman"/>
          <w:sz w:val="12"/>
          <w:szCs w:val="12"/>
          <w:color w:val="auto"/>
        </w:rPr>
        <w:t>. Sponsor understands and acknowledges that the Company is entering into the BCA in reliance upon its execution and delivery of this Agreement.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7. </w:t>
      </w:r>
      <w:r>
        <w:rPr>
          <w:rFonts w:ascii="Times New Roman" w:cs="Times New Roman" w:eastAsia="Times New Roman" w:hAnsi="Times New Roman"/>
          <w:sz w:val="12"/>
          <w:szCs w:val="12"/>
          <w:u w:val="single" w:color="auto"/>
          <w:color w:val="auto"/>
        </w:rPr>
        <w:t> Termination</w:t>
      </w:r>
      <w:r>
        <w:rPr>
          <w:rFonts w:ascii="Times New Roman" w:cs="Times New Roman" w:eastAsia="Times New Roman" w:hAnsi="Times New Roman"/>
          <w:sz w:val="12"/>
          <w:szCs w:val="12"/>
          <w:color w:val="auto"/>
        </w:rPr>
        <w:t>. The obligations of the parties under this Agreement shall automatically terminate upon the earlier of (i) the Effective Time and (ii) the termination of the BCA in accordance with its terms, provided, that, if the Effective Time occurs, Section 5 shall terminate in accordance with the terms of the CGC Bylaws. Upon termination or expiration of this Agreement, no party shall have any further obligations or liabilities under this Agreement. Notwithstanding any termination of this Agreement, no such termination or expiration shall relieve any party hereto from liability for fraud or willful breach of this Agreement occurring prior to its termination.</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8. </w:t>
      </w:r>
      <w:r>
        <w:rPr>
          <w:rFonts w:ascii="Times New Roman" w:cs="Times New Roman" w:eastAsia="Times New Roman" w:hAnsi="Times New Roman"/>
          <w:sz w:val="12"/>
          <w:szCs w:val="12"/>
          <w:u w:val="single" w:color="auto"/>
          <w:color w:val="auto"/>
        </w:rPr>
        <w:t> Miscellaneous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 xml:space="preserve">(a)            All notices, requests, claims, demands and other communications hereunder shall be in writing and shall be given (and shall be deemed to have been duly given upon receipt) by delivery in person, by e-mail or by registered or certified mail (postage prepaid, return receipt requested) to the respective parties at the following addresses or e-mail addresses (or at such other address or e-mail address for a party as shall be specified in a notice given in accordance with this </w:t>
      </w:r>
      <w:r>
        <w:rPr>
          <w:rFonts w:ascii="Times New Roman" w:cs="Times New Roman" w:eastAsia="Times New Roman" w:hAnsi="Times New Roman"/>
          <w:sz w:val="12"/>
          <w:szCs w:val="12"/>
          <w:u w:val="single" w:color="auto"/>
          <w:color w:val="auto"/>
        </w:rPr>
        <w:t>Section 8(a)</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If to CGC prior to or on the Closing Date, or to Sponsor, to:</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505 Fifth Avenue, Suite 1500</w:t>
      </w:r>
    </w:p>
    <w:p>
      <w:pPr>
        <w:spacing w:after="0" w:line="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New York, NY 10017</w:t>
      </w:r>
    </w:p>
    <w:p>
      <w:pPr>
        <w:spacing w:after="0" w:line="6" w:lineRule="exact"/>
        <w:rPr>
          <w:sz w:val="20"/>
          <w:szCs w:val="20"/>
          <w:color w:val="auto"/>
        </w:rPr>
      </w:pPr>
    </w:p>
    <w:p>
      <w:pPr>
        <w:ind w:left="1280"/>
        <w:spacing w:after="0"/>
        <w:tabs>
          <w:tab w:leader="none" w:pos="2140" w:val="left"/>
        </w:tabs>
        <w:rPr>
          <w:sz w:val="20"/>
          <w:szCs w:val="20"/>
          <w:color w:val="auto"/>
        </w:rPr>
      </w:pPr>
      <w:r>
        <w:rPr>
          <w:rFonts w:ascii="Times New Roman" w:cs="Times New Roman" w:eastAsia="Times New Roman" w:hAnsi="Times New Roman"/>
          <w:sz w:val="12"/>
          <w:szCs w:val="12"/>
          <w:color w:val="auto"/>
        </w:rPr>
        <w:t>Attention:</w:t>
      </w:r>
      <w:r>
        <w:rPr>
          <w:sz w:val="20"/>
          <w:szCs w:val="20"/>
          <w:color w:val="auto"/>
        </w:rPr>
        <w:tab/>
      </w:r>
      <w:r>
        <w:rPr>
          <w:rFonts w:ascii="Times New Roman" w:cs="Times New Roman" w:eastAsia="Times New Roman" w:hAnsi="Times New Roman"/>
          <w:sz w:val="12"/>
          <w:szCs w:val="12"/>
          <w:color w:val="auto"/>
        </w:rPr>
        <w:t>Peter Yu</w:t>
      </w:r>
    </w:p>
    <w:p>
      <w:pPr>
        <w:spacing w:after="0" w:line="6" w:lineRule="exact"/>
        <w:rPr>
          <w:sz w:val="20"/>
          <w:szCs w:val="20"/>
          <w:color w:val="auto"/>
        </w:rPr>
      </w:pPr>
    </w:p>
    <w:p>
      <w:pPr>
        <w:ind w:left="1280"/>
        <w:spacing w:after="0"/>
        <w:tabs>
          <w:tab w:leader="none" w:pos="2140" w:val="left"/>
        </w:tabs>
        <w:rPr>
          <w:sz w:val="20"/>
          <w:szCs w:val="20"/>
          <w:color w:val="auto"/>
        </w:rPr>
      </w:pPr>
      <w:r>
        <w:rPr>
          <w:rFonts w:ascii="Times New Roman" w:cs="Times New Roman" w:eastAsia="Times New Roman" w:hAnsi="Times New Roman"/>
          <w:sz w:val="12"/>
          <w:szCs w:val="12"/>
          <w:color w:val="auto"/>
        </w:rPr>
        <w:t>E-mail:</w:t>
      </w:r>
      <w:r>
        <w:rPr>
          <w:sz w:val="20"/>
          <w:szCs w:val="20"/>
          <w:color w:val="auto"/>
        </w:rPr>
        <w:tab/>
      </w:r>
      <w:r>
        <w:rPr>
          <w:rFonts w:ascii="Times New Roman" w:cs="Times New Roman" w:eastAsia="Times New Roman" w:hAnsi="Times New Roman"/>
          <w:sz w:val="11"/>
          <w:szCs w:val="11"/>
          <w:u w:val="single" w:color="auto"/>
          <w:color w:val="auto"/>
        </w:rPr>
        <w:t>peter@cartesiangrowth.com</w:t>
      </w:r>
    </w:p>
    <w:p>
      <w:pPr>
        <w:spacing w:after="0" w:line="1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with a copy (which shall not constitute notice) to:</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Greenberg Traurig, LLP</w:t>
      </w:r>
    </w:p>
    <w:p>
      <w:pPr>
        <w:spacing w:after="0" w:line="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One Vanderbilt Avenue</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New York, New York 10017</w:t>
      </w:r>
    </w:p>
    <w:p>
      <w:pPr>
        <w:spacing w:after="0" w:line="1" w:lineRule="exact"/>
        <w:rPr>
          <w:sz w:val="20"/>
          <w:szCs w:val="20"/>
          <w:color w:val="auto"/>
        </w:rPr>
      </w:pPr>
    </w:p>
    <w:tbl>
      <w:tblPr>
        <w:tblLayout w:type="fixed"/>
        <w:tblInd w:w="1280" w:type="dxa"/>
        <w:tblCellMar>
          <w:top w:w="0" w:type="dxa"/>
          <w:left w:w="0" w:type="dxa"/>
          <w:bottom w:w="0" w:type="dxa"/>
          <w:right w:w="0" w:type="dxa"/>
        </w:tblCellMar>
      </w:tblPr>
      <w:tr>
        <w:trPr>
          <w:trHeight w:val="138"/>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Attention:</w:t>
            </w:r>
          </w:p>
        </w:tc>
        <w:tc>
          <w:tcPr>
            <w:tcW w:w="2680" w:type="dxa"/>
            <w:vAlign w:val="bottom"/>
          </w:tcPr>
          <w:p>
            <w:pPr>
              <w:spacing w:after="0"/>
              <w:rPr>
                <w:sz w:val="20"/>
                <w:szCs w:val="20"/>
                <w:color w:val="auto"/>
              </w:rPr>
            </w:pPr>
            <w:r>
              <w:rPr>
                <w:rFonts w:ascii="Times New Roman" w:cs="Times New Roman" w:eastAsia="Times New Roman" w:hAnsi="Times New Roman"/>
                <w:sz w:val="12"/>
                <w:szCs w:val="12"/>
                <w:color w:val="auto"/>
              </w:rPr>
              <w:t>Adam Namoury; Thomas Martin</w:t>
            </w:r>
          </w:p>
        </w:tc>
      </w:tr>
      <w:tr>
        <w:trPr>
          <w:trHeight w:val="128"/>
        </w:trPr>
        <w:tc>
          <w:tcPr>
            <w:tcW w:w="88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E-mail:</w:t>
            </w:r>
          </w:p>
        </w:tc>
        <w:tc>
          <w:tcPr>
            <w:tcW w:w="2680" w:type="dxa"/>
            <w:vAlign w:val="bottom"/>
            <w:tcBorders>
              <w:bottom w:val="single" w:sz="8" w:color="auto"/>
            </w:tcBorders>
          </w:tcPr>
          <w:p>
            <w:pPr>
              <w:spacing w:after="0" w:line="128" w:lineRule="exact"/>
              <w:rPr>
                <w:sz w:val="20"/>
                <w:szCs w:val="20"/>
                <w:color w:val="auto"/>
              </w:rPr>
            </w:pPr>
            <w:r>
              <w:rPr>
                <w:rFonts w:ascii="Times New Roman" w:cs="Times New Roman" w:eastAsia="Times New Roman" w:hAnsi="Times New Roman"/>
                <w:sz w:val="12"/>
                <w:szCs w:val="12"/>
                <w:color w:val="auto"/>
                <w:w w:val="98"/>
              </w:rPr>
              <w:t>adam.namoury@gtlaw.com; thomas.martin@gtlaw.com</w:t>
            </w:r>
          </w:p>
        </w:tc>
      </w:tr>
    </w:tbl>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29" w:name="page130"/>
    <w:bookmarkEnd w:id="129"/>
    <w:p>
      <w:pPr>
        <w:ind w:left="1288"/>
        <w:spacing w:after="0"/>
        <w:rPr>
          <w:sz w:val="20"/>
          <w:szCs w:val="20"/>
          <w:color w:val="auto"/>
        </w:rPr>
      </w:pPr>
      <w:r>
        <w:rPr>
          <w:rFonts w:ascii="Times New Roman" w:cs="Times New Roman" w:eastAsia="Times New Roman" w:hAnsi="Times New Roman"/>
          <w:sz w:val="12"/>
          <w:szCs w:val="12"/>
          <w:color w:val="auto"/>
        </w:rPr>
        <w:t>If to the Company:</w:t>
      </w:r>
    </w:p>
    <w:p>
      <w:pPr>
        <w:spacing w:after="0" w:line="150"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Factorial Inc.</w:t>
      </w:r>
    </w:p>
    <w:p>
      <w:pPr>
        <w:spacing w:after="0" w:line="17"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805 Middlesex Turnpike</w:t>
      </w:r>
    </w:p>
    <w:p>
      <w:pPr>
        <w:spacing w:after="0" w:line="6"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Billerica, MA 01821</w:t>
      </w:r>
    </w:p>
    <w:p>
      <w:pPr>
        <w:spacing w:after="0" w:line="6" w:lineRule="exact"/>
        <w:rPr>
          <w:sz w:val="20"/>
          <w:szCs w:val="20"/>
          <w:color w:val="auto"/>
        </w:rPr>
      </w:pPr>
    </w:p>
    <w:p>
      <w:pPr>
        <w:ind w:left="1288"/>
        <w:spacing w:after="0"/>
        <w:tabs>
          <w:tab w:leader="none" w:pos="2148" w:val="left"/>
        </w:tabs>
        <w:rPr>
          <w:sz w:val="20"/>
          <w:szCs w:val="20"/>
          <w:color w:val="auto"/>
        </w:rPr>
      </w:pPr>
      <w:r>
        <w:rPr>
          <w:rFonts w:ascii="Times New Roman" w:cs="Times New Roman" w:eastAsia="Times New Roman" w:hAnsi="Times New Roman"/>
          <w:sz w:val="12"/>
          <w:szCs w:val="12"/>
          <w:color w:val="auto"/>
        </w:rPr>
        <w:t>Attention:</w:t>
      </w:r>
      <w:r>
        <w:rPr>
          <w:sz w:val="20"/>
          <w:szCs w:val="20"/>
          <w:color w:val="auto"/>
        </w:rPr>
        <w:tab/>
      </w:r>
      <w:r>
        <w:rPr>
          <w:rFonts w:ascii="Times New Roman" w:cs="Times New Roman" w:eastAsia="Times New Roman" w:hAnsi="Times New Roman"/>
          <w:sz w:val="12"/>
          <w:szCs w:val="12"/>
          <w:color w:val="auto"/>
        </w:rPr>
        <w:t>Siyu Huang</w:t>
      </w:r>
    </w:p>
    <w:p>
      <w:pPr>
        <w:spacing w:after="0" w:line="6" w:lineRule="exact"/>
        <w:rPr>
          <w:sz w:val="20"/>
          <w:szCs w:val="20"/>
          <w:color w:val="auto"/>
        </w:rPr>
      </w:pPr>
    </w:p>
    <w:p>
      <w:pPr>
        <w:ind w:left="1288"/>
        <w:spacing w:after="0"/>
        <w:tabs>
          <w:tab w:leader="none" w:pos="2148" w:val="left"/>
        </w:tabs>
        <w:rPr>
          <w:sz w:val="20"/>
          <w:szCs w:val="20"/>
          <w:color w:val="auto"/>
        </w:rPr>
      </w:pPr>
      <w:r>
        <w:rPr>
          <w:rFonts w:ascii="Times New Roman" w:cs="Times New Roman" w:eastAsia="Times New Roman" w:hAnsi="Times New Roman"/>
          <w:sz w:val="12"/>
          <w:szCs w:val="12"/>
          <w:color w:val="auto"/>
        </w:rPr>
        <w:t>E-mail:</w:t>
      </w:r>
      <w:r>
        <w:rPr>
          <w:sz w:val="20"/>
          <w:szCs w:val="20"/>
          <w:color w:val="auto"/>
        </w:rPr>
        <w:tab/>
      </w:r>
      <w:r>
        <w:rPr>
          <w:rFonts w:ascii="Times New Roman" w:cs="Times New Roman" w:eastAsia="Times New Roman" w:hAnsi="Times New Roman"/>
          <w:sz w:val="11"/>
          <w:szCs w:val="11"/>
          <w:color w:val="auto"/>
        </w:rPr>
        <w:t>sh1@factorialenergy.com</w:t>
      </w:r>
    </w:p>
    <w:p>
      <w:pPr>
        <w:spacing w:after="0" w:line="139"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with a copy (which shall not constitute notice) to:</w:t>
      </w:r>
    </w:p>
    <w:p>
      <w:pPr>
        <w:spacing w:after="0" w:line="150"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Goodwin Procter LLP</w:t>
      </w:r>
    </w:p>
    <w:p>
      <w:pPr>
        <w:spacing w:after="0" w:line="17"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100 Northern Avenue</w:t>
      </w:r>
    </w:p>
    <w:p>
      <w:pPr>
        <w:spacing w:after="0" w:line="6"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Boston, MA 02210</w:t>
      </w:r>
    </w:p>
    <w:p>
      <w:pPr>
        <w:spacing w:after="0" w:line="6" w:lineRule="exact"/>
        <w:rPr>
          <w:sz w:val="20"/>
          <w:szCs w:val="20"/>
          <w:color w:val="auto"/>
        </w:rPr>
      </w:pPr>
    </w:p>
    <w:p>
      <w:pPr>
        <w:ind w:left="1288"/>
        <w:spacing w:after="0"/>
        <w:tabs>
          <w:tab w:leader="none" w:pos="2148" w:val="left"/>
        </w:tabs>
        <w:rPr>
          <w:sz w:val="20"/>
          <w:szCs w:val="20"/>
          <w:color w:val="auto"/>
        </w:rPr>
      </w:pPr>
      <w:r>
        <w:rPr>
          <w:rFonts w:ascii="Times New Roman" w:cs="Times New Roman" w:eastAsia="Times New Roman" w:hAnsi="Times New Roman"/>
          <w:sz w:val="12"/>
          <w:szCs w:val="12"/>
          <w:color w:val="auto"/>
        </w:rPr>
        <w:t>Attention:</w:t>
      </w:r>
      <w:r>
        <w:rPr>
          <w:sz w:val="20"/>
          <w:szCs w:val="20"/>
          <w:color w:val="auto"/>
        </w:rPr>
        <w:tab/>
      </w:r>
      <w:r>
        <w:rPr>
          <w:rFonts w:ascii="Times New Roman" w:cs="Times New Roman" w:eastAsia="Times New Roman" w:hAnsi="Times New Roman"/>
          <w:sz w:val="12"/>
          <w:szCs w:val="12"/>
          <w:color w:val="auto"/>
        </w:rPr>
        <w:t>Jocelyn Arel; Jeffrey A. Letalien</w:t>
      </w:r>
    </w:p>
    <w:p>
      <w:pPr>
        <w:spacing w:after="0" w:line="6" w:lineRule="exact"/>
        <w:rPr>
          <w:sz w:val="20"/>
          <w:szCs w:val="20"/>
          <w:color w:val="auto"/>
        </w:rPr>
      </w:pPr>
    </w:p>
    <w:p>
      <w:pPr>
        <w:ind w:left="1288"/>
        <w:spacing w:after="0"/>
        <w:tabs>
          <w:tab w:leader="none" w:pos="2148" w:val="left"/>
        </w:tabs>
        <w:rPr>
          <w:sz w:val="20"/>
          <w:szCs w:val="20"/>
          <w:color w:val="auto"/>
        </w:rPr>
      </w:pPr>
      <w:r>
        <w:rPr>
          <w:rFonts w:ascii="Times New Roman" w:cs="Times New Roman" w:eastAsia="Times New Roman" w:hAnsi="Times New Roman"/>
          <w:sz w:val="12"/>
          <w:szCs w:val="12"/>
          <w:color w:val="auto"/>
        </w:rPr>
        <w:t>E-mail:</w:t>
      </w:r>
      <w:r>
        <w:rPr>
          <w:sz w:val="20"/>
          <w:szCs w:val="20"/>
          <w:color w:val="auto"/>
        </w:rPr>
        <w:tab/>
      </w:r>
      <w:r>
        <w:rPr>
          <w:rFonts w:ascii="Times New Roman" w:cs="Times New Roman" w:eastAsia="Times New Roman" w:hAnsi="Times New Roman"/>
          <w:sz w:val="11"/>
          <w:szCs w:val="11"/>
          <w:color w:val="auto"/>
        </w:rPr>
        <w:t>JArel@goodwinlaw.com; JLetalien@goodwinlaw.com</w:t>
      </w:r>
    </w:p>
    <w:p>
      <w:pPr>
        <w:spacing w:after="0" w:line="139"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(b)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hereto.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22"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(c)            (i) The words “hereof”, “herein”, and “hereunder” and words of similar import, when used in this Agreement, shall refer to this Agreement as a whole and not to any particular provision of this Agreement;</w:t>
      </w:r>
    </w:p>
    <w:p>
      <w:pPr>
        <w:spacing w:after="0" w:line="17" w:lineRule="exact"/>
        <w:rPr>
          <w:sz w:val="20"/>
          <w:szCs w:val="20"/>
          <w:color w:val="auto"/>
        </w:rPr>
      </w:pPr>
    </w:p>
    <w:p>
      <w:pPr>
        <w:jc w:val="both"/>
        <w:ind w:left="8" w:hanging="8"/>
        <w:spacing w:after="0" w:line="252" w:lineRule="auto"/>
        <w:tabs>
          <w:tab w:leader="none" w:pos="186"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words “date hereof,” when used in this Agreement, shall refer to the date set forth in the Preamble; (iii) the terms defined in the singular have a comparable meaning when used in the plural, and vice versa; (iv) the terms defined in the present tense have a comparable meaning when used in the past tense, and vice versa; (v) any references herein to a specific Section or Article shall refer, respectively, to Sections or Articles of this Agreement; (vi) references herein to any gender (including the neuter gender) includes each other gender; (vii) the word “or” shall not be exclusive; (viii) the headings herein are for convenience of reference only, do not constitute part of this Agreement and shall not be deemed to limit or otherwise affect any of the provisions hereof, and (ix) the parties hereto have participated jointly in the negotiation and drafting of this Agreement and, in the event that an ambiguity or question of intent or interpretation arises, this Agreement shall be construed as jointly drafted by the parties hereto and no presumption or burden of proof shall arise favoring or disfavoring any party by virtue of the authorship of any provision of this Agreement.</w:t>
      </w:r>
    </w:p>
    <w:p>
      <w:pPr>
        <w:spacing w:after="0" w:line="128" w:lineRule="exact"/>
        <w:rPr>
          <w:sz w:val="20"/>
          <w:szCs w:val="20"/>
          <w:color w:val="auto"/>
        </w:rPr>
      </w:pPr>
    </w:p>
    <w:p>
      <w:pPr>
        <w:jc w:val="both"/>
        <w:ind w:left="8" w:right="20" w:firstLine="864"/>
        <w:spacing w:after="0" w:line="279" w:lineRule="auto"/>
        <w:rPr>
          <w:sz w:val="20"/>
          <w:szCs w:val="20"/>
          <w:color w:val="auto"/>
        </w:rPr>
      </w:pPr>
      <w:r>
        <w:rPr>
          <w:rFonts w:ascii="Times New Roman" w:cs="Times New Roman" w:eastAsia="Times New Roman" w:hAnsi="Times New Roman"/>
          <w:sz w:val="12"/>
          <w:szCs w:val="12"/>
          <w:color w:val="auto"/>
        </w:rPr>
        <w:t>(d)            Sponsor agrees while this Agreement is in effect, not to take or agree or commit to take any action that would make any representation and warranty of Sponsor contained in this Agreement inaccurate or has the effect of preventing or disabling Sponsor from performing its obligations under this Agreement.</w:t>
      </w:r>
    </w:p>
    <w:p>
      <w:pPr>
        <w:spacing w:after="0" w:line="111"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(e)            This Agreement is intended to create, and creates, a contractual relationship and is not intended to create, and does not create, any agency, partnership, joint venture or any like relationship between the parties</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hereto.</w:t>
      </w:r>
    </w:p>
    <w:p>
      <w:pPr>
        <w:spacing w:after="0" w:line="139"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(f)            This Agreement, the BCA and Ancillary Documents constitute the entire agreement among the parties hereto with respect to the subject matter hereof and supersedes all prior agreements and undertakings, both written and oral, among the parties hereto, or any of them, with respect to the subject matter hereof. This Agreement shall not be assigned (whether pursuant to a merger, by operation of law or otherwise) by any party hereto without the prior express written consent of the other parties hereto.</w:t>
      </w:r>
    </w:p>
    <w:p>
      <w:pPr>
        <w:spacing w:after="0" w:line="2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30" w:name="page131"/>
    <w:bookmarkEnd w:id="130"/>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(g)            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w:t>
      </w:r>
    </w:p>
    <w:p>
      <w:pPr>
        <w:spacing w:after="0" w:line="111"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(h)            The parties hereto agree that irreparable damage would occur if any provision of this Agreement were not performed in accordance with the terms hereof, and, accordingly, that the parties hereto shall, to the fullest extent permitted by Law, be entitled to an injunction or injunctions to prevent breaches of this Agreement or to enforce specifically the performance of the terms and provisions hereof in any New York State court or Federal court of the United States of America sitting in New York City in the Borough of Manhattan without proof of actual damages or otherwise, in addition to any other remedy to which they are entitled at law or in equity. To the fullest extent permitted by applicable Law, each of the parties hereto hereby further waives (i) any defense in any Proceeding for specific performance that a remedy at law would be adequate and (ii) any requirement under any Law to post security or a bond as a prerequisite to obtaining equitable relief.</w:t>
      </w:r>
    </w:p>
    <w:p>
      <w:pPr>
        <w:spacing w:after="0" w:line="125"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(i)            This Agreement shall be governed by, and construed in accordance with, the Laws of the State of New York applicable to contracts executed in and to be performed in that State. Any Proceeding arising out of or relating to this Agreement or the transactions contemplated hereby shall, to the fullest extent permitted by applicable Law, be heard and determined exclusively in any New York State court or Federal court of the United States of America sitting in New York City in the Borough of Manhattan. To the fullest extent permitted by applicable Law, the parties hereto hereby (i) irrevocably submit to the exclusive jurisdiction of the aforesaid courts for themselves and with respect to their respective properties for the purpose of any Proceeding arising out of or relating to this Agreement or the transactions contemplated hereby brought by any party, and (ii) agree not to commence any such Proceeding except in the courts described above in New York, other than any Proceeding in any court of competent jurisdiction to enforce any judgment, decree or award rendered by any such court in New York as described herein. To the fullest extent permitted by applicable Law, each of the parties hereto further agrees that notice as provided herein shall constitute sufficient service of process and the parties hereto further waive any argument that such service is insufficient. To the fullest extent permitted by applicable Law, each of the parties hereto hereby irrevocably and unconditionally waives, and agrees not to assert, by way of motion or as a defense, counterclaim or otherwise, in any Proceeding arising out of or relating to this Agreement or the transactions contemplated hereby, (A) any claim that it is not personally subject to the jurisdiction of the courts in New York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(x) the Proceeding in any such court is brought in an inconvenient forum, (y) the venue of such Proceeding is improper, or (z) this Agreement or the transactions contemplated hereby, or the subject matter hereof, may not be enforced in or by such courts.</w:t>
      </w:r>
    </w:p>
    <w:p>
      <w:pPr>
        <w:spacing w:after="0" w:line="128"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(j)            This Agreement may be executed and delivered (including by facsimile or portable document format (PDF) transmission) in one or more counterparts, and by the different parties hereto in separate counterparts, each of which when executed shall be deemed to be an original but all of which taken together shall constitute one and the same agreement.</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31" w:name="page132"/>
    <w:bookmarkEnd w:id="131"/>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(k)            Without further consideration, each party hereto shall execute and deliver or cause to be executed and delivered such additional documents and instruments and take all such further action as may be reasonably necessary or desirable to consummate the transactions contemplated by this Agreement.</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(l)            This Agreement shall not be effective or binding upon any party hereto until after such time as the BCA is executed and delivered by CGC, the Company, and Merger Sub.</w:t>
      </w:r>
    </w:p>
    <w:p>
      <w:pPr>
        <w:spacing w:after="0" w:line="15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(m)            Each of the parties hereto hereby waives to the fullest extent permitted by applicable Law any right it may have to a trial by jury with respect to any Proceeding directly or indirectly arising out of or relating to this Agreement or the transactions contemplated hereby. Each of the parties hereto (i) certifies that no representative, agent or attorney of any other party has represented, expressly or otherwise, that such other party would not, in the event of any Proceeding, seek to enforce that foregoing waiver and (ii) acknowledges that it and the other parties hereto have been induced to enter into this Agreement and the transactions contemplated hereby, as applicable, by, among other things, the mutual waivers and certifications in this </w:t>
      </w:r>
      <w:r>
        <w:rPr>
          <w:rFonts w:ascii="Times New Roman" w:cs="Times New Roman" w:eastAsia="Times New Roman" w:hAnsi="Times New Roman"/>
          <w:sz w:val="12"/>
          <w:szCs w:val="12"/>
          <w:u w:val="single" w:color="auto"/>
          <w:color w:val="auto"/>
        </w:rPr>
        <w:t>Section 8(m)</w:t>
      </w:r>
      <w:r>
        <w:rPr>
          <w:rFonts w:ascii="Times New Roman" w:cs="Times New Roman" w:eastAsia="Times New Roman" w:hAnsi="Times New Roman"/>
          <w:sz w:val="12"/>
          <w:szCs w:val="12"/>
          <w:color w:val="auto"/>
        </w:rPr>
        <w: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[Signature pages follow]</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32" w:name="page133"/>
    <w:bookmarkEnd w:id="132"/>
    <w:p>
      <w:pPr>
        <w:ind w:left="860"/>
        <w:spacing w:after="0"/>
        <w:rPr>
          <w:sz w:val="20"/>
          <w:szCs w:val="20"/>
          <w:color w:val="auto"/>
        </w:rPr>
      </w:pPr>
      <w:r>
        <w:rPr>
          <w:rFonts w:ascii="Times New Roman" w:cs="Times New Roman" w:eastAsia="Times New Roman" w:hAnsi="Times New Roman"/>
          <w:sz w:val="12"/>
          <w:szCs w:val="12"/>
          <w:color w:val="auto"/>
        </w:rPr>
        <w:t>IN WITNESS WHEREOF, the parties have executed this Agreement as of the date first written above.</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CGC III SPONSOR LLC</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Peter Yu</w:t>
            </w:r>
          </w:p>
        </w:tc>
      </w:tr>
      <w:tr>
        <w:trPr>
          <w:trHeight w:val="122"/>
        </w:trPr>
        <w:tc>
          <w:tcPr>
            <w:tcW w:w="6220" w:type="dxa"/>
            <w:vAlign w:val="bottom"/>
          </w:tcPr>
          <w:p>
            <w:pPr>
              <w:ind w:left="566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Peter Yu</w:t>
            </w:r>
          </w:p>
        </w:tc>
      </w:tr>
      <w:tr>
        <w:trPr>
          <w:trHeight w:val="155"/>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President</w:t>
            </w:r>
          </w:p>
        </w:tc>
      </w:tr>
      <w:tr>
        <w:trPr>
          <w:trHeight w:val="288"/>
        </w:trPr>
        <w:tc>
          <w:tcPr>
            <w:tcW w:w="11300" w:type="dxa"/>
            <w:vAlign w:val="bottom"/>
            <w:gridSpan w:val="2"/>
          </w:tcPr>
          <w:p>
            <w:pPr>
              <w:ind w:left="5660"/>
              <w:spacing w:after="0"/>
              <w:rPr>
                <w:sz w:val="20"/>
                <w:szCs w:val="20"/>
                <w:color w:val="auto"/>
              </w:rPr>
            </w:pPr>
            <w:r>
              <w:rPr>
                <w:rFonts w:ascii="Times New Roman" w:cs="Times New Roman" w:eastAsia="Times New Roman" w:hAnsi="Times New Roman"/>
                <w:sz w:val="12"/>
                <w:szCs w:val="12"/>
                <w:b w:val="1"/>
                <w:bCs w:val="1"/>
                <w:color w:val="auto"/>
              </w:rPr>
              <w:t>FACTORIAL INC.</w:t>
            </w:r>
          </w:p>
        </w:tc>
      </w:tr>
      <w:tr>
        <w:trPr>
          <w:trHeight w:val="288"/>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Siyu Huang</w:t>
            </w:r>
          </w:p>
        </w:tc>
      </w:tr>
      <w:tr>
        <w:trPr>
          <w:trHeight w:val="122"/>
        </w:trPr>
        <w:tc>
          <w:tcPr>
            <w:tcW w:w="6220" w:type="dxa"/>
            <w:vAlign w:val="bottom"/>
          </w:tcPr>
          <w:p>
            <w:pPr>
              <w:ind w:left="566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Siyu Huang</w:t>
            </w:r>
          </w:p>
        </w:tc>
      </w:tr>
      <w:tr>
        <w:trPr>
          <w:trHeight w:val="155"/>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450"/>
        </w:trPr>
        <w:tc>
          <w:tcPr>
            <w:tcW w:w="62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1" w:right="29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2"/>
          <w:szCs w:val="12"/>
          <w:b w:val="1"/>
          <w:bCs w:val="1"/>
          <w:color w:val="auto"/>
        </w:rPr>
        <w:t>Exhibit 10.2</w:t>
      </w:r>
    </w:p>
    <w:p>
      <w:pPr>
        <w:spacing w:after="0" w:line="1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i w:val="1"/>
          <w:iCs w:val="1"/>
          <w:color w:val="auto"/>
        </w:rPr>
        <w:t>Final Form</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STOCK PURCHASE AGREEMENT</w:t>
      </w:r>
    </w:p>
    <w:p>
      <w:pPr>
        <w:spacing w:after="0" w:line="1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color w:val="auto"/>
        </w:rPr>
        <w:t>This Stock Purchase Agreement (this “</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 is dated as of December 17, 2025, by and among Cartesian Growth Corporation III, a Cayman Islands exempted company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and the purchaser identified on the signature pages hereto (including its successors and assigns, the “</w:t>
      </w:r>
      <w:r>
        <w:rPr>
          <w:rFonts w:ascii="Times New Roman" w:cs="Times New Roman" w:eastAsia="Times New Roman" w:hAnsi="Times New Roman"/>
          <w:sz w:val="12"/>
          <w:szCs w:val="12"/>
          <w:b w:val="1"/>
          <w:bCs w:val="1"/>
          <w:color w:val="auto"/>
        </w:rPr>
        <w:t>Purchaser</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substantially concurrently with the execution of this Agreement, the Company, Factorial, Inc., a Delaware corporation (the “</w:t>
      </w:r>
      <w:r>
        <w:rPr>
          <w:rFonts w:ascii="Times New Roman" w:cs="Times New Roman" w:eastAsia="Times New Roman" w:hAnsi="Times New Roman"/>
          <w:sz w:val="12"/>
          <w:szCs w:val="12"/>
          <w:b w:val="1"/>
          <w:bCs w:val="1"/>
          <w:color w:val="auto"/>
        </w:rPr>
        <w:t>Target</w:t>
      </w:r>
      <w:r>
        <w:rPr>
          <w:rFonts w:ascii="Times New Roman" w:cs="Times New Roman" w:eastAsia="Times New Roman" w:hAnsi="Times New Roman"/>
          <w:sz w:val="12"/>
          <w:szCs w:val="12"/>
          <w:color w:val="auto"/>
        </w:rPr>
        <w:t>”) and Fenway MS, Inc., a Delaware corporation and a direct wholly owned subsidiary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Company (“</w:t>
      </w:r>
      <w:r>
        <w:rPr>
          <w:rFonts w:ascii="Times New Roman" w:cs="Times New Roman" w:eastAsia="Times New Roman" w:hAnsi="Times New Roman"/>
          <w:sz w:val="12"/>
          <w:szCs w:val="12"/>
          <w:b w:val="1"/>
          <w:bCs w:val="1"/>
          <w:color w:val="auto"/>
        </w:rPr>
        <w:t>Merger Sub</w:t>
      </w:r>
      <w:r>
        <w:rPr>
          <w:rFonts w:ascii="Times New Roman" w:cs="Times New Roman" w:eastAsia="Times New Roman" w:hAnsi="Times New Roman"/>
          <w:sz w:val="12"/>
          <w:szCs w:val="12"/>
          <w:color w:val="auto"/>
        </w:rPr>
        <w:t>”), entered into an Business Combination Agreement, dated as of even date herewith (the “</w:t>
      </w:r>
      <w:r>
        <w:rPr>
          <w:rFonts w:ascii="Times New Roman" w:cs="Times New Roman" w:eastAsia="Times New Roman" w:hAnsi="Times New Roman"/>
          <w:sz w:val="12"/>
          <w:szCs w:val="12"/>
          <w:b w:val="1"/>
          <w:bCs w:val="1"/>
          <w:color w:val="auto"/>
        </w:rPr>
        <w:t>Business Combination Agreement</w:t>
      </w:r>
      <w:r>
        <w:rPr>
          <w:rFonts w:ascii="Times New Roman" w:cs="Times New Roman" w:eastAsia="Times New Roman" w:hAnsi="Times New Roman"/>
          <w:sz w:val="12"/>
          <w:szCs w:val="12"/>
          <w:color w:val="auto"/>
        </w:rPr>
        <w:t>”), pursuant to which, among other things, Merger Sub shall merge with and into the Target (the “</w:t>
      </w:r>
      <w:r>
        <w:rPr>
          <w:rFonts w:ascii="Times New Roman" w:cs="Times New Roman" w:eastAsia="Times New Roman" w:hAnsi="Times New Roman"/>
          <w:sz w:val="12"/>
          <w:szCs w:val="12"/>
          <w:b w:val="1"/>
          <w:bCs w:val="1"/>
          <w:color w:val="auto"/>
        </w:rPr>
        <w:t>Business Combination</w:t>
      </w:r>
      <w:r>
        <w:rPr>
          <w:rFonts w:ascii="Times New Roman" w:cs="Times New Roman" w:eastAsia="Times New Roman" w:hAnsi="Times New Roman"/>
          <w:sz w:val="12"/>
          <w:szCs w:val="12"/>
          <w:color w:val="auto"/>
        </w:rPr>
        <w:t>”), with the Target surviving the Business Combination as a direct wholly-owned subsidiary of the Company, as a result of which, the Target will become a direct, wholly owned subsidiary of the Company;</w:t>
      </w:r>
    </w:p>
    <w:p>
      <w:pPr>
        <w:spacing w:after="0" w:line="11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prior to the closing of the Business Combination (and as more fully described in the Business Combination Agreement), the Company will domesticate as a Delaware corporation in accordance with Section 388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General Corporation Law of the State of Delaware and Part XII of the Cayman Islands Companies Law (2020 Revision) (the “</w:t>
      </w:r>
      <w:r>
        <w:rPr>
          <w:rFonts w:ascii="Times New Roman" w:cs="Times New Roman" w:eastAsia="Times New Roman" w:hAnsi="Times New Roman"/>
          <w:sz w:val="12"/>
          <w:szCs w:val="12"/>
          <w:b w:val="1"/>
          <w:bCs w:val="1"/>
          <w:color w:val="auto"/>
        </w:rPr>
        <w:t>Domestication</w:t>
      </w:r>
      <w:r>
        <w:rPr>
          <w:rFonts w:ascii="Times New Roman" w:cs="Times New Roman" w:eastAsia="Times New Roman" w:hAnsi="Times New Roman"/>
          <w:sz w:val="12"/>
          <w:szCs w:val="12"/>
          <w:color w:val="auto"/>
        </w:rPr>
        <w:t>”, and together with the Business Combination and the other transactions contemplated by the Business Combination Agreement, the “</w:t>
      </w:r>
      <w:r>
        <w:rPr>
          <w:rFonts w:ascii="Times New Roman" w:cs="Times New Roman" w:eastAsia="Times New Roman" w:hAnsi="Times New Roman"/>
          <w:sz w:val="12"/>
          <w:szCs w:val="12"/>
          <w:b w:val="1"/>
          <w:bCs w:val="1"/>
          <w:color w:val="auto"/>
        </w:rPr>
        <w:t>Transactions</w:t>
      </w:r>
      <w:r>
        <w:rPr>
          <w:rFonts w:ascii="Times New Roman" w:cs="Times New Roman" w:eastAsia="Times New Roman" w:hAnsi="Times New Roman"/>
          <w:sz w:val="12"/>
          <w:szCs w:val="12"/>
          <w:color w:val="auto"/>
        </w:rPr>
        <w:t>”), and in connection therewith the Company shall change its name to a name reasonably determined by the Target;</w:t>
      </w:r>
    </w:p>
    <w:p>
      <w:pPr>
        <w:spacing w:after="0" w:line="1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in connection with the Business Combination, subject to the terms and conditions set forth in this Agreement and pursuant to Section 4(a)(2) of the Securities Act (as defined below), the Company desires to issue and sell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to the Purchaser, and the Purchaser desires to purchase from the Company, securities of the Company as more fully described in this Agreement.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NOW, THEREFORE, IN CONSIDERATION </w:t>
      </w:r>
      <w:r>
        <w:rPr>
          <w:rFonts w:ascii="Times New Roman" w:cs="Times New Roman" w:eastAsia="Times New Roman" w:hAnsi="Times New Roman"/>
          <w:sz w:val="12"/>
          <w:szCs w:val="12"/>
          <w:color w:val="auto"/>
        </w:rPr>
        <w:t>of the mutual covenants contained in this Agreement, and for other good and valuable consideration the receipt and adequacy of which are hereby acknowledged, the Company,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Target and the Purchaser agree as follows: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DEFINITIONS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1.1 </w:t>
      </w:r>
      <w:r>
        <w:rPr>
          <w:rFonts w:ascii="Times New Roman" w:cs="Times New Roman" w:eastAsia="Times New Roman" w:hAnsi="Times New Roman"/>
          <w:sz w:val="12"/>
          <w:szCs w:val="12"/>
          <w:b w:val="1"/>
          <w:bCs w:val="1"/>
          <w:u w:val="single" w:color="auto"/>
          <w:color w:val="auto"/>
        </w:rPr>
        <w:t>Definitions</w:t>
      </w:r>
      <w:r>
        <w:rPr>
          <w:rFonts w:ascii="Times New Roman" w:cs="Times New Roman" w:eastAsia="Times New Roman" w:hAnsi="Times New Roman"/>
          <w:sz w:val="12"/>
          <w:szCs w:val="12"/>
          <w:color w:val="auto"/>
        </w:rPr>
        <w:t xml:space="preserve">. In addition to the terms defined elsewhere in this Agreement the following terms have the meanings set forth in this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200"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Action</w:t>
      </w:r>
      <w:r>
        <w:rPr>
          <w:rFonts w:ascii="Times New Roman" w:cs="Times New Roman" w:eastAsia="Times New Roman" w:hAnsi="Times New Roman"/>
          <w:sz w:val="12"/>
          <w:szCs w:val="12"/>
          <w:color w:val="auto"/>
        </w:rPr>
        <w:t>” means any action, suit, inquiry, notice of violation, proceeding or investigation pending or, to the knowledge of the applicable party, threatened against or affecting the applicable party or any of its properties before or by any court, arbitrator, governmental or administrative agency or regulatory authority (federal, state, county, local or foreign).</w:t>
      </w:r>
    </w:p>
    <w:p>
      <w:pPr>
        <w:spacing w:after="0" w:line="103" w:lineRule="exact"/>
        <w:rPr>
          <w:sz w:val="20"/>
          <w:szCs w:val="20"/>
          <w:color w:val="auto"/>
        </w:rPr>
      </w:pPr>
    </w:p>
    <w:p>
      <w:pPr>
        <w:ind w:left="200"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Affiliate</w:t>
      </w:r>
      <w:r>
        <w:rPr>
          <w:rFonts w:ascii="Times New Roman" w:cs="Times New Roman" w:eastAsia="Times New Roman" w:hAnsi="Times New Roman"/>
          <w:sz w:val="12"/>
          <w:szCs w:val="12"/>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Ancillary Document”</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b w:val="1"/>
          <w:bCs w:val="1"/>
          <w:color w:val="auto"/>
        </w:rPr>
        <w:t>“Ancillary Documents</w:t>
      </w:r>
      <w:r>
        <w:rPr>
          <w:rFonts w:ascii="Times New Roman" w:cs="Times New Roman" w:eastAsia="Times New Roman" w:hAnsi="Times New Roman"/>
          <w:sz w:val="12"/>
          <w:szCs w:val="12"/>
          <w:color w:val="auto"/>
        </w:rPr>
        <w:t>” shall have the meaning ascribed to such term in the Business Combination Agreement.</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Board of Directors</w:t>
      </w:r>
      <w:r>
        <w:rPr>
          <w:rFonts w:ascii="Times New Roman" w:cs="Times New Roman" w:eastAsia="Times New Roman" w:hAnsi="Times New Roman"/>
          <w:sz w:val="12"/>
          <w:szCs w:val="12"/>
          <w:color w:val="auto"/>
        </w:rPr>
        <w:t>” means the board of directors of the Company.</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Business Combination</w:t>
      </w:r>
      <w:r>
        <w:rPr>
          <w:rFonts w:ascii="Times New Roman" w:cs="Times New Roman" w:eastAsia="Times New Roman" w:hAnsi="Times New Roman"/>
          <w:sz w:val="12"/>
          <w:szCs w:val="12"/>
          <w:color w:val="auto"/>
        </w:rPr>
        <w:t>” shall have the meaning ascribed to such term in the recitals.</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Business Combination Agreement</w:t>
      </w:r>
      <w:r>
        <w:rPr>
          <w:rFonts w:ascii="Times New Roman" w:cs="Times New Roman" w:eastAsia="Times New Roman" w:hAnsi="Times New Roman"/>
          <w:sz w:val="12"/>
          <w:szCs w:val="12"/>
          <w:color w:val="auto"/>
        </w:rPr>
        <w:t>” shall have the meaning ascribed to such term in the recitals.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299085</wp:posOffset>
            </wp:positionV>
            <wp:extent cx="717804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34" w:name="page135"/>
    <w:bookmarkEnd w:id="134"/>
    <w:p>
      <w:pPr>
        <w:jc w:val="both"/>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Business Day</w:t>
      </w:r>
      <w:r>
        <w:rPr>
          <w:rFonts w:ascii="Times New Roman" w:cs="Times New Roman" w:eastAsia="Times New Roman" w:hAnsi="Times New Roman"/>
          <w:sz w:val="12"/>
          <w:szCs w:val="12"/>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2"/>
          <w:szCs w:val="12"/>
          <w:i w:val="1"/>
          <w:iCs w:val="1"/>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u w:val="single" w:color="auto"/>
          <w:color w:val="auto"/>
        </w:rPr>
        <w:t>however</w:t>
      </w:r>
      <w:r>
        <w:rPr>
          <w:rFonts w:ascii="Times New Roman" w:cs="Times New Roman" w:eastAsia="Times New Roman" w:hAnsi="Times New Roman"/>
          <w:sz w:val="12"/>
          <w:szCs w:val="12"/>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are open for use by customers on such day.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CGC Shareholder Redemption</w:t>
      </w:r>
      <w:r>
        <w:rPr>
          <w:rFonts w:ascii="Times New Roman" w:cs="Times New Roman" w:eastAsia="Times New Roman" w:hAnsi="Times New Roman"/>
          <w:sz w:val="12"/>
          <w:szCs w:val="12"/>
          <w:color w:val="auto"/>
        </w:rPr>
        <w:t>” shall have the meaning ascribed to such term in the Business Combination Agreement.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Class A Ordinary Shares</w:t>
      </w:r>
      <w:r>
        <w:rPr>
          <w:rFonts w:ascii="Times New Roman" w:cs="Times New Roman" w:eastAsia="Times New Roman" w:hAnsi="Times New Roman"/>
          <w:sz w:val="12"/>
          <w:szCs w:val="12"/>
          <w:color w:val="auto"/>
        </w:rPr>
        <w:t>” means the Class A ordinary shares of the Company, par value $0.0001 per share.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Closing</w:t>
      </w:r>
      <w:r>
        <w:rPr>
          <w:rFonts w:ascii="Times New Roman" w:cs="Times New Roman" w:eastAsia="Times New Roman" w:hAnsi="Times New Roman"/>
          <w:sz w:val="12"/>
          <w:szCs w:val="12"/>
          <w:color w:val="auto"/>
        </w:rPr>
        <w:t xml:space="preserve">” means the closing of the purchase and sale of the Purchased Shares pursuant to </w:t>
      </w:r>
      <w:r>
        <w:rPr>
          <w:rFonts w:ascii="Times New Roman" w:cs="Times New Roman" w:eastAsia="Times New Roman" w:hAnsi="Times New Roman"/>
          <w:sz w:val="12"/>
          <w:szCs w:val="12"/>
          <w:u w:val="single" w:color="auto"/>
          <w:color w:val="auto"/>
        </w:rPr>
        <w:t>Section 2.1</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Closing Date</w:t>
      </w:r>
      <w:r>
        <w:rPr>
          <w:rFonts w:ascii="Times New Roman" w:cs="Times New Roman" w:eastAsia="Times New Roman" w:hAnsi="Times New Roman"/>
          <w:sz w:val="12"/>
          <w:szCs w:val="12"/>
          <w:color w:val="auto"/>
        </w:rPr>
        <w:t>” means the Transactions are consummated, and all conditions precedent to (i) the Purchaser’s obligations to pay the Purchase Price and (ii) the Company’s obligations to deliver the Purchased Shares, in each case, have been satisfied or waived.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Commission</w:t>
      </w:r>
      <w:r>
        <w:rPr>
          <w:rFonts w:ascii="Times New Roman" w:cs="Times New Roman" w:eastAsia="Times New Roman" w:hAnsi="Times New Roman"/>
          <w:sz w:val="12"/>
          <w:szCs w:val="12"/>
          <w:color w:val="auto"/>
        </w:rPr>
        <w:t>” means the United States Securities and Exchange Commission.</w:t>
      </w:r>
    </w:p>
    <w:p>
      <w:pPr>
        <w:spacing w:after="0" w:line="1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Material Adverse Effect</w:t>
      </w:r>
      <w:r>
        <w:rPr>
          <w:rFonts w:ascii="Times New Roman" w:cs="Times New Roman" w:eastAsia="Times New Roman" w:hAnsi="Times New Roman"/>
          <w:sz w:val="12"/>
          <w:szCs w:val="12"/>
          <w:color w:val="auto"/>
        </w:rPr>
        <w:t>” means any change, event, or occurrence, that, individually or when aggregated with other changes, events, or occurrences has had a materially adverse effect on the legal authority and ability of the Company to comply with the terms of this Agreement, including the issuance and sale of the Purchased Shares; provided, however, that no change or effect related to any of the following, alone or in combination, shall be taken into account in determining whether a Company Material Adverse Effect has occurred: (i) the announcement of the Business Combination Agreement, this Agreement or any other Ancillary Document and consummation of the transactions contemplated hereby and thereby, including any termination of, reduction in or similar adverse impact (but in each case only to the extent attributable to such announcement or consummation) on relationships, contractual or otherwise, with any landlords, customers, suppliers, distributors, partners or employees of the Company, Merger Sub or the Target; (ii) the taking of any action required by the Business Combination Agreement, this Agreement or any other Ancillary Document; (iii) any natural disaster (including hurricanes, storms, tornados, flooding, earthquakes, volcanic eruptions or similar occurrences), pandemic or change in climate, (iv) any acts of terrorism or war, the outbreak or escalation of hostilities, geopolitical conditions, local, national or international political conditions; (v) the percentage of CGC Shareholder Redemptions; (vi) any breach of any covenants, agreements or obligations of the Purchaser or any other investor in the PIPE Financing, under this Agreement or other similar agreement related to financing the Company or the Target (including any breach of such Person’s obligations to fund any amounts thereunder when required); (vii) any change in applicable Laws or GAAP or any interpretation thereof following the date of this Agreement; or (viii) any change in interest rates or economic, political, business or financial market conditions generally.</w:t>
      </w:r>
    </w:p>
    <w:p>
      <w:pPr>
        <w:spacing w:after="0" w:line="1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Contingent Obligation</w:t>
      </w:r>
      <w:r>
        <w:rPr>
          <w:rFonts w:ascii="Times New Roman" w:cs="Times New Roman" w:eastAsia="Times New Roman" w:hAnsi="Times New Roman"/>
          <w:sz w:val="12"/>
          <w:szCs w:val="12"/>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spacing w:after="0" w:line="1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Effectiveness Date</w:t>
      </w:r>
      <w:r>
        <w:rPr>
          <w:rFonts w:ascii="Times New Roman" w:cs="Times New Roman" w:eastAsia="Times New Roman" w:hAnsi="Times New Roman"/>
          <w:sz w:val="12"/>
          <w:szCs w:val="12"/>
          <w:color w:val="auto"/>
        </w:rPr>
        <w:t>” means the first date on which (a) the initial Registration Statement has been declared effective by the Commission registering the resale of all of the Purchased Shares or (b) all of the Purchased Shares have been sold pursuant to Rule 144 or may be sold pursuant to Rule 144 (but with no volume or other restrictions or limitations including as to manner or timing of sale or current public information requirements).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Escrow Account</w:t>
      </w:r>
      <w:r>
        <w:rPr>
          <w:rFonts w:ascii="Times New Roman" w:cs="Times New Roman" w:eastAsia="Times New Roman" w:hAnsi="Times New Roman"/>
          <w:sz w:val="12"/>
          <w:szCs w:val="12"/>
          <w:color w:val="auto"/>
        </w:rPr>
        <w:t>” means the escrow account to be established by the Escrow Agent into which the Purchaser shall deposit Purchase Price.</w:t>
      </w:r>
    </w:p>
    <w:p>
      <w:pPr>
        <w:spacing w:after="0" w:line="29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10795</wp:posOffset>
            </wp:positionV>
            <wp:extent cx="717804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00"/>
          </w:cols>
          <w:pgMar w:left="500" w:top="647" w:right="2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Escrow Agent</w:t>
      </w:r>
      <w:r>
        <w:rPr>
          <w:rFonts w:ascii="Times New Roman" w:cs="Times New Roman" w:eastAsia="Times New Roman" w:hAnsi="Times New Roman"/>
          <w:sz w:val="12"/>
          <w:szCs w:val="12"/>
          <w:color w:val="auto"/>
        </w:rPr>
        <w:t>” means Continental Stock Transfer &amp; Trust Company.</w:t>
      </w:r>
    </w:p>
    <w:p>
      <w:pPr>
        <w:spacing w:after="0" w:line="1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Escrow Agreement</w:t>
      </w:r>
      <w:r>
        <w:rPr>
          <w:rFonts w:ascii="Times New Roman" w:cs="Times New Roman" w:eastAsia="Times New Roman" w:hAnsi="Times New Roman"/>
          <w:sz w:val="12"/>
          <w:szCs w:val="12"/>
          <w:color w:val="auto"/>
        </w:rPr>
        <w:t>” means the escrow agreement to be entered into by and among the Company, Target, Purchaser and Escrow Agent pursuant to which the Purchaser shall deposit Purchase Price with the Escrow Agent to be applied to the transactions contemplated hereunder, in such form as the Company, Target and the Escrow Agent may agree prior to Closing.</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Exchange Act</w:t>
      </w:r>
      <w:r>
        <w:rPr>
          <w:rFonts w:ascii="Times New Roman" w:cs="Times New Roman" w:eastAsia="Times New Roman" w:hAnsi="Times New Roman"/>
          <w:sz w:val="12"/>
          <w:szCs w:val="12"/>
          <w:color w:val="auto"/>
        </w:rPr>
        <w:t>” means the Securities Exchange Act of 1934, as amended, and the rules and regulations promulgated thereunder.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GAAP</w:t>
      </w:r>
      <w:r>
        <w:rPr>
          <w:rFonts w:ascii="Times New Roman" w:cs="Times New Roman" w:eastAsia="Times New Roman" w:hAnsi="Times New Roman"/>
          <w:sz w:val="12"/>
          <w:szCs w:val="12"/>
          <w:color w:val="auto"/>
        </w:rPr>
        <w:t>” shall mean generally accepted accounting principles in the United States of America.</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Governmental Authority</w:t>
      </w:r>
      <w:r>
        <w:rPr>
          <w:rFonts w:ascii="Times New Roman" w:cs="Times New Roman" w:eastAsia="Times New Roman" w:hAnsi="Times New Roman"/>
          <w:sz w:val="12"/>
          <w:szCs w:val="12"/>
          <w:color w:val="auto"/>
        </w:rPr>
        <w:t>” means any nation, state, county, city, town, village, district, or other political jurisdiction of any nature, federal, state, local, municipal, foreign, or other government, governmental or quasi-governmental authority of any nature (including any governmental agency, branch, department, official, or entity and any court or other tribunal), multi-national organization or body; or body exercising, or entitled to exercise, any administrative, executive, judicial, legislative, police, regulatory, or taxing authority or power of any nature or instrumentality of any of the foregoing, including any entity or enterprise owned or controlled by a government or a public international organization or any of the foregoing.</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Indebtedness</w:t>
      </w:r>
      <w:r>
        <w:rPr>
          <w:rFonts w:ascii="Times New Roman" w:cs="Times New Roman" w:eastAsia="Times New Roman" w:hAnsi="Times New Roman"/>
          <w:sz w:val="12"/>
          <w:szCs w:val="12"/>
          <w:color w:val="auto"/>
        </w:rPr>
        <w:t>” of any Person means, without duplication (A) all indebtedness for borrowed money, (B) all obligations issued, undertaken or assumed as the deferred purchase price of property or services (including, without limitation, “capital leases” in accordance with GAAP) (other than trade payables entered into in the ordinary course of business consistent with past practice), (C) all reimbursement or payment obligations with respect to letters of credit, surety bonds and other similar instruments, (D)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(F) all monetary obligations under any leasing or similar arrangement which, in connection with GAAP, consistently applied for the periods covered thereby, is classified as a capital lease, (G) all indebtedness referred to in clauses (A) through (F) above secured by (or for which the holder of such Indebtedness has an existing right, contingent or otherwise, to be secured by) any Lien upon or in any property or assets (including accounts and contract rights) owned by any Person, even though the Person which owns such assets or property has not assumed or become liable for the payment of such indebtedness, and (H) all Contingent Obligations in respect of indebtedness or obligations of others of the kinds referred to in clauses (A) through (G) above.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Investor Presentation</w:t>
      </w:r>
      <w:r>
        <w:rPr>
          <w:rFonts w:ascii="Times New Roman" w:cs="Times New Roman" w:eastAsia="Times New Roman" w:hAnsi="Times New Roman"/>
          <w:sz w:val="12"/>
          <w:szCs w:val="12"/>
          <w:color w:val="auto"/>
        </w:rPr>
        <w:t>” means the PowerPoint presentation dated November 2025 detailing the transactions contemplated by the Business Combination Agreement.</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Law</w:t>
      </w:r>
      <w:r>
        <w:rPr>
          <w:rFonts w:ascii="Times New Roman" w:cs="Times New Roman" w:eastAsia="Times New Roman" w:hAnsi="Times New Roman"/>
          <w:sz w:val="12"/>
          <w:szCs w:val="12"/>
          <w:color w:val="auto"/>
        </w:rPr>
        <w:t>” means any federal, state, local, municipal, foreign or other law, statute, legislation, principle of common law, ordinance, code, edict, decree, proclamation, treaty, convention, rule, regulation, directive, requirement, writ, injunction, settlement, order or consent that is or has been issued, enacted, adopted, passed, approved, promulgated, made, implemented or otherwise put into effect by or under the authority of any Governmental Authority.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Liens</w:t>
      </w:r>
      <w:r>
        <w:rPr>
          <w:rFonts w:ascii="Times New Roman" w:cs="Times New Roman" w:eastAsia="Times New Roman" w:hAnsi="Times New Roman"/>
          <w:sz w:val="12"/>
          <w:szCs w:val="12"/>
          <w:color w:val="auto"/>
        </w:rPr>
        <w:t>” means a lien, charge, pledge, security interest, encumbrance, right of first refusal, preemptive right or other restriction.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Losses</w:t>
      </w:r>
      <w:r>
        <w:rPr>
          <w:rFonts w:ascii="Times New Roman" w:cs="Times New Roman" w:eastAsia="Times New Roman" w:hAnsi="Times New Roman"/>
          <w:sz w:val="12"/>
          <w:szCs w:val="12"/>
          <w:color w:val="auto"/>
        </w:rPr>
        <w:t>” means losses, liabilities, obligations, claims, damages, costs and expenses, including all judgments, amounts paid in settlements, court costs and reasonable attorneys’ fees and costs of investigation.</w:t>
      </w:r>
    </w:p>
    <w:p>
      <w:pPr>
        <w:spacing w:after="0" w:line="29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10795</wp:posOffset>
            </wp:positionV>
            <wp:extent cx="717804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00"/>
          </w:cols>
          <w:pgMar w:left="500" w:top="647" w:right="299" w:bottom="1440" w:gutter="0" w:footer="0" w:header="0"/>
        </w:sectPr>
      </w:pPr>
    </w:p>
    <w:bookmarkStart w:id="136" w:name="page137"/>
    <w:bookmarkEnd w:id="136"/>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Organizational Documents</w:t>
      </w:r>
      <w:r>
        <w:rPr>
          <w:rFonts w:ascii="Times New Roman" w:cs="Times New Roman" w:eastAsia="Times New Roman" w:hAnsi="Times New Roman"/>
          <w:sz w:val="12"/>
          <w:szCs w:val="12"/>
          <w:color w:val="auto"/>
        </w:rPr>
        <w:t>” means, with respect to any Person that is an entity, its certificate of incorporation or formation, bylaws, operating agreement, memorandum and articles of association or similar organizational documents, in each case, as amended.</w:t>
      </w:r>
    </w:p>
    <w:p>
      <w:pPr>
        <w:spacing w:after="0" w:line="1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Person</w:t>
      </w:r>
      <w:r>
        <w:rPr>
          <w:rFonts w:ascii="Times New Roman" w:cs="Times New Roman" w:eastAsia="Times New Roman" w:hAnsi="Times New Roman"/>
          <w:sz w:val="12"/>
          <w:szCs w:val="12"/>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PIPE Financing</w:t>
      </w:r>
      <w:r>
        <w:rPr>
          <w:rFonts w:ascii="Times New Roman" w:cs="Times New Roman" w:eastAsia="Times New Roman" w:hAnsi="Times New Roman"/>
          <w:sz w:val="12"/>
          <w:szCs w:val="12"/>
          <w:color w:val="auto"/>
        </w:rPr>
        <w:t>” shall have the meaning ascribed to such term in the Business Combination Agreement.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Placement Agent</w:t>
      </w:r>
      <w:r>
        <w:rPr>
          <w:rFonts w:ascii="Times New Roman" w:cs="Times New Roman" w:eastAsia="Times New Roman" w:hAnsi="Times New Roman"/>
          <w:sz w:val="12"/>
          <w:szCs w:val="12"/>
          <w:color w:val="auto"/>
        </w:rPr>
        <w:t>” means Cantor Fitzgerald &amp; Co.</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Proceeding</w:t>
      </w:r>
      <w:r>
        <w:rPr>
          <w:rFonts w:ascii="Times New Roman" w:cs="Times New Roman" w:eastAsia="Times New Roman" w:hAnsi="Times New Roman"/>
          <w:sz w:val="12"/>
          <w:szCs w:val="12"/>
          <w:color w:val="auto"/>
        </w:rPr>
        <w:t>” means an action, claim, suit, investigation or proceeding, whether commenced or threatened.</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Purchase Price</w:t>
      </w:r>
      <w:r>
        <w:rPr>
          <w:rFonts w:ascii="Times New Roman" w:cs="Times New Roman" w:eastAsia="Times New Roman" w:hAnsi="Times New Roman"/>
          <w:sz w:val="12"/>
          <w:szCs w:val="12"/>
          <w:color w:val="auto"/>
        </w:rPr>
        <w:t>” shall mean the aggregate amount to be paid for the Series A Common Stock purchased hereunder pursuant to the terms of this Agreement as set forth across from the Purchaser’s name on Schedule A hereto in U.S. dollars and in immediately available funds.</w:t>
      </w:r>
    </w:p>
    <w:p>
      <w:pPr>
        <w:spacing w:after="0" w:line="1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Registration Statement</w:t>
      </w:r>
      <w:r>
        <w:rPr>
          <w:rFonts w:ascii="Times New Roman" w:cs="Times New Roman" w:eastAsia="Times New Roman" w:hAnsi="Times New Roman"/>
          <w:sz w:val="12"/>
          <w:szCs w:val="12"/>
          <w:color w:val="auto"/>
        </w:rPr>
        <w:t xml:space="preserve">” means a registration statement meeting the requirements set forth in </w:t>
      </w:r>
      <w:r>
        <w:rPr>
          <w:rFonts w:ascii="Times New Roman" w:cs="Times New Roman" w:eastAsia="Times New Roman" w:hAnsi="Times New Roman"/>
          <w:sz w:val="12"/>
          <w:szCs w:val="12"/>
          <w:u w:val="single" w:color="auto"/>
          <w:color w:val="auto"/>
        </w:rPr>
        <w:t>Section 4.10</w:t>
      </w:r>
      <w:r>
        <w:rPr>
          <w:rFonts w:ascii="Times New Roman" w:cs="Times New Roman" w:eastAsia="Times New Roman" w:hAnsi="Times New Roman"/>
          <w:sz w:val="12"/>
          <w:szCs w:val="12"/>
          <w:color w:val="auto"/>
        </w:rPr>
        <w:t xml:space="preserve"> of this Agreement and covering the resale of the Purchased Shares by the Purchaser as provided for in </w:t>
      </w:r>
      <w:r>
        <w:rPr>
          <w:rFonts w:ascii="Times New Roman" w:cs="Times New Roman" w:eastAsia="Times New Roman" w:hAnsi="Times New Roman"/>
          <w:sz w:val="12"/>
          <w:szCs w:val="12"/>
          <w:u w:val="single" w:color="auto"/>
          <w:color w:val="auto"/>
        </w:rPr>
        <w:t>Section 4.10</w:t>
      </w:r>
      <w:r>
        <w:rPr>
          <w:rFonts w:ascii="Times New Roman" w:cs="Times New Roman" w:eastAsia="Times New Roman" w:hAnsi="Times New Roman"/>
          <w:sz w:val="12"/>
          <w:szCs w:val="12"/>
          <w:color w:val="auto"/>
        </w:rPr>
        <w:t xml:space="preserve"> of this Agreement.</w:t>
      </w:r>
    </w:p>
    <w:p>
      <w:pPr>
        <w:spacing w:after="0" w:line="1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Rule 144</w:t>
      </w:r>
      <w:r>
        <w:rPr>
          <w:rFonts w:ascii="Times New Roman" w:cs="Times New Roman" w:eastAsia="Times New Roman" w:hAnsi="Times New Roman"/>
          <w:sz w:val="12"/>
          <w:szCs w:val="12"/>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Rule 424</w:t>
      </w:r>
      <w:r>
        <w:rPr>
          <w:rFonts w:ascii="Times New Roman" w:cs="Times New Roman" w:eastAsia="Times New Roman" w:hAnsi="Times New Roman"/>
          <w:sz w:val="12"/>
          <w:szCs w:val="12"/>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 Guidance</w:t>
      </w:r>
      <w:r>
        <w:rPr>
          <w:rFonts w:ascii="Times New Roman" w:cs="Times New Roman" w:eastAsia="Times New Roman" w:hAnsi="Times New Roman"/>
          <w:sz w:val="12"/>
          <w:szCs w:val="12"/>
          <w:color w:val="auto"/>
        </w:rPr>
        <w:t xml:space="preserve">” shall have the meaning ascribed to such term in the introductory paragraph to </w:t>
      </w:r>
      <w:r>
        <w:rPr>
          <w:rFonts w:ascii="Times New Roman" w:cs="Times New Roman" w:eastAsia="Times New Roman" w:hAnsi="Times New Roman"/>
          <w:sz w:val="12"/>
          <w:szCs w:val="12"/>
          <w:u w:val="single" w:color="auto"/>
          <w:color w:val="auto"/>
        </w:rPr>
        <w:t>Section 3.1</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 Reports</w:t>
      </w:r>
      <w:r>
        <w:rPr>
          <w:rFonts w:ascii="Times New Roman" w:cs="Times New Roman" w:eastAsia="Times New Roman" w:hAnsi="Times New Roman"/>
          <w:sz w:val="12"/>
          <w:szCs w:val="12"/>
          <w:color w:val="auto"/>
        </w:rPr>
        <w:t xml:space="preserve">” shall have the meaning ascribed to such term in </w:t>
      </w:r>
      <w:r>
        <w:rPr>
          <w:rFonts w:ascii="Times New Roman" w:cs="Times New Roman" w:eastAsia="Times New Roman" w:hAnsi="Times New Roman"/>
          <w:sz w:val="12"/>
          <w:szCs w:val="12"/>
          <w:u w:val="single" w:color="auto"/>
          <w:color w:val="auto"/>
        </w:rPr>
        <w:t>Section 3.1(m)</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Securities Act</w:t>
      </w:r>
      <w:r>
        <w:rPr>
          <w:rFonts w:ascii="Times New Roman" w:cs="Times New Roman" w:eastAsia="Times New Roman" w:hAnsi="Times New Roman"/>
          <w:sz w:val="12"/>
          <w:szCs w:val="12"/>
          <w:color w:val="auto"/>
        </w:rPr>
        <w:t>” means the Securities Act of 1933, as amended, and the rules and regulations promulgated thereunder.</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Series A Common Stock</w:t>
      </w:r>
      <w:r>
        <w:rPr>
          <w:rFonts w:ascii="Times New Roman" w:cs="Times New Roman" w:eastAsia="Times New Roman" w:hAnsi="Times New Roman"/>
          <w:sz w:val="12"/>
          <w:szCs w:val="12"/>
          <w:color w:val="auto"/>
        </w:rPr>
        <w:t>” means, following the Domestication, the Series A common stock of the Company, par value $0.00001 per share, and any other class of securities into which such securities may hereafter be reclassified or changed.</w:t>
      </w:r>
    </w:p>
    <w:p>
      <w:pPr>
        <w:spacing w:after="0" w:line="1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Short Sales</w:t>
      </w:r>
      <w:r>
        <w:rPr>
          <w:rFonts w:ascii="Times New Roman" w:cs="Times New Roman" w:eastAsia="Times New Roman" w:hAnsi="Times New Roman"/>
          <w:sz w:val="12"/>
          <w:szCs w:val="12"/>
          <w:color w:val="auto"/>
        </w:rPr>
        <w:t>” shall include, without limitation, all “short sales” as defined in Rule 200 of Regulation SHO under the Exchange Act and all types of direct and indirect stock pledges (other than pledges in the ordinary course of business as part of prime brokerage arrangements), forward sale contracts, options, puts, calls, swaps and similar arrangements (including on a total return basis), and sales and other transactions through non-U.S. broker dealers or foreign regulated brokers.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Sponsor</w:t>
      </w:r>
      <w:r>
        <w:rPr>
          <w:rFonts w:ascii="Times New Roman" w:cs="Times New Roman" w:eastAsia="Times New Roman" w:hAnsi="Times New Roman"/>
          <w:sz w:val="12"/>
          <w:szCs w:val="12"/>
          <w:color w:val="auto"/>
        </w:rPr>
        <w:t>” means CGC III Sponsor LLC, a Cayman Islands exempted company.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Stock Exchange</w:t>
      </w:r>
      <w:r>
        <w:rPr>
          <w:rFonts w:ascii="Times New Roman" w:cs="Times New Roman" w:eastAsia="Times New Roman" w:hAnsi="Times New Roman"/>
          <w:sz w:val="12"/>
          <w:szCs w:val="12"/>
          <w:color w:val="auto"/>
        </w:rPr>
        <w:t>” means either The Nasdaq Stock Market LLC or the New York Stock Exchange (or any successors to any of the foregoing).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Target Companies</w:t>
      </w:r>
      <w:r>
        <w:rPr>
          <w:rFonts w:ascii="Times New Roman" w:cs="Times New Roman" w:eastAsia="Times New Roman" w:hAnsi="Times New Roman"/>
          <w:sz w:val="12"/>
          <w:szCs w:val="12"/>
          <w:color w:val="auto"/>
        </w:rPr>
        <w:t>” means the Target and its subsidiaries.</w:t>
      </w:r>
    </w:p>
    <w:p>
      <w:pPr>
        <w:spacing w:after="0" w:line="29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10795</wp:posOffset>
            </wp:positionV>
            <wp:extent cx="717804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00"/>
          </w:cols>
          <w:pgMar w:left="500" w:top="647" w:right="299" w:bottom="1440" w:gutter="0" w:footer="0" w:header="0"/>
        </w:sectPr>
      </w:pPr>
    </w:p>
    <w:bookmarkStart w:id="137" w:name="page138"/>
    <w:bookmarkEnd w:id="137"/>
    <w:p>
      <w:pPr>
        <w:jc w:val="both"/>
        <w:ind w:left="208"/>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Taxes</w:t>
      </w:r>
      <w:r>
        <w:rPr>
          <w:rFonts w:ascii="Times New Roman" w:cs="Times New Roman" w:eastAsia="Times New Roman" w:hAnsi="Times New Roman"/>
          <w:sz w:val="12"/>
          <w:szCs w:val="12"/>
          <w:color w:val="auto"/>
        </w:rPr>
        <w:t>” means all direct or indirect federal, state, local, foreign and other net income, gross income, gross receipts, sales, use, value-added, ad valorem, transfer, franchise, profits, license, lease, service, service use, withholding, payroll, employment, social security and related contributions due in relation to the payment of compensation to employees, excise, severance, stamp, occupation, premium, property, windfall profits, alternative minimum, estimated, customs, duties or other taxes, fees, assessments or charges in the nature of a tax, together with any interest and any penalties, additions to tax or additional amounts with respect thereto imposed by a Governmental Authority.</w:t>
      </w:r>
    </w:p>
    <w:p>
      <w:pPr>
        <w:spacing w:after="0" w:line="117"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Trading Day</w:t>
      </w:r>
      <w:r>
        <w:rPr>
          <w:rFonts w:ascii="Times New Roman" w:cs="Times New Roman" w:eastAsia="Times New Roman" w:hAnsi="Times New Roman"/>
          <w:sz w:val="12"/>
          <w:szCs w:val="12"/>
          <w:color w:val="auto"/>
        </w:rPr>
        <w:t>” means a day on which the principal Trading Market is open for trading.</w:t>
      </w:r>
    </w:p>
    <w:p>
      <w:pPr>
        <w:spacing w:after="0" w:line="150" w:lineRule="exact"/>
        <w:rPr>
          <w:sz w:val="20"/>
          <w:szCs w:val="20"/>
          <w:color w:val="auto"/>
        </w:rPr>
      </w:pPr>
    </w:p>
    <w:p>
      <w:pPr>
        <w:jc w:val="both"/>
        <w:ind w:left="208"/>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Trading Market</w:t>
      </w:r>
      <w:r>
        <w:rPr>
          <w:rFonts w:ascii="Times New Roman" w:cs="Times New Roman" w:eastAsia="Times New Roman" w:hAnsi="Times New Roman"/>
          <w:sz w:val="12"/>
          <w:szCs w:val="12"/>
          <w:color w:val="auto"/>
        </w:rPr>
        <w:t>” means any of the following markets or exchanges on which the Series A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03"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Transaction Documents</w:t>
      </w:r>
      <w:r>
        <w:rPr>
          <w:rFonts w:ascii="Times New Roman" w:cs="Times New Roman" w:eastAsia="Times New Roman" w:hAnsi="Times New Roman"/>
          <w:sz w:val="12"/>
          <w:szCs w:val="12"/>
          <w:color w:val="auto"/>
        </w:rPr>
        <w:t>” means this Agreement, the Escrow Agreement, and all exhibits and schedules hereto or thereto.</w:t>
      </w:r>
    </w:p>
    <w:p>
      <w:pPr>
        <w:spacing w:after="0" w:line="150"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Transfer Agent</w:t>
      </w:r>
      <w:r>
        <w:rPr>
          <w:rFonts w:ascii="Times New Roman" w:cs="Times New Roman" w:eastAsia="Times New Roman" w:hAnsi="Times New Roman"/>
          <w:sz w:val="12"/>
          <w:szCs w:val="12"/>
          <w:color w:val="auto"/>
        </w:rPr>
        <w:t>” means Continental Stock Transfer &amp; Trust Company, the current transfer agent of the Company, and any successor transfer agent of the Company.</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ARTICLE 2</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PURCHASE AND SALE</w:t>
      </w:r>
    </w:p>
    <w:p>
      <w:pPr>
        <w:spacing w:after="0" w:line="150" w:lineRule="exact"/>
        <w:rPr>
          <w:sz w:val="20"/>
          <w:szCs w:val="20"/>
          <w:color w:val="auto"/>
        </w:rPr>
      </w:pPr>
    </w:p>
    <w:p>
      <w:pPr>
        <w:jc w:val="both"/>
        <w:ind w:left="8"/>
        <w:spacing w:after="0" w:line="222" w:lineRule="auto"/>
        <w:rPr>
          <w:sz w:val="20"/>
          <w:szCs w:val="20"/>
          <w:color w:val="auto"/>
        </w:rPr>
      </w:pPr>
      <w:r>
        <w:rPr>
          <w:rFonts w:ascii="Times New Roman" w:cs="Times New Roman" w:eastAsia="Times New Roman" w:hAnsi="Times New Roman"/>
          <w:sz w:val="12"/>
          <w:szCs w:val="12"/>
          <w:color w:val="auto"/>
        </w:rPr>
        <w:t xml:space="preserve">2.1 </w:t>
      </w:r>
      <w:r>
        <w:rPr>
          <w:rFonts w:ascii="Times New Roman" w:cs="Times New Roman" w:eastAsia="Times New Roman" w:hAnsi="Times New Roman"/>
          <w:sz w:val="12"/>
          <w:szCs w:val="12"/>
          <w:b w:val="1"/>
          <w:bCs w:val="1"/>
          <w:u w:val="single" w:color="auto"/>
          <w:color w:val="auto"/>
        </w:rPr>
        <w:t>Closing</w:t>
      </w:r>
      <w:r>
        <w:rPr>
          <w:rFonts w:ascii="Times New Roman" w:cs="Times New Roman" w:eastAsia="Times New Roman" w:hAnsi="Times New Roman"/>
          <w:sz w:val="12"/>
          <w:szCs w:val="12"/>
          <w:color w:val="auto"/>
        </w:rPr>
        <w:t>. On the Closing Date, upon the terms and subject to the conditions set forth herein, the Company agrees to sell, and the Purchaser agrees to purchase, that number of shares of Series A Common Stock (the “</w:t>
      </w:r>
      <w:r>
        <w:rPr>
          <w:rFonts w:ascii="Times New Roman" w:cs="Times New Roman" w:eastAsia="Times New Roman" w:hAnsi="Times New Roman"/>
          <w:sz w:val="12"/>
          <w:szCs w:val="12"/>
          <w:b w:val="1"/>
          <w:bCs w:val="1"/>
          <w:color w:val="auto"/>
        </w:rPr>
        <w:t>Purchased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Shares</w:t>
      </w:r>
      <w:r>
        <w:rPr>
          <w:rFonts w:ascii="Times New Roman" w:cs="Times New Roman" w:eastAsia="Times New Roman" w:hAnsi="Times New Roman"/>
          <w:sz w:val="12"/>
          <w:szCs w:val="12"/>
          <w:color w:val="auto"/>
        </w:rPr>
        <w:t>”) obtained by dividing the Purchaser’s aggregate purchase price of $_______ by [$10.00]</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[the Redemption Price (as defined in the Company’s amended and restated memorandum and articles of association, as in effect on the</w:t>
      </w:r>
    </w:p>
    <w:p>
      <w:pPr>
        <w:spacing w:after="0" w:line="1" w:lineRule="exact"/>
        <w:rPr>
          <w:sz w:val="20"/>
          <w:szCs w:val="20"/>
          <w:color w:val="auto"/>
        </w:rPr>
      </w:pPr>
    </w:p>
    <w:p>
      <w:pPr>
        <w:jc w:val="both"/>
        <w:ind w:left="8"/>
        <w:spacing w:after="0" w:line="241" w:lineRule="auto"/>
        <w:rPr>
          <w:sz w:val="20"/>
          <w:szCs w:val="20"/>
          <w:color w:val="auto"/>
        </w:rPr>
      </w:pPr>
      <w:r>
        <w:rPr>
          <w:rFonts w:ascii="Times New Roman" w:cs="Times New Roman" w:eastAsia="Times New Roman" w:hAnsi="Times New Roman"/>
          <w:sz w:val="12"/>
          <w:szCs w:val="12"/>
          <w:color w:val="auto"/>
        </w:rPr>
        <w:t>date hereof, without amendment or other modification hereafter)]</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2"/>
          <w:szCs w:val="12"/>
          <w:color w:val="auto"/>
        </w:rPr>
        <w:t>. The Company shall provide written notice (which may be via email) to the Purchaser (the “</w:t>
      </w:r>
      <w:r>
        <w:rPr>
          <w:rFonts w:ascii="Times New Roman" w:cs="Times New Roman" w:eastAsia="Times New Roman" w:hAnsi="Times New Roman"/>
          <w:sz w:val="12"/>
          <w:szCs w:val="12"/>
          <w:b w:val="1"/>
          <w:bCs w:val="1"/>
          <w:color w:val="auto"/>
        </w:rPr>
        <w:t>Closing Notice</w:t>
      </w:r>
      <w:r>
        <w:rPr>
          <w:rFonts w:ascii="Times New Roman" w:cs="Times New Roman" w:eastAsia="Times New Roman" w:hAnsi="Times New Roman"/>
          <w:sz w:val="12"/>
          <w:szCs w:val="12"/>
          <w:color w:val="auto"/>
        </w:rPr>
        <w:t>”) that the Company reasonably expects the Closing to occur (and the conditions thereto to be satisfied) on a date specified in the notice (the “</w:t>
      </w:r>
      <w:r>
        <w:rPr>
          <w:rFonts w:ascii="Times New Roman" w:cs="Times New Roman" w:eastAsia="Times New Roman" w:hAnsi="Times New Roman"/>
          <w:sz w:val="12"/>
          <w:szCs w:val="12"/>
          <w:b w:val="1"/>
          <w:bCs w:val="1"/>
          <w:color w:val="auto"/>
        </w:rPr>
        <w:t>Scheduled Closing Date</w:t>
      </w:r>
      <w:r>
        <w:rPr>
          <w:rFonts w:ascii="Times New Roman" w:cs="Times New Roman" w:eastAsia="Times New Roman" w:hAnsi="Times New Roman"/>
          <w:sz w:val="12"/>
          <w:szCs w:val="12"/>
          <w:color w:val="auto"/>
        </w:rPr>
        <w:t xml:space="preserve">”) not less than five (5) Business Days after the date of the Closing Notice, which Closing Notice shall contain the Company’s wire instructions for the Escrow Account. The failure of the Closing to occur on the Scheduled Closing Date shall not terminate this Agreement or otherwise relieve any party of any of its obligations hereunder. Provided that the Closing Notice is timely delivered in accordance with the foregoing, no later than two (2) Business Days prior to Closing, the Purchaser shall deliver to the Escrow Agent, via wire transfer, immediately available funds equal to the Purchaser’s Purchase Price. At the Closing, the Company shall deliver to the Purchaser its shares of Series A Common Stock as determined pursuant to </w:t>
      </w:r>
      <w:r>
        <w:rPr>
          <w:rFonts w:ascii="Times New Roman" w:cs="Times New Roman" w:eastAsia="Times New Roman" w:hAnsi="Times New Roman"/>
          <w:sz w:val="12"/>
          <w:szCs w:val="12"/>
          <w:u w:val="single" w:color="auto"/>
          <w:color w:val="auto"/>
        </w:rPr>
        <w:t>Section 2.2(a)</w:t>
      </w:r>
      <w:r>
        <w:rPr>
          <w:rFonts w:ascii="Times New Roman" w:cs="Times New Roman" w:eastAsia="Times New Roman" w:hAnsi="Times New Roman"/>
          <w:sz w:val="12"/>
          <w:szCs w:val="12"/>
          <w:color w:val="auto"/>
        </w:rPr>
        <w:t xml:space="preserve">, and the Company and the Purchaser shall deliver the other items set forth in </w:t>
      </w:r>
      <w:r>
        <w:rPr>
          <w:rFonts w:ascii="Times New Roman" w:cs="Times New Roman" w:eastAsia="Times New Roman" w:hAnsi="Times New Roman"/>
          <w:sz w:val="12"/>
          <w:szCs w:val="12"/>
          <w:u w:val="single" w:color="auto"/>
          <w:color w:val="auto"/>
        </w:rPr>
        <w:t>Section 2.2</w:t>
      </w:r>
      <w:r>
        <w:rPr>
          <w:rFonts w:ascii="Times New Roman" w:cs="Times New Roman" w:eastAsia="Times New Roman" w:hAnsi="Times New Roman"/>
          <w:sz w:val="12"/>
          <w:szCs w:val="12"/>
          <w:color w:val="auto"/>
        </w:rPr>
        <w:t xml:space="preserve"> deliverable at the Closing. Upon satisfaction of the covenants and conditions set forth in </w:t>
      </w:r>
      <w:r>
        <w:rPr>
          <w:rFonts w:ascii="Times New Roman" w:cs="Times New Roman" w:eastAsia="Times New Roman" w:hAnsi="Times New Roman"/>
          <w:sz w:val="12"/>
          <w:szCs w:val="12"/>
          <w:u w:val="single" w:color="auto"/>
          <w:color w:val="auto"/>
        </w:rPr>
        <w:t>Sections 2.2</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2.3</w:t>
      </w:r>
      <w:r>
        <w:rPr>
          <w:rFonts w:ascii="Times New Roman" w:cs="Times New Roman" w:eastAsia="Times New Roman" w:hAnsi="Times New Roman"/>
          <w:sz w:val="12"/>
          <w:szCs w:val="12"/>
          <w:color w:val="auto"/>
        </w:rPr>
        <w:t>, the Closing shall occur by electronic exchange of documents and signatures and the Company shall deliver to the Escrow Agent any required escrow release notice, duly executed, which shall cause the release of the funds in the Escrow Account to the Company. If this Agreement is terminated prior to the Closing and any funds have already been sent by the Purchaser to the Escrow Account, or the Closing Date does not occur within eight (8) Business Days after the Scheduled Closing Date specified in the Closing Notice, the Company shall or shall cause the Escrow Agent to promptly (but not later than ten (10) Business Days after the Scheduled Closing Date specified in the Closing Notice), return the funds delivered by the Purchaser for payment of the Purchaser’s Purchase Price by wire transfer in immediately available funds to the account specified in writing by the Purchaser (provided, that the failure of the Closing Date to occur within such ten (10) Business Day period and the return of the relevant funds shall not relieve the Purchaser from its obligations under this Agreement for a subsequently rescheduled Closing Date determined by the Company in good faith and indicated to the Purchaser in a timely delivered subsequent Closing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179451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88" w:lineRule="exact"/>
        <w:rPr>
          <w:sz w:val="20"/>
          <w:szCs w:val="20"/>
          <w:color w:val="auto"/>
        </w:rPr>
      </w:pPr>
    </w:p>
    <w:p>
      <w:pPr>
        <w:ind w:left="88" w:hanging="88"/>
        <w:spacing w:after="0"/>
        <w:tabs>
          <w:tab w:leader="none" w:pos="88" w:val="left"/>
        </w:tabs>
        <w:numPr>
          <w:ilvl w:val="0"/>
          <w:numId w:val="5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For Institutional Investors</w:t>
      </w:r>
    </w:p>
    <w:p>
      <w:pPr>
        <w:spacing w:after="0" w:line="28" w:lineRule="exact"/>
        <w:rPr>
          <w:rFonts w:ascii="Times New Roman" w:cs="Times New Roman" w:eastAsia="Times New Roman" w:hAnsi="Times New Roman"/>
          <w:sz w:val="20"/>
          <w:szCs w:val="20"/>
          <w:color w:val="auto"/>
          <w:vertAlign w:val="superscript"/>
        </w:rPr>
      </w:pPr>
    </w:p>
    <w:p>
      <w:pPr>
        <w:ind w:left="8"/>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2"/>
          <w:szCs w:val="12"/>
          <w:color w:val="auto"/>
        </w:rPr>
        <w:t xml:space="preserve"> For Sponsor affiliates</w:t>
      </w:r>
    </w:p>
    <w:p>
      <w:pPr>
        <w:spacing w:after="0" w:line="20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7804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38" w:name="page139"/>
    <w:bookmarkEnd w:id="138"/>
    <w:p>
      <w:pPr>
        <w:jc w:val="both"/>
        <w:ind w:left="8"/>
        <w:spacing w:after="0" w:line="257" w:lineRule="auto"/>
        <w:rPr>
          <w:sz w:val="20"/>
          <w:szCs w:val="20"/>
          <w:color w:val="auto"/>
        </w:rPr>
      </w:pPr>
      <w:r>
        <w:rPr>
          <w:rFonts w:ascii="Times New Roman" w:cs="Times New Roman" w:eastAsia="Times New Roman" w:hAnsi="Times New Roman"/>
          <w:sz w:val="12"/>
          <w:szCs w:val="12"/>
          <w:color w:val="auto"/>
        </w:rPr>
        <w:t>[Notwithstanding anything to the contrary contained in this Agreement, if, after the date of this Agreement, Purchaser acquires ownership of Class A Ordinary Shares in the open market or in privately negotiated transactions with third parties (along with any related rights to redeem or convert such Class A Ordinary Shares in connection with any redemption conducted by the Company in accordance with the Company’s Amended and Restated Memorandum and Articles of Association (“</w:t>
      </w:r>
      <w:r>
        <w:rPr>
          <w:rFonts w:ascii="Times New Roman" w:cs="Times New Roman" w:eastAsia="Times New Roman" w:hAnsi="Times New Roman"/>
          <w:sz w:val="12"/>
          <w:szCs w:val="12"/>
          <w:b w:val="1"/>
          <w:bCs w:val="1"/>
          <w:color w:val="auto"/>
        </w:rPr>
        <w:t>A&amp;R Memo and Articles</w:t>
      </w:r>
      <w:r>
        <w:rPr>
          <w:rFonts w:ascii="Times New Roman" w:cs="Times New Roman" w:eastAsia="Times New Roman" w:hAnsi="Times New Roman"/>
          <w:sz w:val="12"/>
          <w:szCs w:val="12"/>
          <w:color w:val="auto"/>
        </w:rPr>
        <w:t>”) in conjunction with the Closing (the “</w:t>
      </w:r>
      <w:r>
        <w:rPr>
          <w:rFonts w:ascii="Times New Roman" w:cs="Times New Roman" w:eastAsia="Times New Roman" w:hAnsi="Times New Roman"/>
          <w:sz w:val="12"/>
          <w:szCs w:val="12"/>
          <w:b w:val="1"/>
          <w:bCs w:val="1"/>
          <w:color w:val="auto"/>
        </w:rPr>
        <w:t>Redemption</w:t>
      </w:r>
      <w:r>
        <w:rPr>
          <w:rFonts w:ascii="Times New Roman" w:cs="Times New Roman" w:eastAsia="Times New Roman" w:hAnsi="Times New Roman"/>
          <w:sz w:val="12"/>
          <w:szCs w:val="12"/>
          <w:color w:val="auto"/>
        </w:rPr>
        <w:t>”)) prior to the extraordinary general meeting to approve the Transactions and Purchaser does not redeem or convert such Class A Ordinary Shares in connection with the Redemption (including revoking or reversing any previously submitted redemption demand or conversion elections made with respect to such Class A Ordinary Shares) (any such Class A Ordinary Shares, “</w:t>
      </w:r>
      <w:r>
        <w:rPr>
          <w:rFonts w:ascii="Times New Roman" w:cs="Times New Roman" w:eastAsia="Times New Roman" w:hAnsi="Times New Roman"/>
          <w:sz w:val="12"/>
          <w:szCs w:val="12"/>
          <w:b w:val="1"/>
          <w:bCs w:val="1"/>
          <w:color w:val="auto"/>
        </w:rPr>
        <w:t>Non-Redeemed Shares</w:t>
      </w:r>
      <w:r>
        <w:rPr>
          <w:rFonts w:ascii="Times New Roman" w:cs="Times New Roman" w:eastAsia="Times New Roman" w:hAnsi="Times New Roman"/>
          <w:sz w:val="12"/>
          <w:szCs w:val="12"/>
          <w:color w:val="auto"/>
        </w:rPr>
        <w:t>”), and Purchaser notifies the Company in writing at least two (2) Business Days prior to the anticipated Closing Date that it wishes to apply a specified number of such Non-Redeemed Shares to reduce the number of Purchased Shares it is required to purchase hereunder (the “</w:t>
      </w:r>
      <w:r>
        <w:rPr>
          <w:rFonts w:ascii="Times New Roman" w:cs="Times New Roman" w:eastAsia="Times New Roman" w:hAnsi="Times New Roman"/>
          <w:sz w:val="12"/>
          <w:szCs w:val="12"/>
          <w:b w:val="1"/>
          <w:bCs w:val="1"/>
          <w:color w:val="auto"/>
        </w:rPr>
        <w:t>Reduction Right</w:t>
      </w:r>
      <w:r>
        <w:rPr>
          <w:rFonts w:ascii="Times New Roman" w:cs="Times New Roman" w:eastAsia="Times New Roman" w:hAnsi="Times New Roman"/>
          <w:sz w:val="12"/>
          <w:szCs w:val="12"/>
          <w:color w:val="auto"/>
        </w:rPr>
        <w:t>” and such number of Non-Redeemed Shares, the “</w:t>
      </w:r>
      <w:r>
        <w:rPr>
          <w:rFonts w:ascii="Times New Roman" w:cs="Times New Roman" w:eastAsia="Times New Roman" w:hAnsi="Times New Roman"/>
          <w:sz w:val="12"/>
          <w:szCs w:val="12"/>
          <w:b w:val="1"/>
          <w:bCs w:val="1"/>
          <w:color w:val="auto"/>
        </w:rPr>
        <w:t>Reduction Shares</w:t>
      </w:r>
      <w:r>
        <w:rPr>
          <w:rFonts w:ascii="Times New Roman" w:cs="Times New Roman" w:eastAsia="Times New Roman" w:hAnsi="Times New Roman"/>
          <w:sz w:val="12"/>
          <w:szCs w:val="12"/>
          <w:color w:val="auto"/>
        </w:rPr>
        <w:t xml:space="preserve">”), the number of Purchased Shares for which Purchaser is obligated and has the right to purchase under this Agreement will be reduced by the number of Reduction Shares and the Purchase Price shall accordingly be reduced by an amount equal to the product of the number of Reduction Shares and $10.00;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(i) promptly upon the Company’s request, Purchaser shall provide the Company with documentary evidence reasonably requested by the Company to evidence such Reduction Shares and (ii) the Purchaser agrees that with respect to any such Reduction Shares, it will (A) not sell or otherwise transfer such Reduction Shares prior to the consummation of the Transactions, (B) not vote any Reduction Shares in favor of approving the Transactions and instead submit a proxy abstaining from voting thereon, and (C) to the extent it has the right to have any of its Reduction Shares redeemed for cash in connection with the consummation of the Transactions, not exercise any such redemption rights.]</w:t>
      </w:r>
      <w:r>
        <w:rPr>
          <w:rFonts w:ascii="Times New Roman" w:cs="Times New Roman" w:eastAsia="Times New Roman" w:hAnsi="Times New Roman"/>
          <w:sz w:val="19"/>
          <w:szCs w:val="19"/>
          <w:color w:val="auto"/>
          <w:vertAlign w:val="superscript"/>
        </w:rPr>
        <w:t>3</w:t>
      </w:r>
    </w:p>
    <w:p>
      <w:pPr>
        <w:spacing w:after="0" w:line="39" w:lineRule="exact"/>
        <w:rPr>
          <w:sz w:val="20"/>
          <w:szCs w:val="20"/>
          <w:color w:val="auto"/>
        </w:rPr>
      </w:pPr>
    </w:p>
    <w:p>
      <w:pPr>
        <w:jc w:val="both"/>
        <w:ind w:left="8"/>
        <w:spacing w:after="0" w:line="273" w:lineRule="auto"/>
        <w:rPr>
          <w:sz w:val="20"/>
          <w:szCs w:val="20"/>
          <w:color w:val="auto"/>
        </w:rPr>
      </w:pPr>
      <w:r>
        <w:rPr>
          <w:rFonts w:ascii="Times New Roman" w:cs="Times New Roman" w:eastAsia="Times New Roman" w:hAnsi="Times New Roman"/>
          <w:sz w:val="12"/>
          <w:szCs w:val="12"/>
          <w:color w:val="auto"/>
        </w:rPr>
        <w:t xml:space="preserve">[Notwithstanding the foregoing, the Purchaser may elect to enter into a Non-Redemption Agreement with the Company, substantially in the form set forth as </w:t>
      </w:r>
      <w:r>
        <w:rPr>
          <w:rFonts w:ascii="Times New Roman" w:cs="Times New Roman" w:eastAsia="Times New Roman" w:hAnsi="Times New Roman"/>
          <w:sz w:val="12"/>
          <w:szCs w:val="12"/>
          <w:u w:val="single" w:color="auto"/>
          <w:color w:val="auto"/>
        </w:rPr>
        <w:t>Annex A</w:t>
      </w:r>
      <w:r>
        <w:rPr>
          <w:rFonts w:ascii="Times New Roman" w:cs="Times New Roman" w:eastAsia="Times New Roman" w:hAnsi="Times New Roman"/>
          <w:sz w:val="12"/>
          <w:szCs w:val="12"/>
          <w:color w:val="auto"/>
        </w:rPr>
        <w:t xml:space="preserve"> hereto (a “</w:t>
      </w:r>
      <w:r>
        <w:rPr>
          <w:rFonts w:ascii="Times New Roman" w:cs="Times New Roman" w:eastAsia="Times New Roman" w:hAnsi="Times New Roman"/>
          <w:sz w:val="12"/>
          <w:szCs w:val="12"/>
          <w:b w:val="1"/>
          <w:bCs w:val="1"/>
          <w:color w:val="auto"/>
        </w:rPr>
        <w:t>Non-Redemption Agreement</w:t>
      </w:r>
      <w:r>
        <w:rPr>
          <w:rFonts w:ascii="Times New Roman" w:cs="Times New Roman" w:eastAsia="Times New Roman" w:hAnsi="Times New Roman"/>
          <w:sz w:val="12"/>
          <w:szCs w:val="12"/>
          <w:color w:val="auto"/>
        </w:rPr>
        <w:t>”). In the event that the Purchaser enters into Non-Redemption Agreement and acquires Class A Ordinary Shares prior to the Closing from public holders of Class A Ordinary Shares pursuant to such Non-Redemption Agreement (such Class A Ordinary Shares, the “</w:t>
      </w:r>
      <w:r>
        <w:rPr>
          <w:rFonts w:ascii="Times New Roman" w:cs="Times New Roman" w:eastAsia="Times New Roman" w:hAnsi="Times New Roman"/>
          <w:sz w:val="12"/>
          <w:szCs w:val="12"/>
          <w:b w:val="1"/>
          <w:bCs w:val="1"/>
          <w:color w:val="auto"/>
        </w:rPr>
        <w:t>Non-Redemption Shares</w:t>
      </w:r>
      <w:r>
        <w:rPr>
          <w:rFonts w:ascii="Times New Roman" w:cs="Times New Roman" w:eastAsia="Times New Roman" w:hAnsi="Times New Roman"/>
          <w:sz w:val="12"/>
          <w:szCs w:val="12"/>
          <w:color w:val="auto"/>
        </w:rPr>
        <w:t>”) and waives its redemptions rights with respect to the Non-Redemption Shares in accordance with the provisions of the Non-Redemption Agreement, Purchaser’s “Purchase Price” shall be reduced by an amount equal to the product of the number Non-Redemption Shares and the Redemption Price such that the number of Purchased Shares required to be acquired hereunder shall be reduced accordingly.]</w:t>
      </w:r>
      <w:r>
        <w:rPr>
          <w:rFonts w:ascii="Times New Roman" w:cs="Times New Roman" w:eastAsia="Times New Roman" w:hAnsi="Times New Roman"/>
          <w:sz w:val="19"/>
          <w:szCs w:val="19"/>
          <w:color w:val="auto"/>
          <w:vertAlign w:val="superscript"/>
        </w:rPr>
        <w:t>4</w:t>
      </w:r>
    </w:p>
    <w:p>
      <w:pPr>
        <w:spacing w:after="0" w:line="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xml:space="preserve">2.2 </w:t>
      </w:r>
      <w:r>
        <w:rPr>
          <w:rFonts w:ascii="Times New Roman" w:cs="Times New Roman" w:eastAsia="Times New Roman" w:hAnsi="Times New Roman"/>
          <w:sz w:val="12"/>
          <w:szCs w:val="12"/>
          <w:b w:val="1"/>
          <w:bCs w:val="1"/>
          <w:u w:val="single" w:color="auto"/>
          <w:color w:val="auto"/>
        </w:rPr>
        <w:t>Deliveries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ind w:left="388" w:hanging="172"/>
        <w:spacing w:after="0"/>
        <w:tabs>
          <w:tab w:leader="none" w:pos="388"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or prior to the Closing Date, the Company shall deliver or cause to be delivered to the Purchaser the following:</w:t>
      </w:r>
    </w:p>
    <w:p>
      <w:pPr>
        <w:spacing w:after="0" w:line="150" w:lineRule="exact"/>
        <w:rPr>
          <w:rFonts w:ascii="Times New Roman" w:cs="Times New Roman" w:eastAsia="Times New Roman" w:hAnsi="Times New Roman"/>
          <w:sz w:val="12"/>
          <w:szCs w:val="12"/>
          <w:color w:val="auto"/>
        </w:rPr>
      </w:pPr>
    </w:p>
    <w:p>
      <w:pPr>
        <w:ind w:left="208" w:firstLine="224"/>
        <w:spacing w:after="0" w:line="279" w:lineRule="auto"/>
        <w:tabs>
          <w:tab w:leader="none" w:pos="576" w:val="left"/>
        </w:tabs>
        <w:numPr>
          <w:ilvl w:val="1"/>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reasonable evidence of issuance by book entry of the Purchased Shares, registered in the name of the Purchaser and evidence of the filing and acceptance of the Certificate of Corporate Domestication and Certificate of Formation from the Secretary of State of Delaware filed in connection with the Domestication; and</w:t>
      </w:r>
    </w:p>
    <w:p>
      <w:pPr>
        <w:spacing w:after="0" w:line="111" w:lineRule="exact"/>
        <w:rPr>
          <w:rFonts w:ascii="Times New Roman" w:cs="Times New Roman" w:eastAsia="Times New Roman" w:hAnsi="Times New Roman"/>
          <w:sz w:val="12"/>
          <w:szCs w:val="12"/>
          <w:color w:val="auto"/>
        </w:rPr>
      </w:pPr>
    </w:p>
    <w:p>
      <w:pPr>
        <w:ind w:left="608" w:hanging="176"/>
        <w:spacing w:after="0"/>
        <w:tabs>
          <w:tab w:leader="none" w:pos="608" w:val="left"/>
        </w:tabs>
        <w:numPr>
          <w:ilvl w:val="1"/>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email from the Company setting forth the wire transfer instructions of the Company.</w:t>
      </w:r>
    </w:p>
    <w:p>
      <w:pPr>
        <w:spacing w:after="0" w:line="150" w:lineRule="exact"/>
        <w:rPr>
          <w:rFonts w:ascii="Times New Roman" w:cs="Times New Roman" w:eastAsia="Times New Roman" w:hAnsi="Times New Roman"/>
          <w:sz w:val="12"/>
          <w:szCs w:val="12"/>
          <w:color w:val="auto"/>
        </w:rPr>
      </w:pPr>
    </w:p>
    <w:p>
      <w:pPr>
        <w:ind w:left="388" w:hanging="172"/>
        <w:spacing w:after="0"/>
        <w:tabs>
          <w:tab w:leader="none" w:pos="388"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or prior to the Closing Date, the Purchaser shall deliver or cause to be delivered to the Company or the Escrow Agent, as applicable, the Purchaser’s Purchase Price.</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xml:space="preserve">2.3 </w:t>
      </w:r>
      <w:r>
        <w:rPr>
          <w:rFonts w:ascii="Times New Roman" w:cs="Times New Roman" w:eastAsia="Times New Roman" w:hAnsi="Times New Roman"/>
          <w:sz w:val="12"/>
          <w:szCs w:val="12"/>
          <w:b w:val="1"/>
          <w:bCs w:val="1"/>
          <w:u w:val="single" w:color="auto"/>
          <w:color w:val="auto"/>
        </w:rPr>
        <w:t>Closing Conditions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ind w:left="368" w:hanging="152"/>
        <w:spacing w:after="0"/>
        <w:tabs>
          <w:tab w:leader="none" w:pos="368"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Closing shall be subject to the satisfaction, or valid waiver in writing by each of the parties hereto, of the conditions that, on the Closing Date:</w:t>
      </w:r>
    </w:p>
    <w:p>
      <w:pPr>
        <w:spacing w:after="0" w:line="150" w:lineRule="exact"/>
        <w:rPr>
          <w:rFonts w:ascii="Times New Roman" w:cs="Times New Roman" w:eastAsia="Times New Roman" w:hAnsi="Times New Roman"/>
          <w:sz w:val="12"/>
          <w:szCs w:val="12"/>
          <w:color w:val="auto"/>
        </w:rPr>
      </w:pPr>
    </w:p>
    <w:p>
      <w:pPr>
        <w:ind w:left="208" w:right="20" w:firstLine="224"/>
        <w:spacing w:after="0" w:line="279" w:lineRule="auto"/>
        <w:tabs>
          <w:tab w:leader="none" w:pos="577" w:val="left"/>
        </w:tabs>
        <w:numPr>
          <w:ilvl w:val="1"/>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Series A Common Stock (including the Purchased Shares) shall have been approved for listing on a Stock Exchange, subject only to official notice of issuance and no suspension of the qualification of the Series A Common Stock for offering or sale or trading on such Stock Exchange and, to the knowledge of the Company, no initiation or threatening of any proceedings for any of such purposes or delisting, shall have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179451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61" w:lineRule="exact"/>
        <w:rPr>
          <w:sz w:val="20"/>
          <w:szCs w:val="20"/>
          <w:color w:val="auto"/>
        </w:rPr>
      </w:pPr>
    </w:p>
    <w:p>
      <w:pPr>
        <w:ind w:left="88" w:hanging="88"/>
        <w:spacing w:after="0"/>
        <w:tabs>
          <w:tab w:leader="none" w:pos="88" w:val="left"/>
        </w:tabs>
        <w:numPr>
          <w:ilvl w:val="0"/>
          <w:numId w:val="5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For Institutional Investors</w:t>
      </w:r>
    </w:p>
    <w:p>
      <w:pPr>
        <w:spacing w:after="0" w:line="28" w:lineRule="exact"/>
        <w:rPr>
          <w:rFonts w:ascii="Times New Roman" w:cs="Times New Roman" w:eastAsia="Times New Roman" w:hAnsi="Times New Roman"/>
          <w:sz w:val="20"/>
          <w:szCs w:val="20"/>
          <w:color w:val="auto"/>
          <w:vertAlign w:val="superscript"/>
        </w:rPr>
      </w:pPr>
    </w:p>
    <w:p>
      <w:pPr>
        <w:ind w:left="8"/>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9"/>
          <w:szCs w:val="19"/>
          <w:color w:val="auto"/>
          <w:vertAlign w:val="superscript"/>
        </w:rPr>
        <w:t>4</w:t>
      </w:r>
      <w:r>
        <w:rPr>
          <w:rFonts w:ascii="Times New Roman" w:cs="Times New Roman" w:eastAsia="Times New Roman" w:hAnsi="Times New Roman"/>
          <w:sz w:val="12"/>
          <w:szCs w:val="12"/>
          <w:color w:val="auto"/>
        </w:rPr>
        <w:t xml:space="preserve"> For Sponsor affiliates</w:t>
      </w:r>
    </w:p>
    <w:p>
      <w:pPr>
        <w:spacing w:after="0" w:line="20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7804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39" w:name="page140"/>
    <w:bookmarkEnd w:id="139"/>
    <w:p>
      <w:pPr>
        <w:jc w:val="both"/>
        <w:ind w:firstLine="224"/>
        <w:spacing w:after="0" w:line="260" w:lineRule="auto"/>
        <w:tabs>
          <w:tab w:leader="none" w:pos="402" w:val="left"/>
        </w:tabs>
        <w:numPr>
          <w:ilvl w:val="1"/>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conditions precedent to the closing of the Business Combination set forth in the Business Combination Agreement shall have been satisfied (as determined by the parties to the Business Combination Agreement) or waived in writing by the Person(s) with the authority to make such waiver (other than those conditions which, by their nature, are to be satisfied at the closing of the Business Combination pursuant to the Business Combination Agreement including to the extent that any such condition precedent is, or is dependent upon, the consummation of the transactions contemplated hereby), and the closing of the Business Combination shall be scheduled to occur substantially concurrently with the Closing; and</w:t>
      </w:r>
    </w:p>
    <w:p>
      <w:pPr>
        <w:spacing w:after="0" w:line="122" w:lineRule="exact"/>
        <w:rPr>
          <w:rFonts w:ascii="Times New Roman" w:cs="Times New Roman" w:eastAsia="Times New Roman" w:hAnsi="Times New Roman"/>
          <w:sz w:val="12"/>
          <w:szCs w:val="12"/>
          <w:color w:val="auto"/>
        </w:rPr>
      </w:pPr>
    </w:p>
    <w:p>
      <w:pPr>
        <w:ind w:right="20" w:firstLine="224"/>
        <w:spacing w:after="0" w:line="279" w:lineRule="auto"/>
        <w:tabs>
          <w:tab w:leader="none" w:pos="427" w:val="left"/>
        </w:tabs>
        <w:numPr>
          <w:ilvl w:val="1"/>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governmental authority shall have enacted, issued, promulgated, enforced or entered any judgment, order, law, rule or regulation which is then in effect and has the effect of making the consummation of the transactions contemplated hereby (including, without limitation, the Domestication) illegal or otherwise restraining or prohibiting consummation of the transactions contemplated hereby.</w:t>
      </w:r>
    </w:p>
    <w:p>
      <w:pPr>
        <w:spacing w:after="0" w:line="111" w:lineRule="exact"/>
        <w:rPr>
          <w:rFonts w:ascii="Times New Roman" w:cs="Times New Roman" w:eastAsia="Times New Roman" w:hAnsi="Times New Roman"/>
          <w:sz w:val="12"/>
          <w:szCs w:val="12"/>
          <w:color w:val="auto"/>
        </w:rPr>
      </w:pPr>
    </w:p>
    <w:p>
      <w:pPr>
        <w:ind w:left="180" w:hanging="172"/>
        <w:spacing w:after="0"/>
        <w:tabs>
          <w:tab w:leader="none" w:pos="18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obligation of the Company to consummate the Closing shall be subject to the satisfaction or valid waiver in writing by the Company of the additional conditions that, on the Closing Date:</w:t>
      </w:r>
    </w:p>
    <w:p>
      <w:pPr>
        <w:spacing w:after="0" w:line="150" w:lineRule="exact"/>
        <w:rPr>
          <w:rFonts w:ascii="Times New Roman" w:cs="Times New Roman" w:eastAsia="Times New Roman" w:hAnsi="Times New Roman"/>
          <w:sz w:val="12"/>
          <w:szCs w:val="12"/>
          <w:color w:val="auto"/>
        </w:rPr>
      </w:pPr>
    </w:p>
    <w:p>
      <w:pPr>
        <w:jc w:val="both"/>
        <w:ind w:firstLine="224"/>
        <w:spacing w:after="0" w:line="257" w:lineRule="auto"/>
        <w:tabs>
          <w:tab w:leader="none" w:pos="374" w:val="left"/>
        </w:tabs>
        <w:numPr>
          <w:ilvl w:val="1"/>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otherwise provided under </w:t>
      </w:r>
      <w:r>
        <w:rPr>
          <w:rFonts w:ascii="Times New Roman" w:cs="Times New Roman" w:eastAsia="Times New Roman" w:hAnsi="Times New Roman"/>
          <w:sz w:val="12"/>
          <w:szCs w:val="12"/>
          <w:u w:val="single" w:color="auto"/>
          <w:color w:val="auto"/>
        </w:rPr>
        <w:t>Section 2.3(b)(ii)</w:t>
      </w:r>
      <w:r>
        <w:rPr>
          <w:rFonts w:ascii="Times New Roman" w:cs="Times New Roman" w:eastAsia="Times New Roman" w:hAnsi="Times New Roman"/>
          <w:sz w:val="12"/>
          <w:szCs w:val="12"/>
          <w:color w:val="auto"/>
        </w:rPr>
        <w:t>, all representations and warranties of the Purchaser contained in this Agreement shall be true and correct in all material respects (other than representations and warranties that are qualified as to materiality or material adverse effect, which representations and warranties shall be true and correct in all respects) at and as of the Closing Date (except to the extent that any such representation and warranty expressly speaks as of an earlier date, in which case such representation and warranty shall be true and correct in all material respects (other than representations and warranties that are qualified as to materiality or material adverse effect, which representations and warranties shall be true and correct in all respects) as of such earlier date), and consummation of the Closing shall constitute a reaffirmation by the Purchaser of each of the representations, warranties and agreements of the Purchaser contained in this Agreement as of the Closing Date, but without giving effect to consummation of the Business Combination, or as of such earlier date, as applicable;</w:t>
      </w:r>
    </w:p>
    <w:p>
      <w:pPr>
        <w:spacing w:after="0" w:line="125" w:lineRule="exact"/>
        <w:rPr>
          <w:rFonts w:ascii="Times New Roman" w:cs="Times New Roman" w:eastAsia="Times New Roman" w:hAnsi="Times New Roman"/>
          <w:sz w:val="12"/>
          <w:szCs w:val="12"/>
          <w:color w:val="auto"/>
        </w:rPr>
      </w:pPr>
    </w:p>
    <w:p>
      <w:pPr>
        <w:ind w:right="20" w:firstLine="224"/>
        <w:spacing w:after="0" w:line="279" w:lineRule="auto"/>
        <w:tabs>
          <w:tab w:leader="none" w:pos="400" w:val="left"/>
        </w:tabs>
        <w:numPr>
          <w:ilvl w:val="1"/>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representations and warranties of the Purchaser contained in </w:t>
      </w:r>
      <w:r>
        <w:rPr>
          <w:rFonts w:ascii="Times New Roman" w:cs="Times New Roman" w:eastAsia="Times New Roman" w:hAnsi="Times New Roman"/>
          <w:sz w:val="12"/>
          <w:szCs w:val="12"/>
          <w:u w:val="single" w:color="auto"/>
          <w:color w:val="auto"/>
        </w:rPr>
        <w:t>Section 3.2(q)</w:t>
      </w:r>
      <w:r>
        <w:rPr>
          <w:rFonts w:ascii="Times New Roman" w:cs="Times New Roman" w:eastAsia="Times New Roman" w:hAnsi="Times New Roman"/>
          <w:sz w:val="12"/>
          <w:szCs w:val="12"/>
          <w:color w:val="auto"/>
        </w:rPr>
        <w:t xml:space="preserve"> of this Agreement shall be true and correct at all times on or prior to the Closing Date, and consummation of the Closing shall constitute a reaffirmation by the Purchaser of such representations and warranties;</w:t>
      </w:r>
    </w:p>
    <w:p>
      <w:pPr>
        <w:spacing w:after="0" w:line="111" w:lineRule="exact"/>
        <w:rPr>
          <w:rFonts w:ascii="Times New Roman" w:cs="Times New Roman" w:eastAsia="Times New Roman" w:hAnsi="Times New Roman"/>
          <w:sz w:val="12"/>
          <w:szCs w:val="12"/>
          <w:color w:val="auto"/>
        </w:rPr>
      </w:pPr>
    </w:p>
    <w:p>
      <w:pPr>
        <w:ind w:firstLine="224"/>
        <w:spacing w:after="0" w:line="279" w:lineRule="auto"/>
        <w:tabs>
          <w:tab w:leader="none" w:pos="430" w:val="left"/>
        </w:tabs>
        <w:numPr>
          <w:ilvl w:val="1"/>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Purchaser shall have performed, satisfied and complied in all material respects with all covenants, agreements and conditions required by this Agreement to be performed, satisfied or complied with by it at or prior to the Closing; and</w:t>
      </w:r>
    </w:p>
    <w:p>
      <w:pPr>
        <w:spacing w:after="0" w:line="111" w:lineRule="exact"/>
        <w:rPr>
          <w:rFonts w:ascii="Times New Roman" w:cs="Times New Roman" w:eastAsia="Times New Roman" w:hAnsi="Times New Roman"/>
          <w:sz w:val="12"/>
          <w:szCs w:val="12"/>
          <w:color w:val="auto"/>
        </w:rPr>
      </w:pPr>
    </w:p>
    <w:p>
      <w:pPr>
        <w:ind w:left="420" w:hanging="196"/>
        <w:spacing w:after="0"/>
        <w:tabs>
          <w:tab w:leader="none" w:pos="420" w:val="left"/>
        </w:tabs>
        <w:numPr>
          <w:ilvl w:val="1"/>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delivery by the Purchaser of the items set forth in </w:t>
      </w:r>
      <w:r>
        <w:rPr>
          <w:rFonts w:ascii="Times New Roman" w:cs="Times New Roman" w:eastAsia="Times New Roman" w:hAnsi="Times New Roman"/>
          <w:sz w:val="12"/>
          <w:szCs w:val="12"/>
          <w:u w:val="single" w:color="auto"/>
          <w:color w:val="auto"/>
        </w:rPr>
        <w:t>Section 2.2(b)</w:t>
      </w:r>
      <w:r>
        <w:rPr>
          <w:rFonts w:ascii="Times New Roman" w:cs="Times New Roman" w:eastAsia="Times New Roman" w:hAnsi="Times New Roman"/>
          <w:sz w:val="12"/>
          <w:szCs w:val="12"/>
          <w:color w:val="auto"/>
        </w:rPr>
        <w:t xml:space="preserve"> of this Agreement.</w:t>
      </w:r>
    </w:p>
    <w:p>
      <w:pPr>
        <w:spacing w:after="0" w:line="150" w:lineRule="exact"/>
        <w:rPr>
          <w:rFonts w:ascii="Times New Roman" w:cs="Times New Roman" w:eastAsia="Times New Roman" w:hAnsi="Times New Roman"/>
          <w:sz w:val="12"/>
          <w:szCs w:val="12"/>
          <w:color w:val="auto"/>
        </w:rPr>
      </w:pPr>
    </w:p>
    <w:p>
      <w:pPr>
        <w:ind w:left="160" w:hanging="152"/>
        <w:spacing w:after="0"/>
        <w:tabs>
          <w:tab w:leader="none" w:pos="16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obligation of the Purchaser to consummate the Closing shall be subject to the satisfaction or valid waiver in writing by the Purchaser of the additional conditions that, on the Closing Date:</w:t>
      </w:r>
    </w:p>
    <w:p>
      <w:pPr>
        <w:spacing w:after="0" w:line="150" w:lineRule="exact"/>
        <w:rPr>
          <w:rFonts w:ascii="Times New Roman" w:cs="Times New Roman" w:eastAsia="Times New Roman" w:hAnsi="Times New Roman"/>
          <w:sz w:val="12"/>
          <w:szCs w:val="12"/>
          <w:color w:val="auto"/>
        </w:rPr>
      </w:pPr>
    </w:p>
    <w:p>
      <w:pPr>
        <w:jc w:val="both"/>
        <w:ind w:firstLine="224"/>
        <w:spacing w:after="0" w:line="257" w:lineRule="auto"/>
        <w:tabs>
          <w:tab w:leader="none" w:pos="369" w:val="left"/>
        </w:tabs>
        <w:numPr>
          <w:ilvl w:val="1"/>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representations and warranties of the Company contained in this Agreement shall be true and correct in all material respects (other than representations and warranties that are qualified as to materiality or Company Material Adverse Effect, which representations and warranties shall be true and correct in all respects) at and as of the Closing Date (except to the extent that any such representation or warranty expressly speaks as of an earlier date, in which case such representation and warranty shall be true and correct in all material respects (other than representations and warranties that are qualified as to materiality or Company Material Adverse Effect, which representations and warranties shall be true and correct in all respects) as of such earlier date), and consummation of the Closing shall constitute a reaffirmation by the Company of each of the representations, warranties and agreements of the Company contained in this Agreement as of the Closing Date, but without giving effect to consummation of the Business Combination, or as of such earlier date, as applicable;</w:t>
      </w:r>
    </w:p>
    <w:p>
      <w:pPr>
        <w:spacing w:after="0" w:line="125" w:lineRule="exact"/>
        <w:rPr>
          <w:rFonts w:ascii="Times New Roman" w:cs="Times New Roman" w:eastAsia="Times New Roman" w:hAnsi="Times New Roman"/>
          <w:sz w:val="12"/>
          <w:szCs w:val="12"/>
          <w:color w:val="auto"/>
        </w:rPr>
      </w:pPr>
    </w:p>
    <w:p>
      <w:pPr>
        <w:ind w:firstLine="224"/>
        <w:spacing w:after="0" w:line="279" w:lineRule="auto"/>
        <w:tabs>
          <w:tab w:leader="none" w:pos="393" w:val="left"/>
        </w:tabs>
        <w:numPr>
          <w:ilvl w:val="1"/>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have performed, satisfied and complied in all material respects with all covenants, agreements and conditions required by this Agreement to be performed, satisfied or complied with by it at or prior to the Closing; and</w:t>
      </w:r>
    </w:p>
    <w:p>
      <w:pPr>
        <w:spacing w:after="0" w:line="111" w:lineRule="exact"/>
        <w:rPr>
          <w:rFonts w:ascii="Times New Roman" w:cs="Times New Roman" w:eastAsia="Times New Roman" w:hAnsi="Times New Roman"/>
          <w:sz w:val="12"/>
          <w:szCs w:val="12"/>
          <w:color w:val="auto"/>
        </w:rPr>
      </w:pPr>
    </w:p>
    <w:p>
      <w:pPr>
        <w:ind w:left="440" w:hanging="216"/>
        <w:spacing w:after="0"/>
        <w:tabs>
          <w:tab w:leader="none" w:pos="440" w:val="left"/>
        </w:tabs>
        <w:numPr>
          <w:ilvl w:val="1"/>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delivery by the Company of the items set forth in </w:t>
      </w:r>
      <w:r>
        <w:rPr>
          <w:rFonts w:ascii="Times New Roman" w:cs="Times New Roman" w:eastAsia="Times New Roman" w:hAnsi="Times New Roman"/>
          <w:sz w:val="12"/>
          <w:szCs w:val="12"/>
          <w:u w:val="single" w:color="auto"/>
          <w:color w:val="auto"/>
        </w:rPr>
        <w:t>Section 2.2(a)</w:t>
      </w:r>
      <w:r>
        <w:rPr>
          <w:rFonts w:ascii="Times New Roman" w:cs="Times New Roman" w:eastAsia="Times New Roman" w:hAnsi="Times New Roman"/>
          <w:sz w:val="12"/>
          <w:szCs w:val="12"/>
          <w:color w:val="auto"/>
        </w:rPr>
        <w:t xml:space="preserve"> of this Agreement.</w:t>
      </w:r>
    </w:p>
    <w:p>
      <w:pPr>
        <w:spacing w:after="0" w:line="29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10795</wp:posOffset>
            </wp:positionV>
            <wp:extent cx="717804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00"/>
          </w:cols>
          <w:pgMar w:left="500" w:top="651" w:right="299" w:bottom="1440" w:gutter="0" w:footer="0" w:header="0"/>
        </w:sectPr>
      </w:pPr>
    </w:p>
    <w:bookmarkStart w:id="140" w:name="page141"/>
    <w:bookmarkEnd w:id="140"/>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ARTICLE 3</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REPRESENTATIONS AND WARRANTIES</w:t>
      </w:r>
    </w:p>
    <w:p>
      <w:pPr>
        <w:spacing w:after="0" w:line="150"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2"/>
          <w:szCs w:val="12"/>
          <w:color w:val="auto"/>
        </w:rPr>
        <w:t xml:space="preserve">3.1 </w:t>
      </w:r>
      <w:r>
        <w:rPr>
          <w:rFonts w:ascii="Times New Roman" w:cs="Times New Roman" w:eastAsia="Times New Roman" w:hAnsi="Times New Roman"/>
          <w:sz w:val="12"/>
          <w:szCs w:val="12"/>
          <w:b w:val="1"/>
          <w:bCs w:val="1"/>
          <w:u w:val="single" w:color="auto"/>
          <w:color w:val="auto"/>
        </w:rPr>
        <w:t>Representations and Warranties of the Company</w:t>
      </w:r>
      <w:r>
        <w:rPr>
          <w:rFonts w:ascii="Times New Roman" w:cs="Times New Roman" w:eastAsia="Times New Roman" w:hAnsi="Times New Roman"/>
          <w:sz w:val="12"/>
          <w:szCs w:val="12"/>
          <w:color w:val="auto"/>
        </w:rPr>
        <w:t>. Except as set forth in any SEC Reports filed or submitted on or prior to the date hereof, or on or prior to the Closing Date, as applicable, and provided that no representation or warranty by the Company shall apply to any statement or information in the SEC Reports that relates to changes to historical accounting policies of the Company in connection with any order, directive, guideline, comment or recommendation from the Commission or the Company’s auditor or accountant that is applicable to the Company (collectively, the “</w:t>
      </w:r>
      <w:r>
        <w:rPr>
          <w:rFonts w:ascii="Times New Roman" w:cs="Times New Roman" w:eastAsia="Times New Roman" w:hAnsi="Times New Roman"/>
          <w:sz w:val="12"/>
          <w:szCs w:val="12"/>
          <w:b w:val="1"/>
          <w:bCs w:val="1"/>
          <w:color w:val="auto"/>
        </w:rPr>
        <w:t>SEC Guidance</w:t>
      </w:r>
      <w:r>
        <w:rPr>
          <w:rFonts w:ascii="Times New Roman" w:cs="Times New Roman" w:eastAsia="Times New Roman" w:hAnsi="Times New Roman"/>
          <w:sz w:val="12"/>
          <w:szCs w:val="12"/>
          <w:color w:val="auto"/>
        </w:rPr>
        <w:t>”), nor shall any correction, amendment, revision or restatement of the Company’s financial statements due wholly or in part to the SEC Guidance or any other accounting matters, nor any other effects that relate to or arise out of, or are in connection with or in response to, any of the foregoing or any changes in accounting or disclosure related thereto, be deemed to be a breach of any representation or warranty by the Company, the Company represents and warrants to the Purchaser, as of the date of this Agreement and as of the Closing Date (or, if such representations and warranties are made with respect to a specified date, as of such date):</w:t>
      </w:r>
    </w:p>
    <w:p>
      <w:pPr>
        <w:spacing w:after="0" w:line="125" w:lineRule="exact"/>
        <w:rPr>
          <w:sz w:val="20"/>
          <w:szCs w:val="20"/>
          <w:color w:val="auto"/>
        </w:rPr>
      </w:pPr>
    </w:p>
    <w:p>
      <w:pPr>
        <w:jc w:val="both"/>
        <w:ind w:left="8" w:firstLine="208"/>
        <w:spacing w:after="0" w:line="260" w:lineRule="auto"/>
        <w:tabs>
          <w:tab w:leader="none" w:pos="388" w:val="left"/>
        </w:tabs>
        <w:numPr>
          <w:ilvl w:val="1"/>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Company (i) is validly existing and in good standing under the laws of the jurisdiction of incorporation, (ii) has the requisite power and authority to own, lease and operate its properties, to carry on its business as it is now being conducted and to enter into and perform its obligations under this Agreement and the other Transaction Documents,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w:t>
      </w:r>
      <w:r>
        <w:rPr>
          <w:rFonts w:ascii="Times New Roman" w:cs="Times New Roman" w:eastAsia="Times New Roman" w:hAnsi="Times New Roman"/>
          <w:sz w:val="12"/>
          <w:szCs w:val="12"/>
          <w:u w:val="single" w:color="auto"/>
          <w:color w:val="auto"/>
        </w:rPr>
        <w:t>clause (iii)</w:t>
      </w:r>
      <w:r>
        <w:rPr>
          <w:rFonts w:ascii="Times New Roman" w:cs="Times New Roman" w:eastAsia="Times New Roman" w:hAnsi="Times New Roman"/>
          <w:sz w:val="12"/>
          <w:szCs w:val="12"/>
          <w:color w:val="auto"/>
        </w:rPr>
        <w:t>, where the failure to be in good standing would not reasonably be expected to have a Company Material Adverse Effect.</w:t>
      </w:r>
    </w:p>
    <w:p>
      <w:pPr>
        <w:spacing w:after="0" w:line="122" w:lineRule="exact"/>
        <w:rPr>
          <w:rFonts w:ascii="Times New Roman" w:cs="Times New Roman" w:eastAsia="Times New Roman" w:hAnsi="Times New Roman"/>
          <w:sz w:val="12"/>
          <w:szCs w:val="12"/>
          <w:color w:val="auto"/>
        </w:rPr>
      </w:pPr>
    </w:p>
    <w:p>
      <w:pPr>
        <w:jc w:val="both"/>
        <w:ind w:left="8" w:firstLine="208"/>
        <w:spacing w:after="0" w:line="265" w:lineRule="auto"/>
        <w:tabs>
          <w:tab w:leader="none" w:pos="388" w:val="left"/>
        </w:tabs>
        <w:numPr>
          <w:ilvl w:val="1"/>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the Closing Date, the Purchased Shares will be duly authorized and, when issued, paid for and delivered in accordance with the applicable Transaction Documents, will be validly issued, fully paid and non-assessable, free and clear of all liens or other restrictions (other than those arising under the Transaction Documents, the Organizational Documents of the Company or applicable securities laws), and will not have been issued in violation of any preemptive or similar rights created under the Company’s Organizational Documents (as adopted on the Closing Date) or the laws of its jurisdiction of incorporation.</w:t>
      </w:r>
    </w:p>
    <w:p>
      <w:pPr>
        <w:spacing w:after="0" w:line="118" w:lineRule="exact"/>
        <w:rPr>
          <w:rFonts w:ascii="Times New Roman" w:cs="Times New Roman" w:eastAsia="Times New Roman" w:hAnsi="Times New Roman"/>
          <w:sz w:val="12"/>
          <w:szCs w:val="12"/>
          <w:color w:val="auto"/>
        </w:rPr>
      </w:pPr>
    </w:p>
    <w:p>
      <w:pPr>
        <w:jc w:val="both"/>
        <w:ind w:left="8" w:firstLine="208"/>
        <w:spacing w:after="0" w:line="260" w:lineRule="auto"/>
        <w:tabs>
          <w:tab w:leader="none" w:pos="388" w:val="left"/>
        </w:tabs>
        <w:numPr>
          <w:ilvl w:val="1"/>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Agreement and the other Transaction Documents has been duly authorized, validly executed and delivered by the Company, and assuming the due authorization, execution and delivery of the same by the Purchaser of this Agreement and the other Transaction Documents to which they are a party and the due authorization, execution and delivery of the same by all other parties to any Transaction Document, this Agreement and the other Transaction Documents shall constitute the valid and legally binding obligation of the Company, enforceable against the Company in accordance with its terms, except as such enforceability may be limited by bankruptcy, insolvency, reorganization, moratorium and similar laws affecting creditors generally and by the availability of equitable remedies.</w:t>
      </w:r>
    </w:p>
    <w:p>
      <w:pPr>
        <w:spacing w:after="0" w:line="122" w:lineRule="exact"/>
        <w:rPr>
          <w:rFonts w:ascii="Times New Roman" w:cs="Times New Roman" w:eastAsia="Times New Roman" w:hAnsi="Times New Roman"/>
          <w:sz w:val="12"/>
          <w:szCs w:val="12"/>
          <w:color w:val="auto"/>
        </w:rPr>
      </w:pPr>
    </w:p>
    <w:p>
      <w:pPr>
        <w:jc w:val="both"/>
        <w:ind w:left="8" w:firstLine="208"/>
        <w:spacing w:after="0" w:line="278" w:lineRule="auto"/>
        <w:tabs>
          <w:tab w:leader="none" w:pos="389" w:val="left"/>
        </w:tabs>
        <w:numPr>
          <w:ilvl w:val="1"/>
          <w:numId w:val="5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Assuming the accuracy of the representations and warranties of the Purchaser set forth in </w:t>
      </w:r>
      <w:r>
        <w:rPr>
          <w:rFonts w:ascii="Times New Roman" w:cs="Times New Roman" w:eastAsia="Times New Roman" w:hAnsi="Times New Roman"/>
          <w:sz w:val="11"/>
          <w:szCs w:val="11"/>
          <w:u w:val="single" w:color="auto"/>
          <w:color w:val="auto"/>
        </w:rPr>
        <w:t>Section 3.2</w:t>
      </w:r>
      <w:r>
        <w:rPr>
          <w:rFonts w:ascii="Times New Roman" w:cs="Times New Roman" w:eastAsia="Times New Roman" w:hAnsi="Times New Roman"/>
          <w:sz w:val="11"/>
          <w:szCs w:val="11"/>
          <w:color w:val="auto"/>
        </w:rPr>
        <w:t xml:space="preserve"> of this Agreement, the execution and delivery of this Agreement and the other Transaction Documents, the issuance and sale of the Purchased Shares hereunder, the compliance by the Company with all of the provisions hereof and thereof and the consummation of the transactions contemplated herein and therein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w:t>
      </w:r>
    </w:p>
    <w:p>
      <w:pPr>
        <w:ind w:left="8" w:right="20" w:hanging="8"/>
        <w:spacing w:after="0" w:line="260" w:lineRule="auto"/>
        <w:tabs>
          <w:tab w:leader="none" w:pos="191"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Organizational Documents of the Company, or (iii) any statute or any judgment, order, rule or regulation of any court or governmental agency or body, domestic or foreign, having jurisdiction over the Company or any of its properties that, in the case of </w:t>
      </w:r>
      <w:r>
        <w:rPr>
          <w:rFonts w:ascii="Times New Roman" w:cs="Times New Roman" w:eastAsia="Times New Roman" w:hAnsi="Times New Roman"/>
          <w:sz w:val="12"/>
          <w:szCs w:val="12"/>
          <w:u w:val="single" w:color="auto"/>
          <w:color w:val="auto"/>
        </w:rPr>
        <w:t>clauses (i)</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(iii)</w:t>
      </w:r>
      <w:r>
        <w:rPr>
          <w:rFonts w:ascii="Times New Roman" w:cs="Times New Roman" w:eastAsia="Times New Roman" w:hAnsi="Times New Roman"/>
          <w:sz w:val="12"/>
          <w:szCs w:val="12"/>
          <w:color w:val="auto"/>
        </w:rPr>
        <w:t>, would reasonably be expected to have a Company Material Adverse Effect.</w:t>
      </w:r>
    </w:p>
    <w:p>
      <w:pPr>
        <w:spacing w:after="0" w:line="26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41" w:name="page142"/>
    <w:bookmarkEnd w:id="141"/>
    <w:p>
      <w:pPr>
        <w:jc w:val="both"/>
        <w:ind w:firstLine="208"/>
        <w:spacing w:after="0" w:line="256" w:lineRule="auto"/>
        <w:tabs>
          <w:tab w:leader="none" w:pos="373"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Assuming the accuracy of the representations and warranties of the Purchaser set forth in </w:t>
      </w:r>
      <w:r>
        <w:rPr>
          <w:rFonts w:ascii="Times New Roman" w:cs="Times New Roman" w:eastAsia="Times New Roman" w:hAnsi="Times New Roman"/>
          <w:sz w:val="12"/>
          <w:szCs w:val="12"/>
          <w:u w:val="single" w:color="auto"/>
          <w:color w:val="auto"/>
        </w:rPr>
        <w:t>Section 3.2</w:t>
      </w:r>
      <w:r>
        <w:rPr>
          <w:rFonts w:ascii="Times New Roman" w:cs="Times New Roman" w:eastAsia="Times New Roman" w:hAnsi="Times New Roman"/>
          <w:sz w:val="12"/>
          <w:szCs w:val="12"/>
          <w:color w:val="auto"/>
        </w:rPr>
        <w:t xml:space="preserve"> of this Agreement, the Company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of this Agreement or the other Transaction Documents (including, without limitation, the issuance of the Purchased Shares), other than (i) filings required by applicable state securities laws, (ii) the filing of the Registration Statement pursuant to </w:t>
      </w:r>
      <w:r>
        <w:rPr>
          <w:rFonts w:ascii="Times New Roman" w:cs="Times New Roman" w:eastAsia="Times New Roman" w:hAnsi="Times New Roman"/>
          <w:sz w:val="12"/>
          <w:szCs w:val="12"/>
          <w:u w:val="single" w:color="auto"/>
          <w:color w:val="auto"/>
        </w:rPr>
        <w:t>Section 4.10</w:t>
      </w:r>
      <w:r>
        <w:rPr>
          <w:rFonts w:ascii="Times New Roman" w:cs="Times New Roman" w:eastAsia="Times New Roman" w:hAnsi="Times New Roman"/>
          <w:sz w:val="12"/>
          <w:szCs w:val="12"/>
          <w:color w:val="auto"/>
        </w:rPr>
        <w:t xml:space="preserve"> of this Agreement, (iii) filings required by the Commission, (iv) filings required by the Stock Exchange, including with respect to obtaining shareholder approval, (v) filings and approvals required to consummate the Business Combination as provided under the Business Combination Agreement, including those required in connection with the Domestication, (vi) the filing of notification under the Hart-Scott-Rodino Antitrust Improvements Act of 1976, if applicable, and (vii) those filings, the failure of which to obtain would not have a Company Material Adverse Effect.</w:t>
      </w:r>
    </w:p>
    <w:p>
      <w:pPr>
        <w:spacing w:after="0" w:line="124" w:lineRule="exact"/>
        <w:rPr>
          <w:rFonts w:ascii="Times New Roman" w:cs="Times New Roman" w:eastAsia="Times New Roman" w:hAnsi="Times New Roman"/>
          <w:sz w:val="12"/>
          <w:szCs w:val="12"/>
          <w:color w:val="auto"/>
        </w:rPr>
      </w:pPr>
    </w:p>
    <w:p>
      <w:pPr>
        <w:ind w:firstLine="208"/>
        <w:spacing w:after="0" w:line="279" w:lineRule="auto"/>
        <w:tabs>
          <w:tab w:leader="none" w:pos="367"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for such matters as have not had and would not have a Company Material Adverse Effect, there is no (i) Action, Proceeding or arbitration before a governmental authority or arbitrator pending, or, to the knowledge of the Company, threatened in writing against the Company or (ii) judgment, decree, injunction, ruling or order of any governmental authority or arbitrator outstanding against the Company.</w:t>
      </w:r>
    </w:p>
    <w:p>
      <w:pPr>
        <w:spacing w:after="0" w:line="111" w:lineRule="exact"/>
        <w:rPr>
          <w:rFonts w:ascii="Times New Roman" w:cs="Times New Roman" w:eastAsia="Times New Roman" w:hAnsi="Times New Roman"/>
          <w:sz w:val="12"/>
          <w:szCs w:val="12"/>
          <w:color w:val="auto"/>
        </w:rPr>
      </w:pPr>
    </w:p>
    <w:p>
      <w:pPr>
        <w:ind w:right="20" w:firstLine="208"/>
        <w:spacing w:after="0" w:line="279" w:lineRule="auto"/>
        <w:tabs>
          <w:tab w:leader="none" w:pos="382"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Assuming the accuracy of the Purchaser’s representations and warranties set forth in </w:t>
      </w:r>
      <w:r>
        <w:rPr>
          <w:rFonts w:ascii="Times New Roman" w:cs="Times New Roman" w:eastAsia="Times New Roman" w:hAnsi="Times New Roman"/>
          <w:sz w:val="12"/>
          <w:szCs w:val="12"/>
          <w:u w:val="single" w:color="auto"/>
          <w:color w:val="auto"/>
        </w:rPr>
        <w:t>Section 3.2</w:t>
      </w:r>
      <w:r>
        <w:rPr>
          <w:rFonts w:ascii="Times New Roman" w:cs="Times New Roman" w:eastAsia="Times New Roman" w:hAnsi="Times New Roman"/>
          <w:sz w:val="12"/>
          <w:szCs w:val="12"/>
          <w:color w:val="auto"/>
        </w:rPr>
        <w:t xml:space="preserve"> of this Agreement, no registration under the Securities Act or any state securities (or Blue Sky) laws is required for the offer and sale of the Purchased Shares by the Company to the Purchaser.</w:t>
      </w:r>
    </w:p>
    <w:p>
      <w:pPr>
        <w:spacing w:after="0" w:line="111" w:lineRule="exact"/>
        <w:rPr>
          <w:rFonts w:ascii="Times New Roman" w:cs="Times New Roman" w:eastAsia="Times New Roman" w:hAnsi="Times New Roman"/>
          <w:sz w:val="12"/>
          <w:szCs w:val="12"/>
          <w:color w:val="auto"/>
        </w:rPr>
      </w:pPr>
    </w:p>
    <w:p>
      <w:pPr>
        <w:jc w:val="both"/>
        <w:ind w:firstLine="208"/>
        <w:spacing w:after="0" w:line="256" w:lineRule="auto"/>
        <w:tabs>
          <w:tab w:leader="none" w:pos="387"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person acting on its behalf has engaged in any form of general solicitation or general advertising (within the meaning of Regulation D) in connection with any offer or sale of the Purchased Shares. The Purchased Shares are not being offered in a manner involving a public offering under, or in a distribution in violation of, the Securities Act or any state securities laws. Neither the Company nor any person acting on the Company’s behalf has, directly or indirectly, at any time within the past six (6) months, made any offer or sale of any security or solicitation of any offer to buy any security under circumstances that would cause the offering of the Purchased Shares pursuant to this Agreement to be integrated with prior offerings by the Company for purposes of the Securities Act or any applicable shareholder approval provisions. Neither the Company nor any person acting on the Company’s behalf has offered or sold any securities, or has taken any other action, which would reasonably be expected to subject the offer, issuance or sale of the Purchased Shares, as contemplated hereby, to the registration provisions of the Securities Act.</w:t>
      </w:r>
    </w:p>
    <w:p>
      <w:pPr>
        <w:spacing w:after="0" w:line="124" w:lineRule="exact"/>
        <w:rPr>
          <w:rFonts w:ascii="Times New Roman" w:cs="Times New Roman" w:eastAsia="Times New Roman" w:hAnsi="Times New Roman"/>
          <w:sz w:val="12"/>
          <w:szCs w:val="12"/>
          <w:color w:val="auto"/>
        </w:rPr>
      </w:pPr>
    </w:p>
    <w:p>
      <w:pPr>
        <w:ind w:firstLine="208"/>
        <w:spacing w:after="0" w:line="279" w:lineRule="auto"/>
        <w:tabs>
          <w:tab w:leader="none" w:pos="365"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would not reasonably be expected to be material to the Company, the Company is in all material respects in compliance with applicable provisions of the Sarbanes-Oxley Act of 2002, as amended, and the rules and regulations thereunder.</w:t>
      </w:r>
    </w:p>
    <w:p>
      <w:pPr>
        <w:spacing w:after="0" w:line="107" w:lineRule="exact"/>
        <w:rPr>
          <w:rFonts w:ascii="Times New Roman" w:cs="Times New Roman" w:eastAsia="Times New Roman" w:hAnsi="Times New Roman"/>
          <w:sz w:val="12"/>
          <w:szCs w:val="12"/>
          <w:color w:val="auto"/>
        </w:rPr>
      </w:pPr>
    </w:p>
    <w:p>
      <w:pPr>
        <w:ind w:right="20" w:firstLine="208"/>
        <w:spacing w:after="0" w:line="286" w:lineRule="auto"/>
        <w:tabs>
          <w:tab w:leader="none" w:pos="358"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the Closing Date, the Series A Common Stock will be eligible for clearing through The Depository Trust Company (“</w:t>
      </w:r>
      <w:r>
        <w:rPr>
          <w:rFonts w:ascii="Times New Roman" w:cs="Times New Roman" w:eastAsia="Times New Roman" w:hAnsi="Times New Roman"/>
          <w:sz w:val="12"/>
          <w:szCs w:val="12"/>
          <w:b w:val="1"/>
          <w:bCs w:val="1"/>
          <w:color w:val="auto"/>
        </w:rPr>
        <w:t>DTC</w:t>
      </w:r>
      <w:r>
        <w:rPr>
          <w:rFonts w:ascii="Times New Roman" w:cs="Times New Roman" w:eastAsia="Times New Roman" w:hAnsi="Times New Roman"/>
          <w:sz w:val="12"/>
          <w:szCs w:val="12"/>
          <w:color w:val="auto"/>
        </w:rPr>
        <w:t>”), through its Deposit/Withdrawal At Custodian (DWAC) system, and the Company is eligible and participating in the Direct Registration System (DRS) of DTC with respect to the Series A Common Stock. The Company’s Transfer Agent is a participant in DTC’s Fast Automated Securities Transfer Program.</w:t>
      </w:r>
    </w:p>
    <w:p>
      <w:pPr>
        <w:spacing w:after="0" w:line="107" w:lineRule="exact"/>
        <w:rPr>
          <w:rFonts w:ascii="Times New Roman" w:cs="Times New Roman" w:eastAsia="Times New Roman" w:hAnsi="Times New Roman"/>
          <w:sz w:val="12"/>
          <w:szCs w:val="12"/>
          <w:color w:val="auto"/>
        </w:rPr>
      </w:pPr>
    </w:p>
    <w:p>
      <w:pPr>
        <w:ind w:left="380" w:hanging="172"/>
        <w:spacing w:after="0"/>
        <w:tabs>
          <w:tab w:leader="none" w:pos="38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is solely responsible for the payment of any fees, costs, expenses and commissions of the Placement Agent and Affiliates of the Company.</w:t>
      </w:r>
    </w:p>
    <w:p>
      <w:pPr>
        <w:spacing w:after="0" w:line="146" w:lineRule="exact"/>
        <w:rPr>
          <w:rFonts w:ascii="Times New Roman" w:cs="Times New Roman" w:eastAsia="Times New Roman" w:hAnsi="Times New Roman"/>
          <w:sz w:val="12"/>
          <w:szCs w:val="12"/>
          <w:color w:val="auto"/>
        </w:rPr>
      </w:pPr>
    </w:p>
    <w:p>
      <w:pPr>
        <w:jc w:val="both"/>
        <w:ind w:firstLine="208"/>
        <w:spacing w:after="0" w:line="254" w:lineRule="auto"/>
        <w:tabs>
          <w:tab w:leader="none" w:pos="36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their respective filing dates, or, if amended, as of the date of such amendment, which shall be deemed to supersede such original filing, all reports required to be filed by the Company with the Commission (the “</w:t>
      </w:r>
      <w:r>
        <w:rPr>
          <w:rFonts w:ascii="Times New Roman" w:cs="Times New Roman" w:eastAsia="Times New Roman" w:hAnsi="Times New Roman"/>
          <w:sz w:val="12"/>
          <w:szCs w:val="12"/>
          <w:b w:val="1"/>
          <w:bCs w:val="1"/>
          <w:color w:val="auto"/>
        </w:rPr>
        <w:t>SEC</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Reports</w:t>
      </w:r>
      <w:r>
        <w:rPr>
          <w:rFonts w:ascii="Times New Roman" w:cs="Times New Roman" w:eastAsia="Times New Roman" w:hAnsi="Times New Roman"/>
          <w:sz w:val="12"/>
          <w:szCs w:val="12"/>
          <w:color w:val="auto"/>
        </w:rPr>
        <w:t>”) complied in all material respects with the applicable requirements of the Securities Act and the Exchange Act, and the rules and regulations of the Commission promulgated thereunder, and none of the SEC Reports, when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filed, or, if amended, as of the date of such amendment, which shall be deemed to supersede such original filing, contained any untrue statement of a material fact or omitted to state a material fact required to be stated therein or necessary in order to make the statements therein, in the light of the circumstances under which they were made, not misleading. As of the date hereof, there are no material outstanding or unresolved comments in comment letters received by the Company from the staff of the Division of Corporation Finance of the Commission with respect to any of the SEC Reports. The financial statements of the Company included in the SEC Reports comply in all material respects with applicable accounting requirements and the rules and regulations of the Commission with respect thereto as in effect at the time of filing, or, if amended, as of the date of such amendment, which shall be deemed to supersede such original filing, and fairly present in all material respects the financial position of the Company as of and for the dates thereof and the results of operations and cash flows for the periods then ended, subject, in the case of unaudited statements, to normal, year-end audit adjustments. Notwithstanding the foregoing, this representation and warranty shall not apply to any statement or information in the SEC Reports that relates or arises from the topics referenced in the SEC Guidance, and any restatement, revision or other modification to the SEC Reports (including any financial statements contained therein) relating to or arising from the SEC Guidance shall not be deemed material noncompliance for purposes of this Agreement or the other Transaction Documents.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2" w:name="page143"/>
    <w:bookmarkEnd w:id="142"/>
    <w:p>
      <w:pPr>
        <w:jc w:val="both"/>
        <w:ind w:firstLine="208"/>
        <w:spacing w:after="0" w:line="253" w:lineRule="auto"/>
        <w:tabs>
          <w:tab w:leader="none" w:pos="423"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the date hereof, the authorized share capital of the Company is $22,100 divided into 200,000,000 Class A Ordinary Shares, 20,000,000 Class B ordinary shares, par value $0.0001 per share (the “</w:t>
      </w:r>
      <w:r>
        <w:rPr>
          <w:rFonts w:ascii="Times New Roman" w:cs="Times New Roman" w:eastAsia="Times New Roman" w:hAnsi="Times New Roman"/>
          <w:sz w:val="12"/>
          <w:szCs w:val="12"/>
          <w:b w:val="1"/>
          <w:bCs w:val="1"/>
          <w:color w:val="auto"/>
        </w:rPr>
        <w:t>Class B Ordinary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Shares</w:t>
      </w:r>
      <w:r>
        <w:rPr>
          <w:rFonts w:ascii="Times New Roman" w:cs="Times New Roman" w:eastAsia="Times New Roman" w:hAnsi="Times New Roman"/>
          <w:sz w:val="12"/>
          <w:szCs w:val="12"/>
          <w:color w:val="auto"/>
        </w:rPr>
        <w:t>” and, together with the Class A Ordinary Shares, the “</w:t>
      </w:r>
      <w:r>
        <w:rPr>
          <w:rFonts w:ascii="Times New Roman" w:cs="Times New Roman" w:eastAsia="Times New Roman" w:hAnsi="Times New Roman"/>
          <w:sz w:val="12"/>
          <w:szCs w:val="12"/>
          <w:b w:val="1"/>
          <w:bCs w:val="1"/>
          <w:color w:val="auto"/>
        </w:rPr>
        <w:t>Ordinary Shares</w:t>
      </w:r>
      <w:r>
        <w:rPr>
          <w:rFonts w:ascii="Times New Roman" w:cs="Times New Roman" w:eastAsia="Times New Roman" w:hAnsi="Times New Roman"/>
          <w:sz w:val="12"/>
          <w:szCs w:val="12"/>
          <w:color w:val="auto"/>
        </w:rPr>
        <w:t>”) and 1,000,000 preference shares of a par value of $0.0001 (the “</w:t>
      </w:r>
      <w:r>
        <w:rPr>
          <w:rFonts w:ascii="Times New Roman" w:cs="Times New Roman" w:eastAsia="Times New Roman" w:hAnsi="Times New Roman"/>
          <w:sz w:val="12"/>
          <w:szCs w:val="12"/>
          <w:b w:val="1"/>
          <w:bCs w:val="1"/>
          <w:color w:val="auto"/>
        </w:rPr>
        <w:t>Preference Shares</w:t>
      </w:r>
      <w:r>
        <w:rPr>
          <w:rFonts w:ascii="Times New Roman" w:cs="Times New Roman" w:eastAsia="Times New Roman" w:hAnsi="Times New Roman"/>
          <w:sz w:val="12"/>
          <w:szCs w:val="12"/>
          <w:color w:val="auto"/>
        </w:rPr>
        <w:t>”). As of the date hereof and immediately prior to the Domestication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prior to giving effect to the Closing and the Business Combination: (i) 27,600,000 Class A Ordinary Shares, 6,900,000 Class B Ordinary Shares and no Preference Shares were issued and outstanding; and (ii) 13,800,000 warrants, each exercisable to purchase one Class A Ordinary Share at $11.50 per share, and 6,800,000 private placement warrants (7,000,000 of which will be outstanding at the closing of the Business Combination), each exercisable to purchase one Class A Ordinary Share at $11.50 per share (together “</w:t>
      </w:r>
      <w:r>
        <w:rPr>
          <w:rFonts w:ascii="Times New Roman" w:cs="Times New Roman" w:eastAsia="Times New Roman" w:hAnsi="Times New Roman"/>
          <w:sz w:val="12"/>
          <w:szCs w:val="12"/>
          <w:b w:val="1"/>
          <w:bCs w:val="1"/>
          <w:color w:val="auto"/>
        </w:rPr>
        <w:t>Outstanding Warrants</w:t>
      </w:r>
      <w:r>
        <w:rPr>
          <w:rFonts w:ascii="Times New Roman" w:cs="Times New Roman" w:eastAsia="Times New Roman" w:hAnsi="Times New Roman"/>
          <w:sz w:val="12"/>
          <w:szCs w:val="12"/>
          <w:color w:val="auto"/>
        </w:rPr>
        <w:t>”), were issued and outstanding. No Outstanding Warrants are exercisable on or prior to the closing of the Business Combination. All (A) issued and outstanding Ordinary Shares have been duly authorized and validly issued, are fully paid and non-assessable and are not subject to preemptive rights; and (B) Outstanding Warrants have been duly authorized and validly issued, are fully paid and are not subject to preemptive rights. As of the date hereof, except as set forth above and pursuant to the Business Combination Agreement, there are no outstanding options, warrants or other rights to subscribe for, purchase or acquire from the Company any Ordinary Shares or other equity interests in the Company (collectively, “</w:t>
      </w:r>
      <w:r>
        <w:rPr>
          <w:rFonts w:ascii="Times New Roman" w:cs="Times New Roman" w:eastAsia="Times New Roman" w:hAnsi="Times New Roman"/>
          <w:sz w:val="12"/>
          <w:szCs w:val="12"/>
          <w:b w:val="1"/>
          <w:bCs w:val="1"/>
          <w:color w:val="auto"/>
        </w:rPr>
        <w:t>Equity Interests</w:t>
      </w:r>
      <w:r>
        <w:rPr>
          <w:rFonts w:ascii="Times New Roman" w:cs="Times New Roman" w:eastAsia="Times New Roman" w:hAnsi="Times New Roman"/>
          <w:sz w:val="12"/>
          <w:szCs w:val="12"/>
          <w:color w:val="auto"/>
        </w:rPr>
        <w:t>”) or securities convertible into or exchangeable or exercisable for Equity Interests. Except as set forth in the Business Combination Agreement, as of the date hereof, the Company has no subsidiaries and does not own, directly or indirectly, interests or investments (whether equity or debt) in any person, whether incorporated or unincorporated. There are no shareholder agreements, voting trusts or other agreements or understandings to which the Company is a party or by which it is bound relating to the voting of any Equity Interests, other than (A) as set forth in the SEC Reports and (B) as contemplated by the Business Combination Agreement. Except as described in the SEC Reports, there are no securities or instruments issued by or to which the Company is a party containing anti-dilution or similar provisions that will be triggered by the issuance of the Purchased Shares.</w:t>
      </w:r>
    </w:p>
    <w:p>
      <w:pPr>
        <w:spacing w:after="0" w:line="130" w:lineRule="exact"/>
        <w:rPr>
          <w:rFonts w:ascii="Times New Roman" w:cs="Times New Roman" w:eastAsia="Times New Roman" w:hAnsi="Times New Roman"/>
          <w:sz w:val="12"/>
          <w:szCs w:val="12"/>
          <w:color w:val="auto"/>
        </w:rPr>
      </w:pPr>
    </w:p>
    <w:p>
      <w:pPr>
        <w:jc w:val="both"/>
        <w:ind w:firstLine="208"/>
        <w:spacing w:after="0" w:line="257" w:lineRule="auto"/>
        <w:tabs>
          <w:tab w:leader="none" w:pos="391"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issued and outstanding Class A Ordinary Shares are registered pursuant to Section 12(b) of the Exchange Act, and are listed for trading on the Stock Exchange under the symbol “CGCT.” Except as set forth in the SEC Reports or as contemplated by the Business Combination Agreement: (i) there is no suit, Action, Proceeding or investigation pending or, to the knowledge of the Company, threatened against the Company by the Stock Exchange or the Commission with respect to any intention by such entity to deregister the Class A Ordinary Shares or prohibit or terminate the listing of the Class A Ordinary Shares on the Stock Exchange and (ii) the Company has taken no action that is designed to terminate the registration of the Class A Ordinary Shares under the Exchange Act. Following the Domestication and upon consummation of the Business Combination, the shares of Series A Common Stock are expected to be registered under the Exchange Act and listed for trading on the Stock Exchange.</w:t>
      </w:r>
    </w:p>
    <w:p>
      <w:pPr>
        <w:spacing w:after="0" w:line="125" w:lineRule="exact"/>
        <w:rPr>
          <w:rFonts w:ascii="Times New Roman" w:cs="Times New Roman" w:eastAsia="Times New Roman" w:hAnsi="Times New Roman"/>
          <w:sz w:val="12"/>
          <w:szCs w:val="12"/>
          <w:color w:val="auto"/>
        </w:rPr>
      </w:pPr>
    </w:p>
    <w:p>
      <w:pPr>
        <w:ind w:right="20" w:firstLine="208"/>
        <w:spacing w:after="0" w:line="279" w:lineRule="auto"/>
        <w:tabs>
          <w:tab w:leader="none" w:pos="391"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knowledge of the Company, the Company is not, and immediately after receipt of payment for the Purchased Shares and consummation of the Business Combination, will not be, an “investment company” within the meaning of the Investment Company Act of 1940, as amended.</w:t>
      </w:r>
    </w:p>
    <w:p>
      <w:pPr>
        <w:spacing w:after="0" w:line="111" w:lineRule="exact"/>
        <w:rPr>
          <w:rFonts w:ascii="Times New Roman" w:cs="Times New Roman" w:eastAsia="Times New Roman" w:hAnsi="Times New Roman"/>
          <w:sz w:val="12"/>
          <w:szCs w:val="12"/>
          <w:color w:val="auto"/>
        </w:rPr>
      </w:pPr>
    </w:p>
    <w:p>
      <w:pPr>
        <w:jc w:val="both"/>
        <w:ind w:firstLine="208"/>
        <w:spacing w:after="0" w:line="260" w:lineRule="auto"/>
        <w:tabs>
          <w:tab w:leader="none" w:pos="395"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to the knowledge of the Company, any agent or other person acting on behalf of the Company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made by any person acting on its behalf of which the Company is aware) which is in violation of law or (iv) violated in any material respect any provision of the Foreign Corrupt Practices Act of 1977, as amended.</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43" w:name="page144"/>
    <w:bookmarkEnd w:id="143"/>
    <w:p>
      <w:pPr>
        <w:ind w:left="380" w:hanging="172"/>
        <w:spacing w:after="0"/>
        <w:tabs>
          <w:tab w:leader="none" w:pos="38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accounting firm is CBIZ CPAs P.C. To the knowledge and belief of the Company, such accounting firm is a registered public accounting firm as required by the Exchange Act.</w:t>
      </w:r>
    </w:p>
    <w:p>
      <w:pPr>
        <w:spacing w:after="0" w:line="150" w:lineRule="exact"/>
        <w:rPr>
          <w:rFonts w:ascii="Times New Roman" w:cs="Times New Roman" w:eastAsia="Times New Roman" w:hAnsi="Times New Roman"/>
          <w:sz w:val="12"/>
          <w:szCs w:val="12"/>
          <w:color w:val="auto"/>
        </w:rPr>
      </w:pPr>
    </w:p>
    <w:p>
      <w:pPr>
        <w:ind w:right="20" w:firstLine="208"/>
        <w:spacing w:after="0" w:line="279" w:lineRule="auto"/>
        <w:tabs>
          <w:tab w:leader="none" w:pos="37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are no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w:t>
      </w:r>
    </w:p>
    <w:p>
      <w:pPr>
        <w:spacing w:after="0" w:line="111" w:lineRule="exact"/>
        <w:rPr>
          <w:rFonts w:ascii="Times New Roman" w:cs="Times New Roman" w:eastAsia="Times New Roman" w:hAnsi="Times New Roman"/>
          <w:sz w:val="12"/>
          <w:szCs w:val="12"/>
          <w:color w:val="auto"/>
        </w:rPr>
      </w:pPr>
    </w:p>
    <w:p>
      <w:pPr>
        <w:jc w:val="both"/>
        <w:ind w:firstLine="208"/>
        <w:spacing w:after="0" w:line="257" w:lineRule="auto"/>
        <w:tabs>
          <w:tab w:leader="none" w:pos="371"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acknowledges and agrees that the Purchaser is acting solely in the capacity of an arm’s length purchaser with respect to the Transaction Documents and the transactions contemplated thereby. The Company further acknowledges that the Purchaser is not acting as a financial advisor or fiduciary of the Company (or in any similar capacity) with respect to the Transaction Documents and the transactions contemplated thereby and any advice given by the Purchaser or any of its representatives or agents in connection with the Transaction Documents and the transactions contemplated thereby is merely incidental to the Purchaser’s purchase of the Purchased Shares. The Company further represents to the Purchaser that the Company’s decision to enter into this Agreement and the other Transaction Documents has been based solely on the independent evaluation of the transactions contemplated hereby by the Company and its representatives.</w:t>
      </w:r>
    </w:p>
    <w:p>
      <w:pPr>
        <w:spacing w:after="0" w:line="125" w:lineRule="exact"/>
        <w:rPr>
          <w:rFonts w:ascii="Times New Roman" w:cs="Times New Roman" w:eastAsia="Times New Roman" w:hAnsi="Times New Roman"/>
          <w:sz w:val="12"/>
          <w:szCs w:val="12"/>
          <w:color w:val="auto"/>
        </w:rPr>
      </w:pPr>
    </w:p>
    <w:p>
      <w:pPr>
        <w:ind w:right="20" w:firstLine="208"/>
        <w:spacing w:after="0" w:line="279" w:lineRule="auto"/>
        <w:tabs>
          <w:tab w:leader="none" w:pos="358"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not, and to its knowledge no one acting on its behalf has, taken, directly or indirectly, any action designed to cause or to result in the stabilization or manipulation of the price of any security of the Company to facilitate the sale or resale of any of the Purchased Shares.</w:t>
      </w:r>
    </w:p>
    <w:p>
      <w:pPr>
        <w:spacing w:after="0" w:line="111" w:lineRule="exact"/>
        <w:rPr>
          <w:rFonts w:ascii="Times New Roman" w:cs="Times New Roman" w:eastAsia="Times New Roman" w:hAnsi="Times New Roman"/>
          <w:sz w:val="12"/>
          <w:szCs w:val="12"/>
          <w:color w:val="auto"/>
        </w:rPr>
      </w:pPr>
    </w:p>
    <w:p>
      <w:pPr>
        <w:jc w:val="both"/>
        <w:ind w:firstLine="208"/>
        <w:spacing w:after="0" w:line="257" w:lineRule="auto"/>
        <w:tabs>
          <w:tab w:leader="none" w:pos="386"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Company acknowledges that the Purchaser and the Placement Agent will rely on the acknowledgments, understandings, agreements, representations and warranties of Company contained in this Agreement or any agreements or documents issued in connection herewith; provided, however, that the foregoing clause of this clause (v) shall not give the Purchaser or the Placement Agent any rights other than those expressly set forth herein. Prior to the Closing. Company agrees to promptly notify the Purchaser and the Placement Agent if it becomes aware that any of the acknowledgments, understandings, agreements, representations and warranties of Company set forth herein are no longer accurate in all material respects. Company acknowledges and agrees that the sale by Company of Purchased Shares to the Purchaser will constitute a reaffirmation of the acknowledgments, understandings, agreements, representations and warranties herein (as modified by any such notice) by Company as of the time of such purchase.</w:t>
      </w:r>
    </w:p>
    <w:p>
      <w:pPr>
        <w:spacing w:after="0" w:line="1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 xml:space="preserve">3.2 </w:t>
      </w:r>
      <w:r>
        <w:rPr>
          <w:rFonts w:ascii="Times New Roman" w:cs="Times New Roman" w:eastAsia="Times New Roman" w:hAnsi="Times New Roman"/>
          <w:sz w:val="12"/>
          <w:szCs w:val="12"/>
          <w:b w:val="1"/>
          <w:bCs w:val="1"/>
          <w:u w:val="single" w:color="auto"/>
          <w:color w:val="auto"/>
        </w:rPr>
        <w:t>Representations and Warranties of the Purchaser</w:t>
      </w:r>
      <w:r>
        <w:rPr>
          <w:rFonts w:ascii="Times New Roman" w:cs="Times New Roman" w:eastAsia="Times New Roman" w:hAnsi="Times New Roman"/>
          <w:sz w:val="12"/>
          <w:szCs w:val="12"/>
          <w:color w:val="auto"/>
        </w:rPr>
        <w:t>. The Purchaser hereby represents and warrants as of the date of this Agreement and as of the Closing Date (or, if such representations and warranties are made with respect to a specified date, as of such date):</w:t>
      </w:r>
    </w:p>
    <w:p>
      <w:pPr>
        <w:spacing w:after="0" w:line="107" w:lineRule="exact"/>
        <w:rPr>
          <w:sz w:val="20"/>
          <w:szCs w:val="20"/>
          <w:color w:val="auto"/>
        </w:rPr>
      </w:pPr>
    </w:p>
    <w:p>
      <w:pPr>
        <w:ind w:right="20" w:firstLine="208"/>
        <w:spacing w:after="0" w:line="279" w:lineRule="auto"/>
        <w:tabs>
          <w:tab w:leader="none" w:pos="379"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Purchaser is either an individual or an entity duly incorporated or formed, validly existing and in good standing under the laws of its jurisdiction of formation or incorporation with the requisite power and authority to enter into and perform its obligations under the Transaction Documents.</w:t>
      </w:r>
    </w:p>
    <w:p>
      <w:pPr>
        <w:spacing w:after="0" w:line="111" w:lineRule="exact"/>
        <w:rPr>
          <w:rFonts w:ascii="Times New Roman" w:cs="Times New Roman" w:eastAsia="Times New Roman" w:hAnsi="Times New Roman"/>
          <w:sz w:val="12"/>
          <w:szCs w:val="12"/>
          <w:color w:val="auto"/>
        </w:rPr>
      </w:pPr>
    </w:p>
    <w:p>
      <w:pPr>
        <w:jc w:val="both"/>
        <w:ind w:firstLine="208"/>
        <w:spacing w:after="0" w:line="265" w:lineRule="auto"/>
        <w:tabs>
          <w:tab w:leader="none" w:pos="39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Transaction Document to which it is a party has been duly authorized, executed and delivered by the Purchaser, and assuming the due authorization, execution and delivery of the same by the Company, each Transaction Document to which the Purchaser is a party shall constitute the valid and legally binding obligation of the Purchaser, enforceable against the Purchaser in accordance with its terms, except as such enforceability may be limited by bankruptcy, insolvency, reorganization, moratorium and similar laws affecting creditors generally and by the availability of equitable remedies.</w:t>
      </w:r>
    </w:p>
    <w:p>
      <w:pPr>
        <w:spacing w:after="0" w:line="118" w:lineRule="exact"/>
        <w:rPr>
          <w:rFonts w:ascii="Times New Roman" w:cs="Times New Roman" w:eastAsia="Times New Roman" w:hAnsi="Times New Roman"/>
          <w:sz w:val="12"/>
          <w:szCs w:val="12"/>
          <w:color w:val="auto"/>
        </w:rPr>
      </w:pPr>
    </w:p>
    <w:p>
      <w:pPr>
        <w:jc w:val="both"/>
        <w:ind w:firstLine="208"/>
        <w:spacing w:after="0" w:line="256" w:lineRule="auto"/>
        <w:tabs>
          <w:tab w:leader="none" w:pos="381"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execution, delivery and performance of the Transaction Documents, including the purchase of the Purchased Shares hereunder, the compliance by the Purchaser with all of the provisions of the Transaction Documents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Purchaser pursuant to the terms of (i) any indenture, mortgage, deed of trust, loan agreement, lease, license or other agreement or instrument to which the Purchaser is a party or by which the Purchaser is bound or to which any of the property or assets of the Purchaser is subject; (ii) the Organizational Documents of the Purchaser; or (iii) any statute or any judgment, order, rule or regulation of any court or governmental agency or body, domestic or foreign, having jurisdiction over the Purchaser or any of its properties that in the case of clauses (i) and (iii), would reasonably be expected to have a material adverse effect on the Purchaser’s ability to consummate the transactions contemplated by the Transaction Documents, including the purchase of the Purchased Shares.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4" w:name="page145"/>
    <w:bookmarkEnd w:id="144"/>
    <w:p>
      <w:pPr>
        <w:jc w:val="both"/>
        <w:ind w:left="8" w:firstLine="208"/>
        <w:spacing w:after="0" w:line="255" w:lineRule="auto"/>
        <w:tabs>
          <w:tab w:leader="none" w:pos="390" w:val="left"/>
        </w:tabs>
        <w:numPr>
          <w:ilvl w:val="1"/>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At the time the Purchaser was offered the Purchased Shares, it was, and as of the date hereof it is (i) an “accredited investor” (within the meaning of Rule 501(a) under the Securities Act), satisfying the applicable requirements set forth on </w:t>
      </w:r>
      <w:r>
        <w:rPr>
          <w:rFonts w:ascii="Times New Roman" w:cs="Times New Roman" w:eastAsia="Times New Roman" w:hAnsi="Times New Roman"/>
          <w:sz w:val="12"/>
          <w:szCs w:val="12"/>
          <w:u w:val="single" w:color="auto"/>
          <w:color w:val="auto"/>
        </w:rPr>
        <w:t>Annex [A/B]</w:t>
      </w:r>
      <w:r>
        <w:rPr>
          <w:rFonts w:ascii="Times New Roman" w:cs="Times New Roman" w:eastAsia="Times New Roman" w:hAnsi="Times New Roman"/>
          <w:sz w:val="12"/>
          <w:szCs w:val="12"/>
          <w:color w:val="auto"/>
        </w:rPr>
        <w:t xml:space="preserve"> hereto, (ii) acquiring the Purchased Shares only for its own account and not for the account of others, or if the Purchaser is subscribing for the Purchased Shares as a fiduciary or agent for one or more investor accounts, each owner of such account is an “accredited investor” (within the meaning of Rule 501(a) under the Securities Act) and the Purchaser has full investment discretion with respect to each such account, and the full power and authority to make the acknowledgements, representations and agreements herein on behalf of each owner of each such account, and (iii) not acquiring the Purchased Shares with a view to, or for offer or sale in connection with, any distribution thereof in violation of the Securities Act (and has provided the Company with the requested information on </w:t>
      </w:r>
      <w:r>
        <w:rPr>
          <w:rFonts w:ascii="Times New Roman" w:cs="Times New Roman" w:eastAsia="Times New Roman" w:hAnsi="Times New Roman"/>
          <w:sz w:val="12"/>
          <w:szCs w:val="12"/>
          <w:u w:val="single" w:color="auto"/>
          <w:color w:val="auto"/>
        </w:rPr>
        <w:t>Annex [A/B]</w:t>
      </w:r>
      <w:r>
        <w:rPr>
          <w:rFonts w:ascii="Times New Roman" w:cs="Times New Roman" w:eastAsia="Times New Roman" w:hAnsi="Times New Roman"/>
          <w:sz w:val="12"/>
          <w:szCs w:val="12"/>
          <w:color w:val="auto"/>
        </w:rPr>
        <w:t xml:space="preserve"> following the signature page hereto). Purchaser is not an entity formed for the specific purpose of acquiring the Purchased Shares, unless such newly formed entity is an entity in which all of the equity owners are accredited investors. Purchaser is aware that the Company is not relying specifically on the safe harbor from the registration requirements of the Securities Act provided by Regulation D under the Securities Act, and the Company will not file a Form D under the Securities Act with respect to the offer and sale of the Purchased Shares.</w:t>
      </w:r>
    </w:p>
    <w:p>
      <w:pPr>
        <w:spacing w:after="0" w:line="125" w:lineRule="exact"/>
        <w:rPr>
          <w:rFonts w:ascii="Times New Roman" w:cs="Times New Roman" w:eastAsia="Times New Roman" w:hAnsi="Times New Roman"/>
          <w:sz w:val="12"/>
          <w:szCs w:val="12"/>
          <w:color w:val="auto"/>
        </w:rPr>
      </w:pPr>
    </w:p>
    <w:p>
      <w:pPr>
        <w:jc w:val="both"/>
        <w:ind w:left="8" w:firstLine="208"/>
        <w:spacing w:after="0" w:line="256" w:lineRule="auto"/>
        <w:tabs>
          <w:tab w:leader="none" w:pos="396" w:val="left"/>
        </w:tabs>
        <w:numPr>
          <w:ilvl w:val="1"/>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Purchaser acknowledges and agrees that the Purchased Shares are being offered in a transaction not involving any public offering within the meaning of the Securities Act and that the Purchased Shares have not been registered under the Securities Act or the securities laws of any state in the United States or other jurisdiction and that the Company is not required to register the Purchased Shares except as set forth in </w:t>
      </w:r>
      <w:r>
        <w:rPr>
          <w:rFonts w:ascii="Times New Roman" w:cs="Times New Roman" w:eastAsia="Times New Roman" w:hAnsi="Times New Roman"/>
          <w:sz w:val="12"/>
          <w:szCs w:val="12"/>
          <w:u w:val="single" w:color="auto"/>
          <w:color w:val="auto"/>
        </w:rPr>
        <w:t>Section 4.10</w:t>
      </w:r>
      <w:r>
        <w:rPr>
          <w:rFonts w:ascii="Times New Roman" w:cs="Times New Roman" w:eastAsia="Times New Roman" w:hAnsi="Times New Roman"/>
          <w:sz w:val="12"/>
          <w:szCs w:val="12"/>
          <w:color w:val="auto"/>
        </w:rPr>
        <w:t xml:space="preserve"> of this Agreement. The Purchaser acknowledges and agrees that the Purchased Shares may not be offered, resold, transferred, pledged or otherwise disposed of by the Purchaser absent an effective registration statement under the Securities Act, except</w:t>
      </w:r>
    </w:p>
    <w:p>
      <w:pPr>
        <w:spacing w:after="0" w:line="1" w:lineRule="exact"/>
        <w:rPr>
          <w:rFonts w:ascii="Times New Roman" w:cs="Times New Roman" w:eastAsia="Times New Roman" w:hAnsi="Times New Roman"/>
          <w:sz w:val="12"/>
          <w:szCs w:val="12"/>
          <w:color w:val="auto"/>
        </w:rPr>
      </w:pPr>
    </w:p>
    <w:p>
      <w:pPr>
        <w:jc w:val="both"/>
        <w:ind w:left="8" w:hanging="8"/>
        <w:spacing w:after="0" w:line="252" w:lineRule="auto"/>
        <w:tabs>
          <w:tab w:leader="none" w:pos="151"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Company or a subsidiary thereof, (ii) pursuant to an applicable exemption from the registration requirements of the Securities Act (including without limitation a private resale pursuant to so called “Section 4(a)1½”), or (iii) an ordinary course pledge such as a broker lien over account property generally, and, in each of clauses (i)-(iii), in accordance with any applicable securities laws of the states and other jurisdictions of the United States, and that any certificates or account entries representing the Purchased Shares shall contain a restrictive legend to such effect. The Purchaser acknowledges and agrees that the Purchased Shares will be subject to these securities law transfer restrictions, and as a result of these transfer restrictions, the Purchaser may not be able to readily offer, resell, transfer, pledge or otherwise dispose of the Purchased Shares and may be required to bear the financial risk of an investment in the Purchased Shares for an indefinite period of time. The Purchaser acknowledges and agrees that the Purchased Shares will not be immediately eligible for offer, resale, transfer, pledge or disposition pursuant to Rule 144 promulgated under the Securities Act until at least one year from the date the Company files a Current Report on Form 8-K following the closing date of the Transactions that includes the “Form 10” information required under applicable Commission rules and regulations. The Purchaser acknowledges and agrees that it has been advised to consult legal counsel prior to making any offer, resale, pledge or transfer of any of the Purchased Shares.</w:t>
      </w:r>
    </w:p>
    <w:p>
      <w:pPr>
        <w:spacing w:after="0" w:line="126" w:lineRule="exact"/>
        <w:rPr>
          <w:rFonts w:ascii="Times New Roman" w:cs="Times New Roman" w:eastAsia="Times New Roman" w:hAnsi="Times New Roman"/>
          <w:sz w:val="12"/>
          <w:szCs w:val="12"/>
          <w:color w:val="auto"/>
        </w:rPr>
      </w:pPr>
    </w:p>
    <w:p>
      <w:pPr>
        <w:jc w:val="both"/>
        <w:ind w:left="8" w:firstLine="208"/>
        <w:spacing w:after="0" w:line="255" w:lineRule="auto"/>
        <w:tabs>
          <w:tab w:leader="none" w:pos="372" w:val="left"/>
        </w:tabs>
        <w:numPr>
          <w:ilvl w:val="1"/>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Purchaser understands and agrees that it is purchasing the Purchased Shares directly from the Company. The Purchaser further acknowledges that there have not been, and the Purchaser hereby agrees that it is not relying on, any representations, warranties, covenants or agreements made to the Purchaser by or on behalf of the Company, the Target, the Placement Agent, the Sponsor, any of their respective Affiliates or any control persons, officers, directors, employees, partners, agents or representatives, any other party to the Business Combination or any other person or entity, expressly or by implication, other than those representations, warranties, covenants and agreements of the Company set forth in this Agreement. The Purchaser agrees that none of (i) any other Purchaser (including the controlling persons, members, officers, directors, partners, agents, or employees of any such other Purchaser), (ii) the Placement Agent, its Affiliates or any of its or its Affiliates’ control persons, officers, directors or employees, (iii) the Sponsor, its Affiliates (other than the Company), or any of its or its’ Affiliates respective control persons, officers, directors or employees or (iv) any other party to the Business Combination Agreement, including any such party’s representatives, Affiliates or any of its or their control persons, officers, directors or employees, that is not a party hereto, shall be liable to the Purchaser pursuant to this Agreement for any action heretofore or hereafter taken or omitted to be taken by any of them in connection with the purchase of the Purchased Shares.</w:t>
      </w:r>
    </w:p>
    <w:p>
      <w:pPr>
        <w:spacing w:after="0" w:line="2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45" w:name="page146"/>
    <w:bookmarkEnd w:id="145"/>
    <w:p>
      <w:pPr>
        <w:jc w:val="both"/>
        <w:ind w:firstLine="208"/>
        <w:spacing w:after="0" w:line="251" w:lineRule="auto"/>
        <w:tabs>
          <w:tab w:leader="none" w:pos="386"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making its decision to purchase the Purchased Shares, the Purchaser has relied solely upon independent investigation made by the Purchaser and the Company’s representations in </w:t>
      </w:r>
      <w:r>
        <w:rPr>
          <w:rFonts w:ascii="Times New Roman" w:cs="Times New Roman" w:eastAsia="Times New Roman" w:hAnsi="Times New Roman"/>
          <w:sz w:val="12"/>
          <w:szCs w:val="12"/>
          <w:u w:val="single" w:color="auto"/>
          <w:color w:val="auto"/>
        </w:rPr>
        <w:t>Sections 3.1</w:t>
      </w:r>
      <w:r>
        <w:rPr>
          <w:rFonts w:ascii="Times New Roman" w:cs="Times New Roman" w:eastAsia="Times New Roman" w:hAnsi="Times New Roman"/>
          <w:sz w:val="12"/>
          <w:szCs w:val="12"/>
          <w:color w:val="auto"/>
        </w:rPr>
        <w:t>, respectively, of this Agreement. The Purchaser acknowledges and agrees that the Purchaser has received such information as the Purchaser deems necessary in order to make an investment decision with respect to the Purchased Shares, including with respect to the Company, the Target Companies and the Business Combination, and made its own assessment and is satisfied concerning the relevant financial, tax and other economic considerations relevant to the Purchaser’s investment in the Purchased Shares. Without limiting the generality of the foregoing, the Purchaser acknowledges that it has reviewed the Company’s filings with the Commission. The Purchaser represents and agrees that the Purchaser and the Purchaser’s professional advisor(s), if any, have had the full opportunity to ask such questions, receive such answers and obtain such information as the Purchaser and the Purchaser’s professional advisor(s), if any, have deemed necessary to make an investment decision with respect to the Purchased Shares. The Purchaser acknowledges that certain information provided by the Company was based on projections, and such projections were prepared based on assumptions and estimates that are inherently uncertain and are subject to a wide variety of significant business, economic and competitive risks and uncertainties that could cause actual results to differ materially from those contained in the projections. The Purchaser further acknowledges that the information provided to the Purchaser was preliminary and subject to change, including in the registration statement and the proxy statement and/or prospectus that the Company intends to file with the Commission in connection with the Business Combination (which will include substantial additional information about the Company, the Target Companies and the Business Combination and will update and supersede the information previously provided to the Purchaser). The Purchaser acknowledges and agrees that none of the Placement Agent, the Sponsor or any of their Affiliates or any of such Person’s or its Affiliate’s control persons, officers, directors, employees or other representatives, legal counsel, financial advisors, accountants or agents (collectively, “</w:t>
      </w:r>
      <w:r>
        <w:rPr>
          <w:rFonts w:ascii="Times New Roman" w:cs="Times New Roman" w:eastAsia="Times New Roman" w:hAnsi="Times New Roman"/>
          <w:sz w:val="12"/>
          <w:szCs w:val="12"/>
          <w:b w:val="1"/>
          <w:bCs w:val="1"/>
          <w:color w:val="auto"/>
        </w:rPr>
        <w:t>Representatives</w:t>
      </w:r>
      <w:r>
        <w:rPr>
          <w:rFonts w:ascii="Times New Roman" w:cs="Times New Roman" w:eastAsia="Times New Roman" w:hAnsi="Times New Roman"/>
          <w:sz w:val="12"/>
          <w:szCs w:val="12"/>
          <w:color w:val="auto"/>
        </w:rPr>
        <w:t>”) has provided the Purchaser with any information, recommendation or advice with respect to the Purchased Shares nor is such information, recommendation or advice necessary or desired. None of the Placement Agent, the Sponsor or any of their respective Affiliates or Representatives has made or makes any representation as to the Company or the Target Companies or the quality or value of the Purchased Shares. In addition, the Company, the Target, the Sponsor, Placement Agent and their respective Affiliates or Representatives may have acquired non-public information with respect to the Company or the Target Companies which the Purchaser agrees need not be provided to it. In connection with the issuance of the Purchased Shares to the Purchaser, none of the Placement Agent, its Affiliates or the Company, the Target, the Sponsor or any of their respective Affiliates or Representatives has acted as a financial advisor or fiduciary to the Purchaser. Purchaser further acknowledges that certain financial information (whether historical, audited, unaudited or otherwise, or in the form of projections) was prepared without the participation of the Placement Agent and that the Placement Agent does not assume responsibility for independent verification of, or the accuracy or completeness of, such information or projections. Purchaser further acknowledges that no disclosure or offering document has been prepared or reviewed by the Placement Agent or any of its Affiliates in connection with the offer and sale of the Purchased Shares, and the Placement Agent and its Affiliates and any control persons, officers, directors, employees, partners, agents or representatives of the Placement Agent and its Affiliates have made no independent investigation with respect to the Company or the Target, the Purchased Shares, the PIPE Financing or the Transactions or the accuracy, completeness or adequacy of any information supplied to the Placement Agent by the Company or the Target. Purchaser acknowledges that it has not relied on the Placement Agent in connection with its determination as to the legality of its acquisition of the Purchased Shares or as to the other matters referred to herein. Purchaser agrees that none of the Placement Agent, nor any of their respective Affiliates or any of their or their respective Affiliates’ control persons, officers, directors or employees, shall be liable to the Purchaser pursuant to this Agreement for any action heretofore or hereafter taken or omitted to be taken by any of them in connection with the purchase of the Purchased Shares. Purchaser further acknowledges that Purchaser has not relied upon the Placement Agent in connection with Purchaser’s due diligence review of the offering of the Purchased Shares and of the Company and the Target, and Purchaser will not look to the Placement Agent for all or part of any such Loss or Losses that Purchaser may suffer.</w:t>
      </w:r>
    </w:p>
    <w:p>
      <w:pPr>
        <w:spacing w:after="0" w:line="136" w:lineRule="exact"/>
        <w:rPr>
          <w:rFonts w:ascii="Times New Roman" w:cs="Times New Roman" w:eastAsia="Times New Roman" w:hAnsi="Times New Roman"/>
          <w:sz w:val="12"/>
          <w:szCs w:val="12"/>
          <w:color w:val="auto"/>
        </w:rPr>
      </w:pPr>
    </w:p>
    <w:p>
      <w:pPr>
        <w:jc w:val="both"/>
        <w:ind w:firstLine="208"/>
        <w:spacing w:after="0" w:line="260" w:lineRule="auto"/>
        <w:tabs>
          <w:tab w:leader="none" w:pos="385"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Purchaser became aware of this offering of the Purchased Shares solely by means of direct contact between the Purchaser and the Company or its Affiliates, or by means of contact from the Placement Agent, and Purchased Shares were offered to the Purchaser solely by direct contact between the Purchaser and the Company or its Affiliates. The Purchaser did not become aware of this offering of the Purchased Shares, nor were the Purchased Shares offered to the Purchaser, by any other means. The Purchaser acknowledges that the Company represents and warrants that the Purchased Shares (i) were not offered by any form of general solicitation or general advertising (within the meaning of Regulation D of the Securities Act) and (ii) are not being offered in a manner involving a public offering under, or in a distribution in violation of, the Securities Act, or any state securities laws.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6" w:name="page147"/>
    <w:bookmarkEnd w:id="146"/>
    <w:p>
      <w:pPr>
        <w:jc w:val="both"/>
        <w:ind w:firstLine="208"/>
        <w:spacing w:after="0" w:line="256" w:lineRule="auto"/>
        <w:tabs>
          <w:tab w:leader="none" w:pos="361"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Purchaser acknowledges that it is aware that there are substantial risks incident to the purchase and ownership of the Purchased Shares, including those set forth in the SEC Reports. The Purchaser has such knowledge and experience in financial and business matters as to be capable of evaluating the merits and risks of an investment in the Purchased Shares, and the Purchaser has had an opportunity to seek, and has sought, such accounting, legal, business and tax advice as the Purchaser has considered necessary to make an informed investment decision. The Purchaser (i) is an institutional account as defined in FINRA Rule 4512(c), (ii) is a sophisticated investor, experienced in investing in private equity transactions and capable of evaluating investment risks independently, both in general and with regard to all transactions and investment strategies involving a security or securities, and (iii) has exercised independent judgment in evaluating its participation in the purchase of the Purchased Shares. The Purchaser understands and acknowledges that the purchase and sale of the Purchased Shares hereunder meets (i) the exemptions from filing under FINRA Rule 5123(b)(1)(A) and (ii) the institutional customer exemption under FINRA Rule 2111(b).</w:t>
      </w:r>
    </w:p>
    <w:p>
      <w:pPr>
        <w:spacing w:after="0" w:line="124" w:lineRule="exact"/>
        <w:rPr>
          <w:rFonts w:ascii="Times New Roman" w:cs="Times New Roman" w:eastAsia="Times New Roman" w:hAnsi="Times New Roman"/>
          <w:sz w:val="12"/>
          <w:szCs w:val="12"/>
          <w:color w:val="auto"/>
        </w:rPr>
      </w:pPr>
    </w:p>
    <w:p>
      <w:pPr>
        <w:ind w:firstLine="208"/>
        <w:spacing w:after="0" w:line="279" w:lineRule="auto"/>
        <w:tabs>
          <w:tab w:leader="none" w:pos="359"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Purchaser has adequately analyzed and fully considered the risks of an investment in the Purchased Shares and determined that the Purchased Shares are a suitable investment for the Purchaser and that the Purchaser is able at this time and in the foreseeable future to bear the economic risk of a total loss of the Purchaser’s investment in the Company. The Purchaser acknowledges specifically that a possibility of total loss exists.</w:t>
      </w:r>
    </w:p>
    <w:p>
      <w:pPr>
        <w:spacing w:after="0" w:line="111" w:lineRule="exact"/>
        <w:rPr>
          <w:rFonts w:ascii="Times New Roman" w:cs="Times New Roman" w:eastAsia="Times New Roman" w:hAnsi="Times New Roman"/>
          <w:sz w:val="12"/>
          <w:szCs w:val="12"/>
          <w:color w:val="auto"/>
        </w:rPr>
      </w:pPr>
    </w:p>
    <w:p>
      <w:pPr>
        <w:ind w:left="380" w:hanging="172"/>
        <w:spacing w:after="0"/>
        <w:tabs>
          <w:tab w:leader="none" w:pos="38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Purchaser understands and agrees that no federal or state agency has passed upon or endorsed the merits of the offering of the Purchased Shares or made any findings or determination as to the fairness of this investment.</w:t>
      </w:r>
    </w:p>
    <w:p>
      <w:pPr>
        <w:spacing w:after="0" w:line="146" w:lineRule="exact"/>
        <w:rPr>
          <w:rFonts w:ascii="Times New Roman" w:cs="Times New Roman" w:eastAsia="Times New Roman" w:hAnsi="Times New Roman"/>
          <w:sz w:val="12"/>
          <w:szCs w:val="12"/>
          <w:color w:val="auto"/>
        </w:rPr>
      </w:pPr>
    </w:p>
    <w:p>
      <w:pPr>
        <w:jc w:val="both"/>
        <w:ind w:firstLine="208"/>
        <w:spacing w:after="0" w:line="256" w:lineRule="auto"/>
        <w:tabs>
          <w:tab w:leader="none" w:pos="368"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Purchaser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2"/>
          <w:szCs w:val="12"/>
          <w:b w:val="1"/>
          <w:bCs w:val="1"/>
          <w:color w:val="auto"/>
        </w:rPr>
        <w:t>OFAC</w:t>
      </w:r>
      <w:r>
        <w:rPr>
          <w:rFonts w:ascii="Times New Roman" w:cs="Times New Roman" w:eastAsia="Times New Roman" w:hAnsi="Times New Roman"/>
          <w:sz w:val="12"/>
          <w:szCs w:val="12"/>
          <w:color w:val="auto"/>
        </w:rPr>
        <w:t>”) or in any Executive Order issued by the President of the United States and administered by OFAC (“</w:t>
      </w:r>
      <w:r>
        <w:rPr>
          <w:rFonts w:ascii="Times New Roman" w:cs="Times New Roman" w:eastAsia="Times New Roman" w:hAnsi="Times New Roman"/>
          <w:sz w:val="12"/>
          <w:szCs w:val="12"/>
          <w:b w:val="1"/>
          <w:bCs w:val="1"/>
          <w:color w:val="auto"/>
        </w:rPr>
        <w:t>OFAC List</w:t>
      </w:r>
      <w:r>
        <w:rPr>
          <w:rFonts w:ascii="Times New Roman" w:cs="Times New Roman" w:eastAsia="Times New Roman" w:hAnsi="Times New Roman"/>
          <w:sz w:val="12"/>
          <w:szCs w:val="12"/>
          <w:color w:val="auto"/>
        </w:rPr>
        <w:t>”), or a person or entity prohibited by any OFAC sanctions program, (ii) a Designated National as defined in the Cuban Assets Control Regulations, 31 C.F.R. Part 515, or (iii) a non-U.S. shell bank or providing banking services indirectly to a non-U.S. shell bank. The Purchaser agrees to provide law enforcement agencies, if requested thereby, such records as required by applicable law, provided that the Purchaser is permitted to do so under applicable law. If the Purchaser is a financial institution subject to the Bank Secrecy Act (31 U.S.C. Section 5311 et seq.), as amended by the USA PATRIOT Act of 2001, and its implementing regulations (collectively, the “</w:t>
      </w:r>
      <w:r>
        <w:rPr>
          <w:rFonts w:ascii="Times New Roman" w:cs="Times New Roman" w:eastAsia="Times New Roman" w:hAnsi="Times New Roman"/>
          <w:sz w:val="12"/>
          <w:szCs w:val="12"/>
          <w:b w:val="1"/>
          <w:bCs w:val="1"/>
          <w:color w:val="auto"/>
        </w:rPr>
        <w:t>BSA/PATRIOT Act</w:t>
      </w:r>
      <w:r>
        <w:rPr>
          <w:rFonts w:ascii="Times New Roman" w:cs="Times New Roman" w:eastAsia="Times New Roman" w:hAnsi="Times New Roman"/>
          <w:sz w:val="12"/>
          <w:szCs w:val="12"/>
          <w:color w:val="auto"/>
        </w:rPr>
        <w:t>”), the Purchaser maintains policies and procedures reasonably designed to comply with applicable obligations under the BSA/PATRIOT Act. To the extent required, the Purchaser maintains policies and procedures reasonably designed for the screening of its investors against the OFAC sanctions programs, including the OFAC List. To the extent required, the Purchaser maintains policies and procedures reasonably designed to ensure that the funds held by the Purchaser and used to purchase the Purchased Shares were legally derived.</w:t>
      </w:r>
    </w:p>
    <w:p>
      <w:pPr>
        <w:spacing w:after="0" w:line="125" w:lineRule="exact"/>
        <w:rPr>
          <w:rFonts w:ascii="Times New Roman" w:cs="Times New Roman" w:eastAsia="Times New Roman" w:hAnsi="Times New Roman"/>
          <w:sz w:val="12"/>
          <w:szCs w:val="12"/>
          <w:color w:val="auto"/>
        </w:rPr>
      </w:pPr>
    </w:p>
    <w:p>
      <w:pPr>
        <w:jc w:val="both"/>
        <w:ind w:firstLine="208"/>
        <w:spacing w:after="0" w:line="265" w:lineRule="auto"/>
        <w:tabs>
          <w:tab w:leader="none" w:pos="426"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foreign person (as defined in 31 C.F.R. Part 800.224) in which the national or subnational governments of a single foreign state have a substantial interest (as defined in 31 C.F.R. Part 800.244) will acquire a substantial interest in the Company as a result of the purchase and sale of Purchased Shares hereunder such that a declaration to the Committee on Foreign Investment in the United States would be mandatory under 31 C.F.R. Part 800.401, and no foreign person will have control (as defined in 31 C.F.R. Part 800.208) over the Company from and after the Closing as a result of the purchase and sale of Purchased Shares hereunder.</w:t>
      </w:r>
    </w:p>
    <w:p>
      <w:pPr>
        <w:spacing w:after="0" w:line="118" w:lineRule="exact"/>
        <w:rPr>
          <w:rFonts w:ascii="Times New Roman" w:cs="Times New Roman" w:eastAsia="Times New Roman" w:hAnsi="Times New Roman"/>
          <w:sz w:val="12"/>
          <w:szCs w:val="12"/>
          <w:color w:val="auto"/>
        </w:rPr>
      </w:pPr>
    </w:p>
    <w:p>
      <w:pPr>
        <w:jc w:val="both"/>
        <w:ind w:firstLine="208"/>
        <w:spacing w:after="0" w:line="265" w:lineRule="auto"/>
        <w:tabs>
          <w:tab w:leader="none" w:pos="386"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Purchaser (i) will have sufficient funds to pay the Purchase Price pursuant to </w:t>
      </w:r>
      <w:r>
        <w:rPr>
          <w:rFonts w:ascii="Times New Roman" w:cs="Times New Roman" w:eastAsia="Times New Roman" w:hAnsi="Times New Roman"/>
          <w:sz w:val="12"/>
          <w:szCs w:val="12"/>
          <w:u w:val="single" w:color="auto"/>
          <w:color w:val="auto"/>
        </w:rPr>
        <w:t>Section 2.1</w:t>
      </w:r>
      <w:r>
        <w:rPr>
          <w:rFonts w:ascii="Times New Roman" w:cs="Times New Roman" w:eastAsia="Times New Roman" w:hAnsi="Times New Roman"/>
          <w:sz w:val="12"/>
          <w:szCs w:val="12"/>
          <w:color w:val="auto"/>
        </w:rPr>
        <w:t xml:space="preserve"> of this Agreement and any expenses incurred by the Purchaser in connection with the transactions contemplated by or in connection with the Transaction Documents; (ii) has the resources and capabilities (financial or otherwise) to perform its obligations under the Transaction Documents; and (iii) has not incurred any obligation, commitment, restriction or liability of any kind, absolute or contingent, present or future, which would impair or adversely affect its ability to perform its obligations under the Transaction Documents.</w:t>
      </w:r>
    </w:p>
    <w:p>
      <w:pPr>
        <w:spacing w:after="0" w:line="118" w:lineRule="exact"/>
        <w:rPr>
          <w:rFonts w:ascii="Times New Roman" w:cs="Times New Roman" w:eastAsia="Times New Roman" w:hAnsi="Times New Roman"/>
          <w:sz w:val="12"/>
          <w:szCs w:val="12"/>
          <w:color w:val="auto"/>
        </w:rPr>
      </w:pPr>
    </w:p>
    <w:p>
      <w:pPr>
        <w:jc w:val="both"/>
        <w:ind w:firstLine="208"/>
        <w:spacing w:after="0" w:line="254" w:lineRule="auto"/>
        <w:tabs>
          <w:tab w:leader="none" w:pos="389"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Purchaser acknowledges that it is not relying upon, and has not relied upon, any statement, representation or warranty made by any person, firm or corporation (including, without limitation, the Company, the Target, the Sponsor, the Placement Agent or any of their respective Affiliates or any of their respective or their respective Affiliates’ control persons, officers, directors, employees, agents or representatives), other than the representations and warranties of the Company contained in </w:t>
      </w:r>
      <w:r>
        <w:rPr>
          <w:rFonts w:ascii="Times New Roman" w:cs="Times New Roman" w:eastAsia="Times New Roman" w:hAnsi="Times New Roman"/>
          <w:sz w:val="12"/>
          <w:szCs w:val="12"/>
          <w:u w:val="single" w:color="auto"/>
          <w:color w:val="auto"/>
        </w:rPr>
        <w:t>Sections 3.1</w:t>
      </w:r>
      <w:r>
        <w:rPr>
          <w:rFonts w:ascii="Times New Roman" w:cs="Times New Roman" w:eastAsia="Times New Roman" w:hAnsi="Times New Roman"/>
          <w:sz w:val="12"/>
          <w:szCs w:val="12"/>
          <w:color w:val="auto"/>
        </w:rPr>
        <w:t>, respectively, of this Agreement, in making its investment or decision to invest in the Company. The Purchaser agrees that none of (i) any other Purchaser or any other Person participating in any other private placement of shares of Series A Common Stock (including the controlling persons, officers, directors, partners, agents or employees of any such other Person), (ii) the Company, its Affiliates or any of its or their respective Affiliates’ control persons, officers, directors, partners, agents, employees or representatives, (iii) the Sponsor, its Affiliates or any of its or their respective Affiliates’ control persons, officers, directors, partners, agents, employees or representatives, nor (iv) the Placement Agent, its Affiliates or any of its or their respective control persons, officers, directors, partners, agents, employees or representatives shall be liable to the Purchaser or any other Purchaser pursuant to the Transaction Documents or any other agreement related to a private placement of Purchased Shares for any action heretofore or hereafter taken or omitted to be taken by any of them in connection with the purchase of the Purchased Shares hereunder or thereunder.</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 No broker or finder is entitled to any brokerage or finder’s fee or commission to be paid by the Purchaser solely in connection with the sale of the Purchased Shares to the Purchaser.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(q) At all times on or prior to the Closing Date, the Purchaser has no binding commitment to dispose of, or otherwise transfer (directly or indirectly), any of the Purchased Shares.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(r) The Purchaser hereby agrees that neither it, nor any person or entity acting on its behalf or pursuant to any understanding with the Purchaser, shall, directly or indirectly, engage in any hedging activities or execute any Short Sales with respect to the securities of the Company from the date hereof until the Closing or the earlier termination of this Agreement in accordance with its terms.  </w:t>
      </w:r>
    </w:p>
    <w:p>
      <w:pPr>
        <w:spacing w:after="0" w:line="133"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(s) Except as expressly disclosed in a Schedule 13D or Schedule 13G (or amendments thereto) filed by the Purchaser with the Commission with respect to the beneficial ownership of the Company’s outstanding securities prior to the date hereof, the Purchaser is not currently (and at all times through Closing will refrain from being or becoming) a member of a “group” (within the meaning of Section 13(d)(3) or Section 14(d)(2) of the Exchange Act, or any successor provision), including any group acting for the purpose of acquiring, holding or disposing of equity securities of the Company (within the meaning of Rule 13d-5(b)(1) under the Exchange Act).  </w:t>
      </w:r>
    </w:p>
    <w:p>
      <w:pPr>
        <w:spacing w:after="0" w:line="1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 The Purchaser acknowledges that (i) the Company, the Target Companies, the Sponsor and the Placement Agent, and any of their respective Affiliates, control persons, officers, directors, employees, agents or representatives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currently may have, and later may come into possession of, information regarding the Company and the Target Companies that is not known to the Purchaser and that may be material to a decision to purchase the Purchased Shares,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(ii) the Purchaser has determined to purchase the Purchased Shares notwithstanding its lack of knowledge of such information, and (iii) none of the Company, the Target Companies, the Sponsor or the Placement Agent or any of their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respective Affiliates, control persons, officers, directors, employees, agents or representatives shall have liability to the Purchaser, and the Purchaser hereby, to the extent permitted by law, waives and releases any claims it may have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against the Company, the Target Companies, the Sponsor, the Placement Agent and their respective Affiliates, control persons, officers, directors, employees, agents or representatives, with respect to the nondisclosure of such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information.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(u) The Purchaser acknowledges its obligations under applicable securities laws with respect to the treatment of non-public information relating to the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216"/>
        <w:spacing w:after="0" w:line="252" w:lineRule="auto"/>
        <w:rPr>
          <w:sz w:val="20"/>
          <w:szCs w:val="20"/>
          <w:color w:val="auto"/>
        </w:rPr>
      </w:pPr>
      <w:r>
        <w:rPr>
          <w:rFonts w:ascii="Times New Roman" w:cs="Times New Roman" w:eastAsia="Times New Roman" w:hAnsi="Times New Roman"/>
          <w:sz w:val="12"/>
          <w:szCs w:val="12"/>
          <w:color w:val="auto"/>
        </w:rPr>
        <w:t>(v) Purchaser acknowledges and agrees that the Placement Agent and any of its Affiliates (i) have not made and will not make any representation, whether express or implied, of any kind or character and have not provided any advice or recommendation in connection with the PIPE Financing, the Transactions, the Company, the Target, the quality or value of the Purchased Shares, any of the documents furnished pursuant therewith, or the execution, legality, validity or enforceability (with respect to any person) of any thereof, or the business, condition (financial and otherwise), management, operations, properties or prospects of, or any other matter concerning, the Company, the Target, the PIPE Financing or the Transactions; and (ii) may have existing or future business relationships with the Company and the Target (including, but not limited to, lending, depository, risk management, advisory and banking relationships) and will pursue actions and take steps that it deems or they deem necessary or appropriate to protect its or their interests arising therefrom. The Purchaser further acknowledges and agrees that the Company’s Affiliates and/or Placement Agent and/or its Affiliates may now or in the future own securities of the Company and may purchase securities in connection with the Transactions.  </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 Purchaser acknowledges and agrees that (i) it has been informed that, in connection with the Transactions, (A) Cantor Fitzgerald &amp; Co. is acting as the sole placement agent to the Company, (B) Cantor Fitzgerald &amp; Co. is acting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financial advisor to the Target, and (C) any additional placement agents engaged by the Company or the Target in connection with the PIPE Financing may act as placement agents or advisors to the Company or the Target after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of this Agreement, (ii) the Placement Agent is not acting as an underwriter or in any other capacity in connection with the PIPE Financing, and (iii) Cantor Fitzgerald &amp; Co. will receive deferred underwriting commissions 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connection with the IPO. Purchaser waives and releases any claim that it or its Affiliates may have against the Placement Agent and its Affiliates and any control persons, officers, directors, employees, partners, agents or representatives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 the Placement Agent and its Affiliates with respect to any actual or perceived conflict of interest that may arise from the Placement Agent’s engagements as indicated in the immediately preceding sentence, in the context of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Placement Agent’s engagement by the Company as its placement agent or lead capital markets advisor in connection with the PIPE Financing. The Company is solely responsible for paying any fees or other commission owed to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Placement Agent in connection with the PIPE Financing or the Transactions.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(x) Purchaser acknowledges that Purchaser shall be responsible for any of Purchaser’s tax liabilities that may arise as a result of the transactions contemplated by this Agreement, and that none of the Company, the Placement Agent,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Target, or any of their respective agents or Affiliates has offered Purchaser any tax advice relating to Purchaser’s investment in the Purchased Shares, or made any representations, warranties or guarantees, whether written or oral,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regarding the tax consequences of Purchaser’s investment in the Purchased Shares.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(y) Purchaser acknowledges that the Company and the Placement Agent will rely on the acknowledgments, understandings, agreements, representations and warranties of Purchaser contained in this Agreement or any agreements 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documents issued in connection herewith; provided, however, that the foregoing clause of this clause (y) shall not give the Company or the Placement Agent any rights other than those expressly set forth herein. Prior to the Closing,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Purchaser agrees to promptly notify the Company and the Placement Agent if it becomes aware that any of the acknowledgments, understandings, agreements, representations and warranties of Purchaser set forth herein are no longer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accurate in all material respects. Purchaser acknowledges and agrees that the purchase by Purchaser of Purchased Shares from the Company will constitute a reaffirmation of the acknowledgments, understandings, agreements,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representations and warranties herein (as modified by any such notice) by Purchaser as of the time of such purchase.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(z) Purchaser agrees that the Placement Agent shall not be liable to it (including in contract, tort, under federal or state securities laws or otherwise) for any action heretofore or hereafter taken or omitted to be taken by any of them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good faith in connection with the Transactions and the purchase and sale of the Purchased Shares hereunder or otherwise for all or any part of any Loss or Losses with respect to the Purchased Shares that Purchaser may suffer. 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behalf of Purchaser and its Affiliates, Purchaser releases the Placement Agent in respect of any Losses related to the Transactions and the purchase and sale of Purchased Shares hereunder. Purchaser agrees not to commence 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litigation or bring any claim against the Placement Agent in any court or other forum which relates to, may arise out of, or is in connection with, the Transactions and the purchase and sale of the Purchased Shares hereunder. This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undertaking is given freely and after obtaining independent legal advice. Purchaser and the Company agree that the obligations of the Placement Agent and any additional placement agent under this Agreement or any other agreement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entered into in connection with the PIPE Financing are several and not joint.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OTHER AGREEMENTS OF THE PARTIES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4.1</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12"/>
          <w:szCs w:val="12"/>
          <w:b w:val="1"/>
          <w:bCs w:val="1"/>
          <w:u w:val="single" w:color="auto"/>
          <w:color w:val="auto"/>
        </w:rPr>
        <w:t>Transfer Restrictions</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216"/>
        <w:spacing w:after="0" w:line="253" w:lineRule="auto"/>
        <w:rPr>
          <w:sz w:val="20"/>
          <w:szCs w:val="20"/>
          <w:color w:val="auto"/>
        </w:rPr>
      </w:pPr>
      <w:r>
        <w:rPr>
          <w:rFonts w:ascii="Times New Roman" w:cs="Times New Roman" w:eastAsia="Times New Roman" w:hAnsi="Times New Roman"/>
          <w:sz w:val="12"/>
          <w:szCs w:val="12"/>
          <w:color w:val="auto"/>
        </w:rPr>
        <w:t>(a) The Purchased Shares may only be disposed of in compliance with state and federal securities laws. In connection with any transfer of Purchased Shares other than pursuant to an effective registration statement or Rule 144, to the Company or to an Affiliate of the Purchaser,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Purchased Shares under the Securities Act. As a condition of transfer, any such transferee shall agree in writing to be bound by the terms of this Agreement and shall have the rights and obligations of the Purchaser under this Agreement.  </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(b) The Purchaser agrees to the imprinting, so long as is required by this</w:t>
      </w:r>
      <w:r>
        <w:rPr>
          <w:rFonts w:ascii="Times New Roman" w:cs="Times New Roman" w:eastAsia="Times New Roman" w:hAnsi="Times New Roman"/>
          <w:sz w:val="12"/>
          <w:szCs w:val="12"/>
          <w:u w:val="single" w:color="auto"/>
          <w:color w:val="auto"/>
        </w:rPr>
        <w:t> Section 4.1</w:t>
      </w:r>
      <w:r>
        <w:rPr>
          <w:rFonts w:ascii="Times New Roman" w:cs="Times New Roman" w:eastAsia="Times New Roman" w:hAnsi="Times New Roman"/>
          <w:sz w:val="12"/>
          <w:szCs w:val="12"/>
          <w:color w:val="auto"/>
        </w:rPr>
        <w:t>, of a legend on any of the Purchased Shares in the following form: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both"/>
        <w:ind w:left="420"/>
        <w:spacing w:after="0" w:line="250" w:lineRule="auto"/>
        <w:rPr>
          <w:sz w:val="20"/>
          <w:szCs w:val="20"/>
          <w:color w:val="auto"/>
        </w:rPr>
      </w:pPr>
      <w:r>
        <w:rPr>
          <w:rFonts w:ascii="Times New Roman" w:cs="Times New Roman" w:eastAsia="Times New Roman" w:hAnsi="Times New Roman"/>
          <w:sz w:val="12"/>
          <w:szCs w:val="12"/>
          <w:color w:val="auto"/>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2"/>
          <w:szCs w:val="12"/>
          <w:color w:val="auto"/>
        </w:rPr>
        <w:t xml:space="preserve">The Company acknowledges and agrees that the Purchaser may from time to time pledge pursuant to a bona fide margin agreement with a registered broker-dealer or grant a security interest in some or all of the Purchased Shares to a financial institution that is an “accredited investor” as defined in Rule 501(a) under the Securities Act and who agrees to be bound by the provisions of this Agreement and, if required under the terms of such arrangement, the Purchaser may transfer pledged or secured Purchased Shares to the pledgees or secured parties. At the Purchaser’s expense, the Company will execute and deliver such reasonable documentation as a pledgee or secured party of Purchased Shares may reasonably request in connection with a pledge or transfer of the Purchased Shares, including, if the Purchased Shares are subject to registration pursuant to </w:t>
      </w:r>
      <w:r>
        <w:rPr>
          <w:rFonts w:ascii="Times New Roman" w:cs="Times New Roman" w:eastAsia="Times New Roman" w:hAnsi="Times New Roman"/>
          <w:sz w:val="12"/>
          <w:szCs w:val="12"/>
          <w:u w:val="single" w:color="auto"/>
          <w:color w:val="auto"/>
        </w:rPr>
        <w:t>Section 4.10</w:t>
      </w:r>
      <w:r>
        <w:rPr>
          <w:rFonts w:ascii="Times New Roman" w:cs="Times New Roman" w:eastAsia="Times New Roman" w:hAnsi="Times New Roman"/>
          <w:sz w:val="12"/>
          <w:szCs w:val="12"/>
          <w:color w:val="auto"/>
        </w:rPr>
        <w:t xml:space="preserve"> of this Agreement, the preparation and filing of any required prospectus supplement under Rule 424(b) under the Securities Act or other applicable provision of the Securities Act to appropriately amend the list of selling securityholders thereunder.  </w:t>
      </w:r>
    </w:p>
    <w:p>
      <w:pPr>
        <w:spacing w:after="0" w:line="1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(c) At any time and from time to time in connection with a bona fide sale of Purchased Shares effected in compliance with the requirements of Rule 144 under the Securities Act or through any broker-dealer sale transactions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described in the plan of distribution set forth within any prospectus and pursuant to an effective registration statement of which such prospectus forms a part, the Company shall use its commercially reasonable efforts, subject to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receipt of customary documentation required from the holder of the applicable Purchased Shares and broker, if applicable, in connection therewith and compliance with applicable laws, (i) promptly instruct its transfer agent to remove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any restrictive legends applicable to the Purchased Shares being sold and (ii) cause its legal counsel to deliver the necessary legal opinions, if any, to the transfer agent in connection with the instruction under subclause (i). The Company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shall be responsible for the fees of its transfer agent, its legal counsel (including for purposes of giving the opinion referenced herein) and all DTC fees associated with such issuance and legend removal and the Purchaser shall be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responsible for its own fees or costs associated therewith (including its legal fees or costs of its legal counsel).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(d) The Purchaser agrees with the Company that the Purchaser will sell any shares of Series A Common Stock pursuant to either the registration requirements of the Securities Act, including any applicable prospectus delivery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requirements, or an exemption therefrom, and that if Purchased Shares are sold pursuant to a Registration Statement, they will be sold in compliance with the plan of distribution set forth therein and will not be sold if Purchaser has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been notified in writing by the Company that the use of such Registration Statement has been suspended or if Purchaser knows or has reason to know that the Commission has issued a stop order suspending the effectiveness of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Registration Statement, and Purchaser acknowledges that the removal of the restrictive legend from certificates (or reasonable evidence of issuance by book entry, as applicable) representing Purchased Shares as set forth 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w:t>
      </w:r>
      <w:r>
        <w:rPr>
          <w:rFonts w:ascii="Times New Roman" w:cs="Times New Roman" w:eastAsia="Times New Roman" w:hAnsi="Times New Roman"/>
          <w:sz w:val="12"/>
          <w:szCs w:val="12"/>
          <w:u w:val="single" w:color="auto"/>
          <w:color w:val="auto"/>
        </w:rPr>
        <w:t>Section 4.1 </w:t>
      </w:r>
      <w:r>
        <w:rPr>
          <w:rFonts w:ascii="Times New Roman" w:cs="Times New Roman" w:eastAsia="Times New Roman" w:hAnsi="Times New Roman"/>
          <w:sz w:val="12"/>
          <w:szCs w:val="12"/>
          <w:color w:val="auto"/>
        </w:rPr>
        <w:t>is predicated upon the Company’s reliance upon this understanding.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4.2</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12"/>
          <w:szCs w:val="12"/>
          <w:b w:val="1"/>
          <w:bCs w:val="1"/>
          <w:u w:val="single" w:color="auto"/>
          <w:color w:val="auto"/>
        </w:rPr>
        <w:t>Furnishing of Information; Public Information</w:t>
      </w:r>
      <w:r>
        <w:rPr>
          <w:rFonts w:ascii="Times New Roman" w:cs="Times New Roman" w:eastAsia="Times New Roman" w:hAnsi="Times New Roman"/>
          <w:sz w:val="12"/>
          <w:szCs w:val="12"/>
          <w:color w:val="auto"/>
        </w:rPr>
        <w:t>. Until the time that the Purchaser does not own any Purchased Shares, the Company shall use commercially reasonable efforts to maintain the registration of the Series A Common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Stock under Section 12(b) or 12(g) of the Exchange Act and to timely file all reports required to be filed by the Company after the date hereof pursuant to the Exchange Act even if the Company is not then subject to the reporting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requirements of the Exchange Act.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50" w:name="page151"/>
    <w:bookmarkEnd w:id="150"/>
    <w:p>
      <w:pPr>
        <w:ind w:left="8"/>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left="8"/>
        <w:spacing w:after="0" w:line="255" w:lineRule="auto"/>
        <w:rPr>
          <w:sz w:val="20"/>
          <w:szCs w:val="20"/>
          <w:color w:val="auto"/>
        </w:rPr>
      </w:pPr>
      <w:r>
        <w:rPr>
          <w:rFonts w:ascii="Times New Roman" w:cs="Times New Roman" w:eastAsia="Times New Roman" w:hAnsi="Times New Roman"/>
          <w:sz w:val="12"/>
          <w:szCs w:val="12"/>
          <w:color w:val="auto"/>
        </w:rPr>
        <w:t>4.3</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12"/>
          <w:szCs w:val="12"/>
          <w:b w:val="1"/>
          <w:bCs w:val="1"/>
          <w:u w:val="single" w:color="auto"/>
          <w:color w:val="auto"/>
        </w:rPr>
        <w:t>Integration</w:t>
      </w:r>
      <w:r>
        <w:rPr>
          <w:rFonts w:ascii="Times New Roman" w:cs="Times New Roman" w:eastAsia="Times New Roman" w:hAnsi="Times New Roman"/>
          <w:sz w:val="12"/>
          <w:szCs w:val="12"/>
          <w:color w:val="auto"/>
        </w:rPr>
        <w:t>. The Company shall not sell, offer for sale or solicit offers to buy or otherwise negotiate in respect of any security (as defined in Section 2 of the Securities Act) that would be integrated with the offer or sale of the Purchased Shares in a manner that would require the registration under the Securities Act of the sale of the Purchased Shares or that would be integrated with the offer or sale of the Purchased Shares for purposes of the rules and regulations of any Trading Market such that it would require stockholder approval prior to the closing of such other transaction unless stockholder approval is obtained before the closing of such subsequent transaction.  </w:t>
      </w:r>
    </w:p>
    <w:p>
      <w:pPr>
        <w:spacing w:after="0" w:line="136" w:lineRule="exact"/>
        <w:rPr>
          <w:sz w:val="20"/>
          <w:szCs w:val="20"/>
          <w:color w:val="auto"/>
        </w:rPr>
      </w:pPr>
    </w:p>
    <w:p>
      <w:pPr>
        <w:ind w:left="8"/>
        <w:spacing w:after="0" w:line="260" w:lineRule="auto"/>
        <w:rPr>
          <w:sz w:val="20"/>
          <w:szCs w:val="20"/>
          <w:color w:val="auto"/>
        </w:rPr>
      </w:pPr>
      <w:r>
        <w:rPr>
          <w:rFonts w:ascii="Times New Roman" w:cs="Times New Roman" w:eastAsia="Times New Roman" w:hAnsi="Times New Roman"/>
          <w:sz w:val="12"/>
          <w:szCs w:val="12"/>
          <w:color w:val="auto"/>
        </w:rPr>
        <w:t xml:space="preserve">4.4  </w:t>
      </w:r>
      <w:r>
        <w:rPr>
          <w:rFonts w:ascii="Times New Roman" w:cs="Times New Roman" w:eastAsia="Times New Roman" w:hAnsi="Times New Roman"/>
          <w:sz w:val="12"/>
          <w:szCs w:val="12"/>
          <w:b w:val="1"/>
          <w:bCs w:val="1"/>
          <w:u w:val="single" w:color="auto"/>
          <w:color w:val="auto"/>
        </w:rPr>
        <w:t>Reliance</w:t>
      </w:r>
      <w:r>
        <w:rPr>
          <w:rFonts w:ascii="Times New Roman" w:cs="Times New Roman" w:eastAsia="Times New Roman" w:hAnsi="Times New Roman"/>
          <w:sz w:val="12"/>
          <w:szCs w:val="12"/>
          <w:color w:val="auto"/>
        </w:rPr>
        <w:t xml:space="preserve"> To the extent the Company or Target issue any legal opinions to Purchaser or any other subscriber of Series A Common Stock under any other agreement entered into in connection with the PIPE Financing, the same opinion shall also be delivered to the Placement Agent, or the Placement Agent shall otherwise be permitted to rely on such opinion to the same extent as the addressee thereof.  </w:t>
      </w:r>
    </w:p>
    <w:p>
      <w:pPr>
        <w:spacing w:after="0" w:line="133" w:lineRule="exact"/>
        <w:rPr>
          <w:sz w:val="20"/>
          <w:szCs w:val="20"/>
          <w:color w:val="auto"/>
        </w:rPr>
      </w:pPr>
    </w:p>
    <w:p>
      <w:pPr>
        <w:jc w:val="both"/>
        <w:ind w:left="8"/>
        <w:spacing w:after="0" w:line="273" w:lineRule="auto"/>
        <w:rPr>
          <w:sz w:val="20"/>
          <w:szCs w:val="20"/>
          <w:color w:val="auto"/>
        </w:rPr>
      </w:pPr>
      <w:r>
        <w:rPr>
          <w:rFonts w:ascii="Times New Roman" w:cs="Times New Roman" w:eastAsia="Times New Roman" w:hAnsi="Times New Roman"/>
          <w:sz w:val="11"/>
          <w:szCs w:val="11"/>
          <w:color w:val="auto"/>
        </w:rPr>
        <w:t>[4.5</w:t>
      </w:r>
      <w:r>
        <w:rPr>
          <w:rFonts w:ascii="Times New Roman" w:cs="Times New Roman" w:eastAsia="Times New Roman" w:hAnsi="Times New Roman"/>
          <w:sz w:val="11"/>
          <w:szCs w:val="11"/>
          <w:u w:val="single" w:color="auto"/>
          <w:color w:val="auto"/>
        </w:rPr>
        <w:t> </w:t>
      </w:r>
      <w:r>
        <w:rPr>
          <w:rFonts w:ascii="Times New Roman" w:cs="Times New Roman" w:eastAsia="Times New Roman" w:hAnsi="Times New Roman"/>
          <w:sz w:val="11"/>
          <w:szCs w:val="11"/>
          <w:b w:val="1"/>
          <w:bCs w:val="1"/>
          <w:u w:val="single" w:color="auto"/>
          <w:color w:val="auto"/>
        </w:rPr>
        <w:t>Securities Laws Disclosure; Publicity</w:t>
      </w:r>
      <w:r>
        <w:rPr>
          <w:rFonts w:ascii="Times New Roman" w:cs="Times New Roman" w:eastAsia="Times New Roman" w:hAnsi="Times New Roman"/>
          <w:sz w:val="11"/>
          <w:szCs w:val="11"/>
          <w:color w:val="auto"/>
        </w:rPr>
        <w:t>. The Company shall within one Business Day of the date of the entry into the Business Combination Agreement (a) issue a press release disclosing the material terms of the transactions contemplated hereby, and (b) file a Current Report on Form 8-K, including the Transaction Documents and the Investor Presentation as exhibits thereto, with the Commission (11:59 P.M Eastern Time on the date of the filing of such registration statement and proxy statement and/or prospectus, the “</w:t>
      </w:r>
      <w:r>
        <w:rPr>
          <w:rFonts w:ascii="Times New Roman" w:cs="Times New Roman" w:eastAsia="Times New Roman" w:hAnsi="Times New Roman"/>
          <w:sz w:val="11"/>
          <w:szCs w:val="11"/>
          <w:b w:val="1"/>
          <w:bCs w:val="1"/>
          <w:color w:val="auto"/>
        </w:rPr>
        <w:t>Cleanse Time</w:t>
      </w:r>
      <w:r>
        <w:rPr>
          <w:rFonts w:ascii="Times New Roman" w:cs="Times New Roman" w:eastAsia="Times New Roman" w:hAnsi="Times New Roman"/>
          <w:sz w:val="11"/>
          <w:szCs w:val="11"/>
          <w:color w:val="auto"/>
        </w:rPr>
        <w:t>”). As soon as practicable following the Cleanse Time, the Company shall inform the Purchaser in writing that it is no longer in possession of material, non-public information regarding the Company. From and after the Cleanse Time, the Company represents to the Purchaser that it shall have publicly disclosed all material, non-public information, as of immediately prior to the Cleanse Time, delivered to the Purchaser by the Company or any of its officers, directors, employees or agents in connection with the transactions contemplated by the Transaction Documents. Notwithstanding the foregoing, the Company shall not publicly disclose the name of the Purchaser, or include the name of the Purchaser in any filing with the Commission or any regulatory agency or Trading Market, without the prior written consent of the Purchaser (not to be unreasonably withheld, delayed or conditioned), </w:t>
      </w:r>
      <w:r>
        <w:rPr>
          <w:rFonts w:ascii="Times New Roman" w:cs="Times New Roman" w:eastAsia="Times New Roman" w:hAnsi="Times New Roman"/>
          <w:sz w:val="11"/>
          <w:szCs w:val="11"/>
          <w:i w:val="1"/>
          <w:iCs w:val="1"/>
          <w:color w:val="auto"/>
        </w:rPr>
        <w:t>except</w:t>
      </w:r>
      <w:r>
        <w:rPr>
          <w:rFonts w:ascii="Times New Roman" w:cs="Times New Roman" w:eastAsia="Times New Roman" w:hAnsi="Times New Roman"/>
          <w:sz w:val="11"/>
          <w:szCs w:val="11"/>
          <w:color w:val="auto"/>
        </w:rPr>
        <w:t xml:space="preserve"> (a) as required by federal securities law or requested by the staff of the Commission in connection with (i) any filings in connection with the Business Combination, (ii) any registration statement contemplated by </w:t>
      </w:r>
      <w:r>
        <w:rPr>
          <w:rFonts w:ascii="Times New Roman" w:cs="Times New Roman" w:eastAsia="Times New Roman" w:hAnsi="Times New Roman"/>
          <w:sz w:val="11"/>
          <w:szCs w:val="11"/>
          <w:u w:val="single" w:color="auto"/>
          <w:color w:val="auto"/>
        </w:rPr>
        <w:t>Section 4.10</w:t>
      </w:r>
      <w:r>
        <w:rPr>
          <w:rFonts w:ascii="Times New Roman" w:cs="Times New Roman" w:eastAsia="Times New Roman" w:hAnsi="Times New Roman"/>
          <w:sz w:val="11"/>
          <w:szCs w:val="11"/>
          <w:color w:val="auto"/>
        </w:rPr>
        <w:t xml:space="preserve"> of this Agreement and (iii) the filing of final Transaction Documents with the Commission and (b) to the extent such disclosure is required by law or Trading Market regulations, in</w:t>
      </w:r>
    </w:p>
    <w:p>
      <w:pPr>
        <w:spacing w:after="0" w:line="1" w:lineRule="exact"/>
        <w:rPr>
          <w:sz w:val="20"/>
          <w:szCs w:val="20"/>
          <w:color w:val="auto"/>
        </w:rPr>
      </w:pPr>
    </w:p>
    <w:p>
      <w:pPr>
        <w:ind w:left="8" w:right="5440"/>
        <w:spacing w:after="0" w:line="212" w:lineRule="auto"/>
        <w:rPr>
          <w:sz w:val="20"/>
          <w:szCs w:val="20"/>
          <w:color w:val="auto"/>
        </w:rPr>
      </w:pPr>
      <w:r>
        <w:rPr>
          <w:rFonts w:ascii="Times New Roman" w:cs="Times New Roman" w:eastAsia="Times New Roman" w:hAnsi="Times New Roman"/>
          <w:sz w:val="12"/>
          <w:szCs w:val="12"/>
          <w:color w:val="auto"/>
        </w:rPr>
        <w:t>which case the Company shall provide the Purchaser with prior notice of such disclosure permitted under this clause (b).]</w:t>
      </w:r>
      <w:r>
        <w:rPr>
          <w:rFonts w:ascii="Times New Roman" w:cs="Times New Roman" w:eastAsia="Times New Roman" w:hAnsi="Times New Roman"/>
          <w:sz w:val="19"/>
          <w:szCs w:val="19"/>
          <w:color w:val="auto"/>
          <w:vertAlign w:val="superscript"/>
        </w:rPr>
        <w:t>5</w:t>
      </w:r>
      <w:r>
        <w:rPr>
          <w:rFonts w:ascii="Times New Roman" w:cs="Times New Roman" w:eastAsia="Times New Roman" w:hAnsi="Times New Roman"/>
          <w:sz w:val="12"/>
          <w:szCs w:val="12"/>
          <w:color w:val="auto"/>
        </w:rPr>
        <w:t xml:space="preserve">  </w:t>
      </w:r>
    </w:p>
    <w:p>
      <w:pPr>
        <w:ind w:left="8"/>
        <w:spacing w:after="0" w:line="189" w:lineRule="auto"/>
        <w:rPr>
          <w:sz w:val="20"/>
          <w:szCs w:val="20"/>
          <w:color w:val="auto"/>
        </w:rPr>
      </w:pPr>
      <w:r>
        <w:rPr>
          <w:rFonts w:ascii="Times New Roman" w:cs="Times New Roman" w:eastAsia="Times New Roman" w:hAnsi="Times New Roman"/>
          <w:sz w:val="12"/>
          <w:szCs w:val="12"/>
          <w:color w:val="auto"/>
        </w:rPr>
        <w:t>[4.5</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12"/>
          <w:szCs w:val="12"/>
          <w:b w:val="1"/>
          <w:bCs w:val="1"/>
          <w:u w:val="single" w:color="auto"/>
          <w:color w:val="auto"/>
        </w:rPr>
        <w:t>[Reserved]</w:t>
      </w:r>
      <w:r>
        <w:rPr>
          <w:rFonts w:ascii="Times New Roman" w:cs="Times New Roman" w:eastAsia="Times New Roman" w:hAnsi="Times New Roman"/>
          <w:sz w:val="12"/>
          <w:szCs w:val="12"/>
          <w:color w:val="auto"/>
        </w:rPr>
        <w:t>.]</w:t>
      </w:r>
      <w:r>
        <w:rPr>
          <w:rFonts w:ascii="Times New Roman" w:cs="Times New Roman" w:eastAsia="Times New Roman" w:hAnsi="Times New Roman"/>
          <w:sz w:val="19"/>
          <w:szCs w:val="19"/>
          <w:b w:val="1"/>
          <w:bCs w:val="1"/>
          <w:u w:val="single" w:color="auto"/>
          <w:color w:val="auto"/>
          <w:vertAlign w:val="superscript"/>
        </w:rPr>
        <w:t>6</w:t>
      </w:r>
    </w:p>
    <w:p>
      <w:pPr>
        <w:ind w:left="8"/>
        <w:spacing w:after="0"/>
        <w:rPr>
          <w:sz w:val="20"/>
          <w:szCs w:val="20"/>
          <w:color w:val="auto"/>
        </w:rPr>
      </w:pPr>
      <w:r>
        <w:rPr>
          <w:rFonts w:ascii="Times New Roman" w:cs="Times New Roman" w:eastAsia="Times New Roman" w:hAnsi="Times New Roman"/>
          <w:sz w:val="12"/>
          <w:szCs w:val="12"/>
          <w:color w:val="auto"/>
        </w:rPr>
        <w:t> </w:t>
      </w:r>
    </w:p>
    <w:p>
      <w:pPr>
        <w:spacing w:after="0" w:line="5" w:lineRule="exact"/>
        <w:rPr>
          <w:sz w:val="20"/>
          <w:szCs w:val="20"/>
          <w:color w:val="auto"/>
        </w:rPr>
      </w:pPr>
    </w:p>
    <w:p>
      <w:pPr>
        <w:jc w:val="both"/>
        <w:ind w:left="8"/>
        <w:spacing w:after="0" w:line="250" w:lineRule="auto"/>
        <w:rPr>
          <w:sz w:val="20"/>
          <w:szCs w:val="20"/>
          <w:color w:val="auto"/>
        </w:rPr>
      </w:pPr>
      <w:r>
        <w:rPr>
          <w:rFonts w:ascii="Times New Roman" w:cs="Times New Roman" w:eastAsia="Times New Roman" w:hAnsi="Times New Roman"/>
          <w:sz w:val="12"/>
          <w:szCs w:val="12"/>
          <w:color w:val="auto"/>
        </w:rPr>
        <w:t>[4.6</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12"/>
          <w:szCs w:val="12"/>
          <w:b w:val="1"/>
          <w:bCs w:val="1"/>
          <w:u w:val="single" w:color="auto"/>
          <w:color w:val="auto"/>
        </w:rPr>
        <w:t>Non-Public Information</w:t>
      </w:r>
      <w:r>
        <w:rPr>
          <w:rFonts w:ascii="Times New Roman" w:cs="Times New Roman" w:eastAsia="Times New Roman" w:hAnsi="Times New Roman"/>
          <w:sz w:val="12"/>
          <w:szCs w:val="12"/>
          <w:color w:val="auto"/>
        </w:rPr>
        <w:t>. From and after the Cleanse Time, the Company covenants and agrees that neither it, nor any other Person acting on its behalf will provide the Purchaser or its agents or counsel with any information that constitutes, or the Company reasonably believes constitutes, material non-public information, unless prior thereto the Purchaser shall have consented in writing to the receipt of such information and agreed with the Company to keep such information confidential. To the extent that, after the Cleanse Time, the Company or any of its officers, directors, agents, employees or Affiliates delivers any material, non-public information to the Purchaser without the Purchaser’s consent, the Company hereby covenants and agrees that the Purchaser shall not have any duty of trust or confidentiality to the Company or any of its officers, directors, agents, employees or Affiliates, or a duty to the Company or any of its officers, directors, agents, employees or Affiliates not to trade while aware of, such material, non-public information, provided that the Purchaser shall remain subject to applicable law. To the extent that any notice provided pursuant to any Transaction Document constitutes, or contains, material, non-public information regarding the Company or the Target, the Company shall simultaneously file such notice with the Commission pursuant</w:t>
      </w:r>
    </w:p>
    <w:p>
      <w:pPr>
        <w:spacing w:after="0" w:line="2" w:lineRule="exact"/>
        <w:rPr>
          <w:sz w:val="20"/>
          <w:szCs w:val="20"/>
          <w:color w:val="auto"/>
        </w:rPr>
      </w:pPr>
    </w:p>
    <w:p>
      <w:pPr>
        <w:ind w:left="8" w:right="2040"/>
        <w:spacing w:after="0" w:line="212" w:lineRule="auto"/>
        <w:rPr>
          <w:sz w:val="20"/>
          <w:szCs w:val="20"/>
          <w:color w:val="auto"/>
        </w:rPr>
      </w:pPr>
      <w:r>
        <w:rPr>
          <w:rFonts w:ascii="Times New Roman" w:cs="Times New Roman" w:eastAsia="Times New Roman" w:hAnsi="Times New Roman"/>
          <w:sz w:val="12"/>
          <w:szCs w:val="12"/>
          <w:color w:val="auto"/>
        </w:rPr>
        <w:t>to a Current Report on Form 8-K. The Company understands and confirms that the Purchaser shall be relying on the foregoing covenants in effecting transactions in securities of the Company.]</w:t>
      </w:r>
      <w:r>
        <w:rPr>
          <w:rFonts w:ascii="Times New Roman" w:cs="Times New Roman" w:eastAsia="Times New Roman" w:hAnsi="Times New Roman"/>
          <w:sz w:val="19"/>
          <w:szCs w:val="19"/>
          <w:color w:val="auto"/>
          <w:vertAlign w:val="superscript"/>
        </w:rPr>
        <w:t>7</w:t>
      </w:r>
      <w:r>
        <w:rPr>
          <w:rFonts w:ascii="Times New Roman" w:cs="Times New Roman" w:eastAsia="Times New Roman" w:hAnsi="Times New Roman"/>
          <w:sz w:val="12"/>
          <w:szCs w:val="1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179451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5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0"/>
          <w:szCs w:val="10"/>
          <w:color w:val="auto"/>
        </w:rPr>
        <w:t> </w:t>
      </w:r>
    </w:p>
    <w:p>
      <w:pPr>
        <w:ind w:left="88" w:hanging="88"/>
        <w:spacing w:after="0" w:line="186" w:lineRule="auto"/>
        <w:tabs>
          <w:tab w:leader="none" w:pos="88" w:val="left"/>
        </w:tabs>
        <w:numPr>
          <w:ilvl w:val="0"/>
          <w:numId w:val="6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For Instiutional Investors</w:t>
      </w:r>
    </w:p>
    <w:p>
      <w:pPr>
        <w:spacing w:after="0" w:line="28" w:lineRule="exact"/>
        <w:rPr>
          <w:rFonts w:ascii="Times New Roman" w:cs="Times New Roman" w:eastAsia="Times New Roman" w:hAnsi="Times New Roman"/>
          <w:sz w:val="19"/>
          <w:szCs w:val="19"/>
          <w:color w:val="auto"/>
          <w:vertAlign w:val="superscript"/>
        </w:rPr>
      </w:pPr>
    </w:p>
    <w:p>
      <w:pPr>
        <w:ind w:left="8"/>
        <w:spacing w:after="0" w:line="187"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2"/>
          <w:szCs w:val="12"/>
          <w:color w:val="auto"/>
        </w:rPr>
        <w:t xml:space="preserve"> For Sponsor affiliates</w:t>
      </w:r>
    </w:p>
    <w:p>
      <w:pPr>
        <w:ind w:left="8"/>
        <w:spacing w:after="0" w:line="187"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6"/>
          <w:szCs w:val="16"/>
          <w:color w:val="auto"/>
          <w:vertAlign w:val="superscript"/>
        </w:rPr>
        <w:t>7</w:t>
      </w:r>
      <w:r>
        <w:rPr>
          <w:rFonts w:ascii="Times New Roman" w:cs="Times New Roman" w:eastAsia="Times New Roman" w:hAnsi="Times New Roman"/>
          <w:sz w:val="10"/>
          <w:szCs w:val="10"/>
          <w:color w:val="auto"/>
        </w:rPr>
        <w:t xml:space="preserve"> For Institutional Investors</w:t>
      </w:r>
    </w:p>
    <w:p>
      <w:pPr>
        <w:ind w:left="8"/>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 </w:t>
      </w:r>
    </w:p>
    <w:p>
      <w:pPr>
        <w:spacing w:after="0" w:line="13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7804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151" w:name="page152"/>
    <w:bookmarkEnd w:id="151"/>
    <w:p>
      <w:pPr>
        <w:ind w:left="8"/>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jc w:val="both"/>
        <w:ind w:left="8"/>
        <w:spacing w:after="0" w:line="239" w:lineRule="auto"/>
        <w:rPr>
          <w:sz w:val="20"/>
          <w:szCs w:val="20"/>
          <w:color w:val="auto"/>
        </w:rPr>
      </w:pPr>
      <w:r>
        <w:rPr>
          <w:rFonts w:ascii="Times New Roman" w:cs="Times New Roman" w:eastAsia="Times New Roman" w:hAnsi="Times New Roman"/>
          <w:sz w:val="12"/>
          <w:szCs w:val="12"/>
          <w:color w:val="auto"/>
        </w:rPr>
        <w:t>[4.6</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12"/>
          <w:szCs w:val="12"/>
          <w:b w:val="1"/>
          <w:bCs w:val="1"/>
          <w:u w:val="single" w:color="auto"/>
          <w:color w:val="auto"/>
        </w:rPr>
        <w:t>Non-Public Information</w:t>
      </w:r>
      <w:r>
        <w:rPr>
          <w:rFonts w:ascii="Times New Roman" w:cs="Times New Roman" w:eastAsia="Times New Roman" w:hAnsi="Times New Roman"/>
          <w:sz w:val="12"/>
          <w:szCs w:val="12"/>
          <w:color w:val="auto"/>
        </w:rPr>
        <w:t>. From and after the Company’s filing of the registration and proxy statement in connection with the Business Combination (the “</w:t>
      </w:r>
      <w:r>
        <w:rPr>
          <w:rFonts w:ascii="Times New Roman" w:cs="Times New Roman" w:eastAsia="Times New Roman" w:hAnsi="Times New Roman"/>
          <w:sz w:val="12"/>
          <w:szCs w:val="12"/>
          <w:b w:val="1"/>
          <w:bCs w:val="1"/>
          <w:i w:val="1"/>
          <w:iCs w:val="1"/>
          <w:color w:val="auto"/>
        </w:rPr>
        <w:t>Cleanse Time</w:t>
      </w:r>
      <w:r>
        <w:rPr>
          <w:rFonts w:ascii="Times New Roman" w:cs="Times New Roman" w:eastAsia="Times New Roman" w:hAnsi="Times New Roman"/>
          <w:sz w:val="12"/>
          <w:szCs w:val="12"/>
          <w:color w:val="auto"/>
        </w:rPr>
        <w:t>”), the Company covenants and agrees that neither it, nor any other Person acting on its behalf will provide the Purchaser or its agents or counsel with any information that constitutes, or the Company reasonably believes constitutes, material non-public information, unless prior thereto the Purchaser shall have consented in writing to the receipt of such information and agreed with the Company to keep such information confidential. To the extent that, after the Cleanse Time, the Company or any of its officers, directors, agents, employees or Affiliates delivers any material, non-public information to the Purchaser without the Purchaser’s consent, the Company hereby covenants and agrees that the Purchaser shall not have any duty of trust or confidentiality to the Company or any of its officers, directors, agents, employees or Affiliates, or a duty to the Company or any of its officers, directors, agents, employees or Affiliates not to trade while aware of, such material, non-public information, provided that the Purchaser shall remain subject to applicable law. To the extent that any notice provided pursuant to any Transaction Document constitutes, or contains, material, non-public information regarding the Company or the Target, the Company shall simultaneously file such notice with the Commission pursuant to a Current Report on Form 8-K. The Company understands and confirms that the Purchaser shall be relying on the foregoing covenants in effecting transactions in securities of the Company.]</w:t>
      </w:r>
      <w:r>
        <w:rPr>
          <w:rFonts w:ascii="Times New Roman" w:cs="Times New Roman" w:eastAsia="Times New Roman" w:hAnsi="Times New Roman"/>
          <w:sz w:val="19"/>
          <w:szCs w:val="19"/>
          <w:color w:val="auto"/>
          <w:vertAlign w:val="superscript"/>
        </w:rPr>
        <w:t>8</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w:t>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4.7</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12"/>
          <w:szCs w:val="12"/>
          <w:b w:val="1"/>
          <w:bCs w:val="1"/>
          <w:u w:val="single" w:color="auto"/>
          <w:color w:val="auto"/>
        </w:rPr>
        <w:t>Indemnification</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both"/>
        <w:ind w:left="428" w:hanging="212"/>
        <w:spacing w:after="0" w:line="250" w:lineRule="auto"/>
        <w:tabs>
          <w:tab w:leader="none" w:pos="428"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To the extent Purchaser is named as a selling stockholder under any Registration Statement, the Company shall indemnify and hold harmless, to the extent permitted by law, Purchaser, its directors, trustees, officers, partners, members, managers, stockholders, affiliates, employees, advisers and agents, and each person who controls Purchaser (within the meaning of the Securities Act or the Exchange Act) and each affiliate of Purchaser (within the meaning of Rule 405 under the Securities Act) from and against any and all Losses (including, without limitation, any reasonable and documented attorneys’ fees and expenses incurred in connection with defending or investigating any such action or claim) that arise out of or are caused by, based upon, arising out of or relating to (i) any untrue or alleged untrue statement of material fact contained in such Registration Statement, any prospectus included in such Registration Statement or preliminary prospectus or any amendment thereof or supplement thereto, or document incorporated therein by reference, (ii) or any omission or alleged omission of a material fact required to be stated therein or necessary to make the statements therein (in the case of a prospectus, in light of the circumstances in which they were made) not misleading, or (iii) any violation or alleged violation by the Company of the Securities Act, Exchange Act, or any state securities laws or rule or regulation thereunder, in connection with the performance of its obligations under </w:t>
      </w:r>
      <w:r>
        <w:rPr>
          <w:rFonts w:ascii="Times New Roman" w:cs="Times New Roman" w:eastAsia="Times New Roman" w:hAnsi="Times New Roman"/>
          <w:sz w:val="12"/>
          <w:szCs w:val="12"/>
          <w:u w:val="single" w:color="auto"/>
          <w:color w:val="auto"/>
        </w:rPr>
        <w:t>Section 4.10</w:t>
      </w:r>
      <w:r>
        <w:rPr>
          <w:rFonts w:ascii="Times New Roman" w:cs="Times New Roman" w:eastAsia="Times New Roman" w:hAnsi="Times New Roman"/>
          <w:sz w:val="12"/>
          <w:szCs w:val="12"/>
          <w:color w:val="auto"/>
        </w:rPr>
        <w:t xml:space="preserve"> of this Agreement, except insofar as such untrue statement, alleged untrue statement, omissions, or alleged omission is caused by or contained in any information furnished in writing to the Company by or on behalf of the Purchaser expressly for use therein.</w:t>
      </w:r>
    </w:p>
    <w:p>
      <w:pPr>
        <w:spacing w:after="0" w:line="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both"/>
        <w:ind w:left="428" w:hanging="212"/>
        <w:spacing w:after="0" w:line="250" w:lineRule="auto"/>
        <w:tabs>
          <w:tab w:leader="none" w:pos="428"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To the extent permitted by law, and in connection with any Registration Statement in which Purchaser is participating as a selling stockholder, Purchaser agrees, severally and not jointly with any other investor in the PIPE Financing, to indemnify and hold harmless the Company and its directors, officers, employees and agents, and each person who controls the Company (within the meaning of the Securities Act or the Exchange Act) and each affiliate of the Company against any Losses (including, without limitation, reasonable attorneys’ fees and expenses incurred in connection with defending or investigating any such action or claim) caused by any untrue or alleged untrue statement of material fact contained in any Registration Statement, any prospectus included in any Registration Statement or preliminary prospectus or any amendment thereof or supplement thereto or any omission or alleged omission of a material fact required to be stated therein or necessary to make the statements therein (in the case of a prospectus, in the light of the circumstances in which they were made) not misleading, but only to the extent that such untrue statement, alleged untrue statement, omissions, or alleged omission is caused by or contained in any Purchaser Information furnished in writing to the Company by or on behalf of Purchaser expressly for use therein;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xml:space="preserve">, that the indemnification contained in this </w:t>
      </w:r>
      <w:r>
        <w:rPr>
          <w:rFonts w:ascii="Times New Roman" w:cs="Times New Roman" w:eastAsia="Times New Roman" w:hAnsi="Times New Roman"/>
          <w:sz w:val="12"/>
          <w:szCs w:val="12"/>
          <w:u w:val="single" w:color="auto"/>
          <w:color w:val="auto"/>
        </w:rPr>
        <w:t>Section 4.7(b) </w:t>
      </w:r>
      <w:r>
        <w:rPr>
          <w:rFonts w:ascii="Times New Roman" w:cs="Times New Roman" w:eastAsia="Times New Roman" w:hAnsi="Times New Roman"/>
          <w:sz w:val="12"/>
          <w:szCs w:val="12"/>
          <w:color w:val="auto"/>
        </w:rPr>
        <w:t xml:space="preserve">shall not apply to amounts paid in settlement of any such Losses if such settlement is effected without the consent of Purchaser. In no event shall the liability of Purchaser payable by way of indemnity or contribution under this </w:t>
      </w:r>
      <w:r>
        <w:rPr>
          <w:rFonts w:ascii="Times New Roman" w:cs="Times New Roman" w:eastAsia="Times New Roman" w:hAnsi="Times New Roman"/>
          <w:sz w:val="12"/>
          <w:szCs w:val="12"/>
          <w:u w:val="single" w:color="auto"/>
          <w:color w:val="auto"/>
        </w:rPr>
        <w:t>Section 4.7(b) </w:t>
      </w:r>
      <w:r>
        <w:rPr>
          <w:rFonts w:ascii="Times New Roman" w:cs="Times New Roman" w:eastAsia="Times New Roman" w:hAnsi="Times New Roman"/>
          <w:sz w:val="12"/>
          <w:szCs w:val="12"/>
          <w:color w:val="auto"/>
        </w:rPr>
        <w:t>be greater than the dollar amount of the net proceeds received by Purchaser upon the sale of the Purchased Shares purchased pursuant to this Agreement giving rise to such indemnification or contribution obligation.</w:t>
      </w:r>
    </w:p>
    <w:p>
      <w:pPr>
        <w:spacing w:after="0" w:line="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179451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6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0"/>
          <w:szCs w:val="10"/>
          <w:color w:val="auto"/>
        </w:rPr>
        <w:t> </w:t>
      </w:r>
    </w:p>
    <w:p>
      <w:pPr>
        <w:ind w:left="88" w:hanging="88"/>
        <w:spacing w:after="0" w:line="186" w:lineRule="auto"/>
        <w:tabs>
          <w:tab w:leader="none" w:pos="88" w:val="left"/>
        </w:tabs>
        <w:numPr>
          <w:ilvl w:val="0"/>
          <w:numId w:val="6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For Sponsor affiliates</w:t>
      </w:r>
    </w:p>
    <w:p>
      <w:pPr>
        <w:spacing w:after="0" w:line="1" w:lineRule="exact"/>
        <w:rPr>
          <w:rFonts w:ascii="Times New Roman" w:cs="Times New Roman" w:eastAsia="Times New Roman" w:hAnsi="Times New Roman"/>
          <w:sz w:val="19"/>
          <w:szCs w:val="19"/>
          <w:color w:val="auto"/>
          <w:vertAlign w:val="superscript"/>
        </w:rPr>
      </w:pPr>
    </w:p>
    <w:p>
      <w:pPr>
        <w:ind w:left="8"/>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 </w:t>
      </w:r>
    </w:p>
    <w:p>
      <w:pPr>
        <w:spacing w:after="0" w:line="13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7804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(c) If any Action or Proceeding shall be brought against any Person in respect of which indemnity may be sought pursuant to this Agreement, such Person (the “</w:t>
      </w:r>
      <w:r>
        <w:rPr>
          <w:rFonts w:ascii="Times New Roman" w:cs="Times New Roman" w:eastAsia="Times New Roman" w:hAnsi="Times New Roman"/>
          <w:sz w:val="12"/>
          <w:szCs w:val="12"/>
          <w:b w:val="1"/>
          <w:bCs w:val="1"/>
          <w:color w:val="auto"/>
        </w:rPr>
        <w:t>Indemnified Party</w:t>
      </w:r>
      <w:r>
        <w:rPr>
          <w:rFonts w:ascii="Times New Roman" w:cs="Times New Roman" w:eastAsia="Times New Roman" w:hAnsi="Times New Roman"/>
          <w:sz w:val="12"/>
          <w:szCs w:val="12"/>
          <w:color w:val="auto"/>
        </w:rPr>
        <w:t>”) shall promptly notify the Person against whom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such indemnity may be sought (the “</w:t>
      </w:r>
      <w:r>
        <w:rPr>
          <w:rFonts w:ascii="Times New Roman" w:cs="Times New Roman" w:eastAsia="Times New Roman" w:hAnsi="Times New Roman"/>
          <w:sz w:val="12"/>
          <w:szCs w:val="12"/>
          <w:b w:val="1"/>
          <w:bCs w:val="1"/>
          <w:color w:val="auto"/>
        </w:rPr>
        <w:t>Indemnifying Party</w:t>
      </w:r>
      <w:r>
        <w:rPr>
          <w:rFonts w:ascii="Times New Roman" w:cs="Times New Roman" w:eastAsia="Times New Roman" w:hAnsi="Times New Roman"/>
          <w:sz w:val="12"/>
          <w:szCs w:val="12"/>
          <w:color w:val="auto"/>
        </w:rPr>
        <w:t>”) in writing, but the omission to notify such Indemnifying Party will not relieve the Indemnifying Party from any liability that it may have to any Indemnified Party under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w:t>
      </w:r>
      <w:r>
        <w:rPr>
          <w:rFonts w:ascii="Times New Roman" w:cs="Times New Roman" w:eastAsia="Times New Roman" w:hAnsi="Times New Roman"/>
          <w:sz w:val="12"/>
          <w:szCs w:val="12"/>
          <w:u w:val="single" w:color="auto"/>
          <w:color w:val="auto"/>
        </w:rPr>
        <w:t>Section 4.7 </w:t>
      </w:r>
      <w:r>
        <w:rPr>
          <w:rFonts w:ascii="Times New Roman" w:cs="Times New Roman" w:eastAsia="Times New Roman" w:hAnsi="Times New Roman"/>
          <w:sz w:val="12"/>
          <w:szCs w:val="12"/>
          <w:color w:val="auto"/>
        </w:rPr>
        <w:t>unless, and only to the extent that, such omission results in the forfeiture of substantive rights or defenses by the Indemnifying Party. The Indemnifying Party shall have the right to assume the defense thereof with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counsel of its own choosing reasonably acceptable to the Indemnified Party. Any Indemnified Party shall have the right to employ separate counsel in any such Action or Proceeding and participate in the defense thereof, but the fees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 expenses of such counsel shall be at the expense of such Indemnified Party except to the extent that (i) the employment thereof has been specifically authorized by the Indemnifying Party in writing, (ii) the Indemnifying Party has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failed after a reasonable period of time to assume such defense and to employ counsel or (iii) in such Action or Proceeding there is, in the reasonable opinion of counsel, a material conflict on any material issue between the position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Indemnifying Party and the position of such Indemnified Party, in which case the Indemnifying Party shall be responsible for the reasonable fees and expenses of no more than one such separate counsel. The Indemnifying Party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shall not be liable for any settlement of any Proceeding effected without its written consent, but if settled with such consent or if there be a final judgment for the plaintiff, the Indemnifying Party agrees to indemnify the Indemnified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Party from and against any Loss or liability by reason of such settlement or judgment. No Indemnifying Party shall, without the prior written consent of the Indemnified Party, effect any settlement of any pending or threatened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Proceeding in respect of which any Indemnified Party is or could have been a party and indemnity could have been sought hereunder by such Indemnified Party, unless such settlement includes an unconditional release of such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Indemnified Party from all liability on claims that are the subject matter of such Proceeding.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2"/>
          <w:szCs w:val="12"/>
          <w:color w:val="auto"/>
        </w:rPr>
        <w:t>4.8</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12"/>
          <w:szCs w:val="12"/>
          <w:b w:val="1"/>
          <w:bCs w:val="1"/>
          <w:u w:val="single" w:color="auto"/>
          <w:color w:val="auto"/>
        </w:rPr>
        <w:t>Certain Transactions and Confidentiality</w:t>
      </w:r>
      <w:r>
        <w:rPr>
          <w:rFonts w:ascii="Times New Roman" w:cs="Times New Roman" w:eastAsia="Times New Roman" w:hAnsi="Times New Roman"/>
          <w:sz w:val="12"/>
          <w:szCs w:val="12"/>
          <w:color w:val="auto"/>
        </w:rPr>
        <w:t>. The Purchaser covenants that neither it, nor any Affiliate acting on its behalf or pursuant to any understanding with it will execute any purchases or sales of any of the Company’s securities during the period commencing with the execution of this Agreement and ending at the Cleanse Time. The Purchaser covenants that until such time as the transactions contemplated by this Agreement are publicly disclosed by the Company pursuant to the initial press release and the Current Report on Form 8-K as described in</w:t>
      </w:r>
      <w:r>
        <w:rPr>
          <w:rFonts w:ascii="Times New Roman" w:cs="Times New Roman" w:eastAsia="Times New Roman" w:hAnsi="Times New Roman"/>
          <w:sz w:val="12"/>
          <w:szCs w:val="12"/>
          <w:u w:val="single" w:color="auto"/>
          <w:color w:val="auto"/>
        </w:rPr>
        <w:t> Section 4.5</w:t>
      </w:r>
      <w:r>
        <w:rPr>
          <w:rFonts w:ascii="Times New Roman" w:cs="Times New Roman" w:eastAsia="Times New Roman" w:hAnsi="Times New Roman"/>
          <w:sz w:val="12"/>
          <w:szCs w:val="12"/>
          <w:color w:val="auto"/>
        </w:rPr>
        <w:t>, the Purchaser will maintain the confidentiality of the existence and terms of this transaction. Notwithstanding the foregoing, and notwithstanding anything contained in this Agreement to the contrary, the Company expressly acknowledges and agrees that, (i) the Purchaser does not make any representation, warranty or covenant hereby that it will not engage in effecting transactions in any securities of the Company after the Cleanse Time and (ii) the Purchaser shall not be restricted or prohibited from effecting any transactions in any securities of the Company in accordance with applicable securities laws from and after the Cleanse Time. Notwithstanding the foregoing, each of the Company, the Placement Agent and Purchaser is irrevocably authorized to produce this Agreement or a copy hereof to any interested party in any administrative or legal proceeding or official inquiry with respect to the matters covered hereby to the extent required by law or regulatory bodies.  </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4.9</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12"/>
          <w:szCs w:val="12"/>
          <w:b w:val="1"/>
          <w:bCs w:val="1"/>
          <w:u w:val="single" w:color="auto"/>
          <w:color w:val="auto"/>
        </w:rPr>
        <w:t>Blue Sky Filings</w:t>
      </w:r>
      <w:r>
        <w:rPr>
          <w:rFonts w:ascii="Times New Roman" w:cs="Times New Roman" w:eastAsia="Times New Roman" w:hAnsi="Times New Roman"/>
          <w:sz w:val="12"/>
          <w:szCs w:val="12"/>
          <w:color w:val="auto"/>
        </w:rPr>
        <w:t>. The Company shall take such action as the Company shall reasonably determine is necessary in order to obtain an exemption for, or to qualify the Purchased Shares for, sale to the Purchaser at the Closing under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applicable securities or “Blue Sky” laws of the states of the United States.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4.10</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12"/>
          <w:szCs w:val="12"/>
          <w:b w:val="1"/>
          <w:bCs w:val="1"/>
          <w:u w:val="single" w:color="auto"/>
          <w:color w:val="auto"/>
        </w:rPr>
        <w:t>Registration Rights</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both"/>
        <w:ind w:firstLine="208"/>
        <w:spacing w:after="0" w:line="243" w:lineRule="auto"/>
        <w:tabs>
          <w:tab w:leader="none" w:pos="392"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submit or file with the Commission (at the Company’s sole cost and expense) a registration statement registering the resale of the Purchased Shares and naming the Purchaser as a selling stockholder thereunder (the “</w:t>
      </w:r>
      <w:r>
        <w:rPr>
          <w:rFonts w:ascii="Times New Roman" w:cs="Times New Roman" w:eastAsia="Times New Roman" w:hAnsi="Times New Roman"/>
          <w:sz w:val="12"/>
          <w:szCs w:val="12"/>
          <w:b w:val="1"/>
          <w:bCs w:val="1"/>
          <w:color w:val="auto"/>
        </w:rPr>
        <w:t>Registration Statement</w:t>
      </w:r>
      <w:r>
        <w:rPr>
          <w:rFonts w:ascii="Times New Roman" w:cs="Times New Roman" w:eastAsia="Times New Roman" w:hAnsi="Times New Roman"/>
          <w:sz w:val="12"/>
          <w:szCs w:val="12"/>
          <w:color w:val="auto"/>
        </w:rPr>
        <w:t>”) no later than thirty (30) calendar days after the Closing (such deadline the “</w:t>
      </w:r>
      <w:r>
        <w:rPr>
          <w:rFonts w:ascii="Times New Roman" w:cs="Times New Roman" w:eastAsia="Times New Roman" w:hAnsi="Times New Roman"/>
          <w:sz w:val="12"/>
          <w:szCs w:val="12"/>
          <w:b w:val="1"/>
          <w:bCs w:val="1"/>
          <w:color w:val="auto"/>
        </w:rPr>
        <w:t>Filing Deadline</w:t>
      </w:r>
      <w:r>
        <w:rPr>
          <w:rFonts w:ascii="Times New Roman" w:cs="Times New Roman" w:eastAsia="Times New Roman" w:hAnsi="Times New Roman"/>
          <w:sz w:val="12"/>
          <w:szCs w:val="12"/>
          <w:color w:val="auto"/>
        </w:rPr>
        <w:t>”), and the Company shall use its commercially reasonable efforts to have the Registration Statement declared effective as soon as practicable after the filing thereof, but no later than the earlier of (i) the 60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calendar day (or 90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calendar day if the Commission notifies the Company that it will “review” the Registration Statement) following the earlier of (A) the filing of the Registration Statement and (B) the Filing Deadline, and (ii) the 7th Business Day after the date the Company is notified (orally or in writing, whichever is earlier) by the Commission that the Registration Statement will not be “reviewed” or will not be subject to further review (such deadline the “</w:t>
      </w:r>
      <w:r>
        <w:rPr>
          <w:rFonts w:ascii="Times New Roman" w:cs="Times New Roman" w:eastAsia="Times New Roman" w:hAnsi="Times New Roman"/>
          <w:sz w:val="12"/>
          <w:szCs w:val="12"/>
          <w:b w:val="1"/>
          <w:bCs w:val="1"/>
          <w:color w:val="auto"/>
        </w:rPr>
        <w:t>Effectiveness Deadline</w:t>
      </w:r>
      <w:r>
        <w:rPr>
          <w:rFonts w:ascii="Times New Roman" w:cs="Times New Roman" w:eastAsia="Times New Roman" w:hAnsi="Times New Roman"/>
          <w:sz w:val="12"/>
          <w:szCs w:val="12"/>
          <w:color w:val="auto"/>
        </w:rPr>
        <w:t>”), provided, that if the Filing Deadline or Effectiveness Deadline falls on Saturday, Sunday or other day that the Commission is closed for business, the Filing Deadline or Effectiveness Deadline, as the case may be, shall be extended to the next Business Day on which the Commission is open for business, provided, further, however, that the Company’s obligations to include Purchaser’s Purchased Shares in the Registration Statement are contingent upon Purchaser furnishing in a completed questionnaire in customary form to the Company that contains the information required by Commission rules for a Registration Statement regarding Purchaser, the securities of the Company held by Purchaser and the intended method of disposition of the Purchased Shares (which shall be limited to non-underwritten public offerings) (collectively, the “</w:t>
      </w:r>
      <w:r>
        <w:rPr>
          <w:rFonts w:ascii="Times New Roman" w:cs="Times New Roman" w:eastAsia="Times New Roman" w:hAnsi="Times New Roman"/>
          <w:sz w:val="12"/>
          <w:szCs w:val="12"/>
          <w:b w:val="1"/>
          <w:bCs w:val="1"/>
          <w:color w:val="auto"/>
        </w:rPr>
        <w:t>Purchaser Information</w:t>
      </w:r>
      <w:r>
        <w:rPr>
          <w:rFonts w:ascii="Times New Roman" w:cs="Times New Roman" w:eastAsia="Times New Roman" w:hAnsi="Times New Roman"/>
          <w:sz w:val="12"/>
          <w:szCs w:val="12"/>
          <w:color w:val="auto"/>
        </w:rPr>
        <w:t xml:space="preserve">”) as shall be reasonably requested by the Company to effect the registration of the Purchased Shares, and shall execute such documents in connection with such registration as the Company may reasonably request that are customary of a selling stockholder in similar situations, provided that Purchaser shall not in connection with the foregoing be required to execute any lock-up or similar agreement or otherwise be subject to any contractual restriction on the ability to transfer the Purchased Shares. If the Commission is closed for operations due to a government shutdown, the Effectiveness Deadline shall be extended by the same number of Business Days on which the Commission remains closed. Any failure by the Company to file the Registration Statement by the Filing Deadline or to cause the effectiveness of such Registration Statement by the Effectiveness Deadline shall not otherwise relieve the Company of its obligations to file or cause the effectiveness of the Registration Statement as set forth above in this </w:t>
      </w:r>
      <w:r>
        <w:rPr>
          <w:rFonts w:ascii="Times New Roman" w:cs="Times New Roman" w:eastAsia="Times New Roman" w:hAnsi="Times New Roman"/>
          <w:sz w:val="12"/>
          <w:szCs w:val="12"/>
          <w:u w:val="single" w:color="auto"/>
          <w:color w:val="auto"/>
        </w:rPr>
        <w:t>Section 4.10</w:t>
      </w:r>
      <w:r>
        <w:rPr>
          <w:rFonts w:ascii="Times New Roman" w:cs="Times New Roman" w:eastAsia="Times New Roman" w:hAnsi="Times New Roman"/>
          <w:sz w:val="12"/>
          <w:szCs w:val="12"/>
          <w:color w:val="auto"/>
        </w:rPr>
        <w:t>. Upon notification by the Commission that any Registration Statement has been declared effective by the Commission, and within two (2) Business Days thereafter, the Company shall file the final prospectus under Rule 424 of the Securities Act.</w:t>
      </w:r>
    </w:p>
    <w:p>
      <w:pPr>
        <w:spacing w:after="0" w:line="5"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jc w:val="both"/>
        <w:ind w:right="20" w:firstLine="208"/>
        <w:spacing w:after="0" w:line="250" w:lineRule="auto"/>
        <w:tabs>
          <w:tab w:leader="none" w:pos="396"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will provide a copy of such portions of the draft of the Registration Statement that include Purchaser Information to Purchaser for review and comment at least two (2) Business Day in advance of filing the Registration Statement, provided, that, for the avoidance of doubt, in no event shall the Company be required to delay or postpone the filing of such Registration Statement as a result of or in connection with Purchaser’s review. With respect to the Purchaser Information, the Company shall request such information at least five (5) Business Days prior to the anticipated initial filing date of the Registration Statement.</w:t>
      </w: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w:t>
      </w:r>
    </w:p>
    <w:p>
      <w:pPr>
        <w:spacing w:after="0" w:line="6" w:lineRule="exact"/>
        <w:rPr>
          <w:rFonts w:ascii="Times New Roman" w:cs="Times New Roman" w:eastAsia="Times New Roman" w:hAnsi="Times New Roman"/>
          <w:sz w:val="12"/>
          <w:szCs w:val="12"/>
          <w:color w:val="auto"/>
        </w:rPr>
      </w:pPr>
    </w:p>
    <w:p>
      <w:pPr>
        <w:jc w:val="both"/>
        <w:ind w:firstLine="208"/>
        <w:spacing w:after="0" w:line="250" w:lineRule="auto"/>
        <w:tabs>
          <w:tab w:leader="none" w:pos="382"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no event shall the Purchaser be identified as a statutory underwriter in the Registration Statement unless requested by the Commission; provided, that if the Commission requests that the Purchaser be identified as a statutory underwriter in the Registration Statement, the Purchaser will have an opportunity to withdraw from the Registration Statement, it being understood that such withdrawal shall not relieve the Company of its obligation to register for resale the Purchased Shares at a later date.</w:t>
      </w: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w:t>
      </w:r>
    </w:p>
    <w:p>
      <w:pPr>
        <w:spacing w:after="0" w:line="6" w:lineRule="exact"/>
        <w:rPr>
          <w:rFonts w:ascii="Times New Roman" w:cs="Times New Roman" w:eastAsia="Times New Roman" w:hAnsi="Times New Roman"/>
          <w:sz w:val="12"/>
          <w:szCs w:val="12"/>
          <w:color w:val="auto"/>
        </w:rPr>
      </w:pPr>
    </w:p>
    <w:p>
      <w:pPr>
        <w:jc w:val="both"/>
        <w:ind w:firstLine="208"/>
        <w:spacing w:after="0" w:line="250" w:lineRule="auto"/>
        <w:tabs>
          <w:tab w:leader="none" w:pos="39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agrees that, except for such times as the Company is permitted hereunder to suspend the use of the prospectus forming part of a Registration Statement, the Company will use its commercially reasonable efforts to, at its expense, cause such Registration Statement to remain effective with respect to Purchaser, keep any qualification, exemption or compliance under state securities laws which the Company determines to obtain continuously effective with respect to Purchaser, and to keep the applicable Registration Statement or any subsequent shelf registration statement free of any material misstatements or omissions, until the earlier of (i) four years from the issuance of the Purchased Shares, (ii) the date on which all of the Purchased Shares shall have been sold, or (iii) the first date on which the undersigned can sell all of its Purchased Shares (or shares received in exchange therefor) under Rule 144 without limitation as to the manner of sale, the amount of such securities that may be sold and without the requirement for the Company to be in compliance with the current public information required under Rule 144; provided, that the Company shall be entitled to delay or postpone the effectiveness of the Registration Statement, and from time to time to require Purchaser not to sell under the Registration Statement or to suspend the effectiveness thereof, if the negotiation or consummation of a transaction by the Company or its subsidiaries is pending or an event has occurred, which negotiation, consummation or event, the Board of Directors reasonably believes, upon the advice of outside legal counsel, would require additional disclosure by the Company in the Registration Statement of material non-public information that the Company has a bona fide business purpose for keeping confidential and the non-disclosure of which in the Registration Statement would be expected, in the reasonable determination of the Board of Director, upon the advice of legal counsel, to cause the Registration Statement to fail to comply with applicable disclosure requirements (such circumstance, a “</w:t>
      </w:r>
      <w:r>
        <w:rPr>
          <w:rFonts w:ascii="Times New Roman" w:cs="Times New Roman" w:eastAsia="Times New Roman" w:hAnsi="Times New Roman"/>
          <w:sz w:val="12"/>
          <w:szCs w:val="12"/>
          <w:b w:val="1"/>
          <w:bCs w:val="1"/>
          <w:color w:val="auto"/>
        </w:rPr>
        <w:t>Suspension Event</w:t>
      </w:r>
      <w:r>
        <w:rPr>
          <w:rFonts w:ascii="Times New Roman" w:cs="Times New Roman" w:eastAsia="Times New Roman" w:hAnsi="Times New Roman"/>
          <w:sz w:val="12"/>
          <w:szCs w:val="12"/>
          <w:color w:val="auto"/>
        </w:rPr>
        <w:t>”); provided, however, that the Company may not delay or suspend the Registration Statement on more than two (2) occasions or for more than sixty (60) consecutive calendar days during any twelve-month period. Upon receipt of any written notice from the Company (which notice shall not contain any material non-public information regarding the Company and which notice shall not be subject to any duty of confidentiality) (A) of the occurrence of any Suspension Event during the period that the Registration Statement is effective or (B) that,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Purchaser agrees that it will promptly discontinue offers and sales of the Purchased Shares under the Registration Statement (excluding, for the avoidance of doubt, sales conducted pursuant to Rule 144 or any other applicable exemption to the registration requirements under the Securities Act) until Purchaser receives copies of a supplemental or amended prospectus (which the Company agrees to promptly prepare) that corrects the misstatement(s) or omission(s) referred to above and receives notice that any post-effective amendment has become effective or unless otherwise notified by the Company that it may resume such offers and sales (which notice shall not contain any material non-public information regarding the Company and which notice shall not be subject to any duty of confidentiality). If so directed by the Company, Purchaser will deliver to the Company or, in Purchaser’s sole discretion destroy, all copies of the prospectus covering the Purchased Shares in Purchaser’s possession; provided, however, that this obligation to deliver or destroy all copies of the prospectus covering the Purchased Shares shall not apply (i) to the extent Purchaser is required to retain a copy of such prospectus (a) in order to comply with applicable legal, regulatory, self-regulatory or professional requirements or (b) in accordance with a bona fide pre-existing document retention policy or (ii) to copies stored electronically on archival servers as a result of automatic data back-up. Notwithstanding anything to the contrary herein, the Company shall use its commercially reasonable efforts to cause its transfer agent to deliver unlegended shares of Series A Common Stock to a transferee of the Purchaser in connection with any sale of Purchased Shares with respect to which the Purchaser has entered into a contract for sale, prior to the Purchaser’s receipt of the notice of a Suspension Event and for which the Purchaser has not yet settled.</w:t>
      </w:r>
    </w:p>
    <w:p>
      <w:pPr>
        <w:spacing w:after="0" w:line="5"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jc w:val="both"/>
        <w:ind w:firstLine="208"/>
        <w:spacing w:after="0" w:line="250" w:lineRule="auto"/>
        <w:tabs>
          <w:tab w:leader="none" w:pos="386"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Commission prevents the Company from including any or all of the shares proposed to be registered under the Registration Statement due to limitations on the use of Rule 415 of the Securities Act for the resale of the Purchased Shares by Purchaser or shares of Series A Common Stock by any other selling stockholder named in the Registration Statement, the Company will promptly notify Purchaser of such event, and such Registration Statement shall register for resale such number of shares of Series A Common Stock which is equal to the maximum number of Purchased Shares as is permitted by the Commission. In such event, the number of shares of Series A Common Stock to be registered for Purchaser or other selling stockholder named in the Registration Statement shall be reduced pro rata among all such selling stockholders (or as otherwise directed by the Commission) and as promptly as practicable after being permitted to register additional Purchased Shares under Rule 415 under the Securities Act, the Company shall use commercially reasonable efforts to amend the Registration Statement or file with the Commission and cause to be declared effective, as promptly as allowed by the Commission, one or more registration statements to register the resale of those Purchased Shares that were not registered on the initial Registration Statement, as so amended and to cause such amendment or Registration Statement to become effective as promptly as practicable. Any such amended or new registration statement(s) shall be deemed to be a “Registration Statement” and all provisions of Section 5 shall apply with respect thereto.</w:t>
      </w:r>
    </w:p>
    <w:p>
      <w:pPr>
        <w:spacing w:after="0" w:line="2"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w:t>
      </w:r>
    </w:p>
    <w:p>
      <w:pPr>
        <w:spacing w:after="0" w:line="6" w:lineRule="exact"/>
        <w:rPr>
          <w:rFonts w:ascii="Times New Roman" w:cs="Times New Roman" w:eastAsia="Times New Roman" w:hAnsi="Times New Roman"/>
          <w:sz w:val="12"/>
          <w:szCs w:val="12"/>
          <w:color w:val="auto"/>
        </w:rPr>
      </w:pPr>
    </w:p>
    <w:p>
      <w:pPr>
        <w:ind w:right="20" w:firstLine="208"/>
        <w:spacing w:after="0" w:line="250" w:lineRule="auto"/>
        <w:tabs>
          <w:tab w:leader="none" w:pos="375"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 registration effected by the Company pursuant to this Agreement, the Company shall, upon reasonable request, inform Purchaser as to the status of such registration. The Company shall advise Purchaser as promptly as practicable, but in no event later than five (5) Business Days following or such earlier date as indicated:</w:t>
      </w: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w:t>
      </w:r>
    </w:p>
    <w:p>
      <w:pPr>
        <w:spacing w:after="0" w:line="6" w:lineRule="exact"/>
        <w:rPr>
          <w:rFonts w:ascii="Times New Roman" w:cs="Times New Roman" w:eastAsia="Times New Roman" w:hAnsi="Times New Roman"/>
          <w:sz w:val="12"/>
          <w:szCs w:val="12"/>
          <w:color w:val="auto"/>
        </w:rPr>
      </w:pPr>
    </w:p>
    <w:p>
      <w:pPr>
        <w:ind w:left="780" w:hanging="140"/>
        <w:spacing w:after="0"/>
        <w:tabs>
          <w:tab w:leader="none" w:pos="780" w:val="left"/>
        </w:tabs>
        <w:numPr>
          <w:ilvl w:val="1"/>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 a Registration Statement or any amendment thereto has been filed with the Commission and when such Registration Statement or any post-effective amendment thereto has become effective;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(ii) of any request by the Commission for amendments or supplements to any Registration Statement or the prospectus included therein or for additional information with respect to the Purchaser;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640" w:right="20"/>
        <w:spacing w:after="0" w:line="250" w:lineRule="auto"/>
        <w:tabs>
          <w:tab w:leader="none" w:pos="856"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the issuance by the Commission of any stop order suspending the effectiveness of any Registration Statement or the initiation of any proceedings for such purpose within two (2) Business Days of the Company’s notice of such event;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640" w:right="20"/>
        <w:spacing w:after="0" w:line="250" w:lineRule="auto"/>
        <w:tabs>
          <w:tab w:leader="none" w:pos="845"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two (2) Business Days of the receipt by the Company of any notification with respect to the suspension of the qualification of the Purchased Shares included therein for sale in any jurisdiction or the initiation or threatening of any proceeding for such purpose;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jc w:val="both"/>
        <w:ind w:left="640"/>
        <w:spacing w:after="0" w:line="250" w:lineRule="auto"/>
        <w:tabs>
          <w:tab w:leader="none" w:pos="817"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provisions in this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w:t>
      </w: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w:t>
      </w:r>
    </w:p>
    <w:p>
      <w:pPr>
        <w:spacing w:after="0" w:line="6" w:lineRule="exact"/>
        <w:rPr>
          <w:rFonts w:ascii="Times New Roman" w:cs="Times New Roman" w:eastAsia="Times New Roman" w:hAnsi="Times New Roman"/>
          <w:sz w:val="12"/>
          <w:szCs w:val="12"/>
          <w:color w:val="auto"/>
        </w:rPr>
      </w:pPr>
    </w:p>
    <w:p>
      <w:pPr>
        <w:ind w:left="640" w:right="20"/>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to the contrary set forth herein, the Company shall not, when so advising Purchaser of such events, provide Purchaser with any material, non-public information regarding the Company other than to the extent that providing notice to Purchaser of the occurrence of the events listed in clauses (i) through (v) above may constitute the provision of material, non-public information regarding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(g) The Company shall use its commercially reasonable efforts to obtain the withdrawal of any order suspending the effectiveness of any Registration Statement as soon as reasonably practicable.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both"/>
        <w:ind w:firstLine="208"/>
        <w:spacing w:after="0" w:line="250" w:lineRule="auto"/>
        <w:tabs>
          <w:tab w:leader="none" w:pos="395"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for such times as the Company is permitted hereunder to suspend, and has suspended, the use of a prospectus forming part of a Registration Statement as contemplated by this Agreement, the Company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Purchased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1"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w:t>
      </w:r>
    </w:p>
    <w:p>
      <w:pPr>
        <w:spacing w:after="0" w:line="6" w:lineRule="exact"/>
        <w:rPr>
          <w:rFonts w:ascii="Times New Roman" w:cs="Times New Roman" w:eastAsia="Times New Roman" w:hAnsi="Times New Roman"/>
          <w:sz w:val="12"/>
          <w:szCs w:val="12"/>
          <w:color w:val="auto"/>
        </w:rPr>
      </w:pPr>
    </w:p>
    <w:p>
      <w:pPr>
        <w:ind w:firstLine="208"/>
        <w:spacing w:after="0" w:line="250" w:lineRule="auto"/>
        <w:tabs>
          <w:tab w:leader="none" w:pos="361"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use its commercially reasonable efforts to take all other steps necessary to effect the registration of the Purchased Shares required hereby and to provide all customary and reasonable cooperation necessary to enable Purchaser to resell the Purchased Shares pursuant to the Registration Statement.</w:t>
      </w: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w:t>
      </w:r>
    </w:p>
    <w:p>
      <w:pPr>
        <w:spacing w:after="0" w:line="6" w:lineRule="exact"/>
        <w:rPr>
          <w:rFonts w:ascii="Times New Roman" w:cs="Times New Roman" w:eastAsia="Times New Roman" w:hAnsi="Times New Roman"/>
          <w:sz w:val="12"/>
          <w:szCs w:val="12"/>
          <w:color w:val="auto"/>
        </w:rPr>
      </w:pPr>
    </w:p>
    <w:p>
      <w:pPr>
        <w:jc w:val="both"/>
        <w:ind w:right="20" w:firstLine="208"/>
        <w:spacing w:after="0" w:line="250" w:lineRule="auto"/>
        <w:tabs>
          <w:tab w:leader="none" w:pos="364"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this Section 4, “Purchased Shares” shall be deemed to include, as of any date of determination, the Purchased Shares and any equity security issued or issuable with respect to such Purchased Shares by way of share split, dividend, distribution, recapitalization, merger, exchange, replacement or similar event, and “Purchaser” shall mean the Purchaser or any Affiliate of the Purchaser or other person to whom the rights under this Section 5 shall have been assigned.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4.11</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12"/>
          <w:szCs w:val="12"/>
          <w:b w:val="1"/>
          <w:bCs w:val="1"/>
          <w:u w:val="single" w:color="auto"/>
          <w:color w:val="auto"/>
        </w:rPr>
        <w:t>Sponsor Accommodation</w:t>
      </w:r>
      <w:r>
        <w:rPr>
          <w:rFonts w:ascii="Times New Roman" w:cs="Times New Roman" w:eastAsia="Times New Roman" w:hAnsi="Times New Roman"/>
          <w:sz w:val="12"/>
          <w:szCs w:val="12"/>
          <w:color w:val="auto"/>
        </w:rPr>
        <w:t>. At the Closing, CGC III Sponsor LLC, a Cayman Islands limited liability company and sponsor of the Company, shall transfer (including by way of forfeiture and reissuance) to Purchaser 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shares of Series A Common Stock.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5</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MISCELLANEOUS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5.1</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12"/>
          <w:szCs w:val="12"/>
          <w:b w:val="1"/>
          <w:bCs w:val="1"/>
          <w:u w:val="single" w:color="auto"/>
          <w:color w:val="auto"/>
        </w:rPr>
        <w:t>Termination</w:t>
      </w:r>
      <w:r>
        <w:rPr>
          <w:rFonts w:ascii="Times New Roman" w:cs="Times New Roman" w:eastAsia="Times New Roman" w:hAnsi="Times New Roman"/>
          <w:sz w:val="12"/>
          <w:szCs w:val="12"/>
          <w:color w:val="auto"/>
        </w:rPr>
        <w:t>. This Agreement shall terminate and be void and of no further force and effect, and all rights and obligations of the parties hereunder shall terminate without any further liability on the part of any party in respect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hereof, upon the earlier to occur of (a) the mutual written agreement of the parties hereto to terminate this Agreement, or (b) the termination (for any reason) of the Business Combination Agreement by any party to the same.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Additionally, (i) the Company may terminate this Agreement with respect to the Purchaser if any of the conditions set forth in</w:t>
      </w:r>
      <w:r>
        <w:rPr>
          <w:rFonts w:ascii="Times New Roman" w:cs="Times New Roman" w:eastAsia="Times New Roman" w:hAnsi="Times New Roman"/>
          <w:sz w:val="11"/>
          <w:szCs w:val="11"/>
          <w:u w:val="single" w:color="auto"/>
          <w:color w:val="auto"/>
        </w:rPr>
        <w:t> Section 2.3(b) </w:t>
      </w:r>
      <w:r>
        <w:rPr>
          <w:rFonts w:ascii="Times New Roman" w:cs="Times New Roman" w:eastAsia="Times New Roman" w:hAnsi="Times New Roman"/>
          <w:sz w:val="11"/>
          <w:szCs w:val="11"/>
          <w:color w:val="auto"/>
        </w:rPr>
        <w:t>applicable to the Purchaser shall have become incapable of fulfillment, and shall not have been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waived by the Company; and (ii) the Purchaser may terminate this Agreement if (X) any of the conditions set forth in</w:t>
      </w:r>
      <w:r>
        <w:rPr>
          <w:rFonts w:ascii="Times New Roman" w:cs="Times New Roman" w:eastAsia="Times New Roman" w:hAnsi="Times New Roman"/>
          <w:sz w:val="11"/>
          <w:szCs w:val="11"/>
          <w:u w:val="single" w:color="auto"/>
          <w:color w:val="auto"/>
        </w:rPr>
        <w:t> Section 2.3(c) </w:t>
      </w:r>
      <w:r>
        <w:rPr>
          <w:rFonts w:ascii="Times New Roman" w:cs="Times New Roman" w:eastAsia="Times New Roman" w:hAnsi="Times New Roman"/>
          <w:sz w:val="11"/>
          <w:szCs w:val="11"/>
          <w:color w:val="auto"/>
        </w:rPr>
        <w:t>shall have become incapable of fulfillment, and shall not have been waived by the Purchaser; or (Y)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Closing shall not have occurred on or prior to the date on which the Target is permitted to terminate the Business Combination Agreement pursuant to Section 7.1(d) of the Business Combination Agreement. Notwithstanding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foregoing, nothing herein will relieve any party from liability for any intentional breach hereof prior to the time of termination, and each party will be entitled to any remedies at law or in equity to recover Losses arising from such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intentional breach;</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12"/>
          <w:szCs w:val="12"/>
          <w:i w:val="1"/>
          <w:iCs w:val="1"/>
          <w:u w:val="single" w:color="auto"/>
          <w:color w:val="auto"/>
        </w:rPr>
        <w:t>provided</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12"/>
          <w:szCs w:val="12"/>
          <w:i w:val="1"/>
          <w:iCs w:val="1"/>
          <w:u w:val="single" w:color="auto"/>
          <w:color w:val="auto"/>
        </w:rPr>
        <w:t>that</w:t>
      </w:r>
      <w:r>
        <w:rPr>
          <w:rFonts w:ascii="Times New Roman" w:cs="Times New Roman" w:eastAsia="Times New Roman" w:hAnsi="Times New Roman"/>
          <w:sz w:val="12"/>
          <w:szCs w:val="12"/>
          <w:color w:val="auto"/>
        </w:rPr>
        <w:t> in the event that the Business Combination Agreement is ever terminated by the Company and/or the Target for any reason, the Purchaser hereby agrees not to indirectly assert a claim against the Target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 funding the Company or any other party to assert any such claim.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5.2</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12"/>
          <w:szCs w:val="12"/>
          <w:b w:val="1"/>
          <w:bCs w:val="1"/>
          <w:u w:val="single" w:color="auto"/>
          <w:color w:val="auto"/>
        </w:rPr>
        <w:t>Fees and Expenses</w:t>
      </w:r>
      <w:r>
        <w:rPr>
          <w:rFonts w:ascii="Times New Roman" w:cs="Times New Roman" w:eastAsia="Times New Roman" w:hAnsi="Times New Roman"/>
          <w:sz w:val="12"/>
          <w:szCs w:val="12"/>
          <w:color w:val="auto"/>
        </w:rPr>
        <w:t>. Except as expressly set forth in the Transaction Documents, each party shall pay the fees and expenses of its advisers, counsel, accountants and other experts, if any, and all other expenses incurred by such party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incident to the negotiation, preparation, execution, delivery and performance of this Agreement and the Transaction Documents. The Company shall pay all Transfer Agent fees (including, without limitation, any fees required for same-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day processing of any instruction letter delivered by the Company and any conversion notice delivered by a Purchaser), stamp taxes and other Taxes and duties levied in connection with the delivery of any Purchased Shares to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Purchaser.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5.3</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12"/>
          <w:szCs w:val="12"/>
          <w:b w:val="1"/>
          <w:bCs w:val="1"/>
          <w:u w:val="single" w:color="auto"/>
          <w:color w:val="auto"/>
        </w:rPr>
        <w:t>Entire Agreement</w:t>
      </w:r>
      <w:r>
        <w:rPr>
          <w:rFonts w:ascii="Times New Roman" w:cs="Times New Roman" w:eastAsia="Times New Roman" w:hAnsi="Times New Roman"/>
          <w:sz w:val="12"/>
          <w:szCs w:val="12"/>
          <w:color w:val="auto"/>
        </w:rPr>
        <w:t>. This Agreement and the annexes hereto contains the entire understanding of the parties with respect to the subject matter hereof and thereof and supersede all prior agreements and understandings, oral or written,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with respect to such matters, which the parties acknowledge have been merged into such Agreement and annexes.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2"/>
          <w:szCs w:val="12"/>
          <w:color w:val="auto"/>
        </w:rPr>
        <w:t>5.4</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12"/>
          <w:szCs w:val="12"/>
          <w:b w:val="1"/>
          <w:bCs w:val="1"/>
          <w:u w:val="single" w:color="auto"/>
          <w:color w:val="auto"/>
        </w:rPr>
        <w:t>Notices</w:t>
      </w:r>
      <w:r>
        <w:rPr>
          <w:rFonts w:ascii="Times New Roman" w:cs="Times New Roman" w:eastAsia="Times New Roman" w:hAnsi="Times New Roman"/>
          <w:sz w:val="12"/>
          <w:szCs w:val="12"/>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w:t>
      </w:r>
    </w:p>
    <w:p>
      <w:pPr>
        <w:spacing w:after="0" w:line="189" w:lineRule="auto"/>
        <w:rPr>
          <w:sz w:val="20"/>
          <w:szCs w:val="20"/>
          <w:color w:val="auto"/>
        </w:rPr>
      </w:pPr>
      <w:r>
        <w:rPr>
          <w:rFonts w:ascii="Times New Roman" w:cs="Times New Roman" w:eastAsia="Times New Roman" w:hAnsi="Times New Roman"/>
          <w:sz w:val="12"/>
          <w:szCs w:val="12"/>
          <w:color w:val="auto"/>
        </w:rPr>
        <w:t>any Trading Day, (c) the second (2</w:t>
      </w:r>
      <w:r>
        <w:rPr>
          <w:rFonts w:ascii="Times New Roman" w:cs="Times New Roman" w:eastAsia="Times New Roman" w:hAnsi="Times New Roman"/>
          <w:sz w:val="19"/>
          <w:szCs w:val="19"/>
          <w:color w:val="auto"/>
          <w:vertAlign w:val="superscript"/>
        </w:rPr>
        <w:t>nd</w:t>
      </w:r>
      <w:r>
        <w:rPr>
          <w:rFonts w:ascii="Times New Roman" w:cs="Times New Roman" w:eastAsia="Times New Roman" w:hAnsi="Times New Roman"/>
          <w:sz w:val="12"/>
          <w:szCs w:val="12"/>
          <w:color w:val="auto"/>
        </w:rPr>
        <w:t>) Trading Day following the date of mailing, if sent by U.S. nationally recognized overnight courier service or (d) upon actual receipt by the party to whom such notice is required to be given.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address for such notices and communications shall be as set forth on the signature pages attached hereto.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5.5</w:t>
      </w:r>
      <w:r>
        <w:rPr>
          <w:rFonts w:ascii="Times New Roman" w:cs="Times New Roman" w:eastAsia="Times New Roman" w:hAnsi="Times New Roman"/>
          <w:sz w:val="11"/>
          <w:szCs w:val="11"/>
          <w:u w:val="single" w:color="auto"/>
          <w:color w:val="auto"/>
        </w:rPr>
        <w:t> </w:t>
      </w:r>
      <w:r>
        <w:rPr>
          <w:rFonts w:ascii="Times New Roman" w:cs="Times New Roman" w:eastAsia="Times New Roman" w:hAnsi="Times New Roman"/>
          <w:sz w:val="11"/>
          <w:szCs w:val="11"/>
          <w:b w:val="1"/>
          <w:bCs w:val="1"/>
          <w:u w:val="single" w:color="auto"/>
          <w:color w:val="auto"/>
        </w:rPr>
        <w:t>Amendments; Waivers</w:t>
      </w:r>
      <w:r>
        <w:rPr>
          <w:rFonts w:ascii="Times New Roman" w:cs="Times New Roman" w:eastAsia="Times New Roman" w:hAnsi="Times New Roman"/>
          <w:sz w:val="11"/>
          <w:szCs w:val="11"/>
          <w:color w:val="auto"/>
        </w:rPr>
        <w:t>. No provision of this Agreement may be waived, modified, supplemented or amended except in a written instrument signed, in the case of an amendment, by the Company and the Purchaser or, in the case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waiver, by the Company or the Purchaser, as the case may be, dependent on the party against whom enforcement of any such waived provision is sought. No waiver of any default with respect to any provision, condition 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requirement of this Agreement shall be deemed to be a continuing waiver in the future or a waiver of any subsequent default or a waiver of any other provision, condition or requirement hereof, nor shall any delay or omission of 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party to exercise any right hereunder in any manner impair the exercise of any such right. Additionally, </w:t>
      </w:r>
      <w:r>
        <w:rPr>
          <w:rFonts w:ascii="Times New Roman" w:cs="Times New Roman" w:eastAsia="Times New Roman" w:hAnsi="Times New Roman"/>
          <w:sz w:val="12"/>
          <w:szCs w:val="12"/>
          <w:u w:val="single" w:color="auto"/>
          <w:color w:val="auto"/>
        </w:rPr>
        <w:t>Article 3</w:t>
      </w:r>
      <w:r>
        <w:rPr>
          <w:rFonts w:ascii="Times New Roman" w:cs="Times New Roman" w:eastAsia="Times New Roman" w:hAnsi="Times New Roman"/>
          <w:sz w:val="12"/>
          <w:szCs w:val="12"/>
          <w:color w:val="auto"/>
        </w:rPr>
        <w:t xml:space="preserve">, this </w:t>
      </w:r>
      <w:r>
        <w:rPr>
          <w:rFonts w:ascii="Times New Roman" w:cs="Times New Roman" w:eastAsia="Times New Roman" w:hAnsi="Times New Roman"/>
          <w:sz w:val="12"/>
          <w:szCs w:val="12"/>
          <w:u w:val="single" w:color="auto"/>
          <w:color w:val="auto"/>
        </w:rPr>
        <w:t>Section 5.5</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5.8</w:t>
      </w:r>
      <w:r>
        <w:rPr>
          <w:rFonts w:ascii="Times New Roman" w:cs="Times New Roman" w:eastAsia="Times New Roman" w:hAnsi="Times New Roman"/>
          <w:sz w:val="12"/>
          <w:szCs w:val="12"/>
          <w:color w:val="auto"/>
        </w:rPr>
        <w:t xml:space="preserve"> of this Agreement may not be amended, modified, supplemented or waived without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written consent of the Placement Agent (which may be withheld at the Placement Agent’s sole discretion).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5.6</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12"/>
          <w:szCs w:val="12"/>
          <w:b w:val="1"/>
          <w:bCs w:val="1"/>
          <w:u w:val="single" w:color="auto"/>
          <w:color w:val="auto"/>
        </w:rPr>
        <w:t>Headings</w:t>
      </w:r>
      <w:r>
        <w:rPr>
          <w:rFonts w:ascii="Times New Roman" w:cs="Times New Roman" w:eastAsia="Times New Roman" w:hAnsi="Times New Roman"/>
          <w:sz w:val="12"/>
          <w:szCs w:val="12"/>
          <w:color w:val="auto"/>
        </w:rPr>
        <w:t>. The headings herein are for convenience only, do not constitute a part of this Agreement and shall not be deemed to limit or affect any of the provisions hereof.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color w:val="auto"/>
        </w:rPr>
        <w:t>5.7</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12"/>
          <w:szCs w:val="12"/>
          <w:b w:val="1"/>
          <w:bCs w:val="1"/>
          <w:u w:val="single" w:color="auto"/>
          <w:color w:val="auto"/>
        </w:rPr>
        <w:t>Successors and Assigns</w:t>
      </w:r>
      <w:r>
        <w:rPr>
          <w:rFonts w:ascii="Times New Roman" w:cs="Times New Roman" w:eastAsia="Times New Roman" w:hAnsi="Times New Roman"/>
          <w:sz w:val="12"/>
          <w:szCs w:val="12"/>
          <w:color w:val="auto"/>
        </w:rPr>
        <w:t>. This Agreement shall be binding upon and inure to the benefit of the parties and their successors and permitted assigns. The Company may not assign this Agreement or any rights or obligations hereunder without the prior written consent of the other and the Purchaser (other than by merger). The Purchaser may assign any or all of its rights under this Agreement to any Person to whom the Purchaser assigns or transfers any Purchased Shares, provided that such transferee agrees in writing to be bound, with respect to the transferred Purchased Shares, by the provisions of the Transaction Documents that apply to the “Purchaser.”  </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5.8</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12"/>
          <w:szCs w:val="12"/>
          <w:b w:val="1"/>
          <w:bCs w:val="1"/>
          <w:u w:val="single" w:color="auto"/>
          <w:color w:val="auto"/>
        </w:rPr>
        <w:t>No Third-Party Beneficiaries</w:t>
      </w:r>
      <w:r>
        <w:rPr>
          <w:rFonts w:ascii="Times New Roman" w:cs="Times New Roman" w:eastAsia="Times New Roman" w:hAnsi="Times New Roman"/>
          <w:sz w:val="12"/>
          <w:szCs w:val="12"/>
          <w:color w:val="auto"/>
        </w:rPr>
        <w:t>. This Agreement is intended for the benefit of the parties hereto and their respective successors and permitted assigns and is not for the benefit of, nor may any provision hereof be enforced by, 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other Person, except (a) as otherwise set forth in</w:t>
      </w:r>
      <w:r>
        <w:rPr>
          <w:rFonts w:ascii="Times New Roman" w:cs="Times New Roman" w:eastAsia="Times New Roman" w:hAnsi="Times New Roman"/>
          <w:sz w:val="11"/>
          <w:szCs w:val="11"/>
          <w:u w:val="single" w:color="auto"/>
          <w:color w:val="auto"/>
        </w:rPr>
        <w:t> Section 4.7 </w:t>
      </w:r>
      <w:r>
        <w:rPr>
          <w:rFonts w:ascii="Times New Roman" w:cs="Times New Roman" w:eastAsia="Times New Roman" w:hAnsi="Times New Roman"/>
          <w:sz w:val="11"/>
          <w:szCs w:val="11"/>
          <w:color w:val="auto"/>
        </w:rPr>
        <w:t xml:space="preserve">and (b) the Placement Agent shall be a third party beneficiary of the representations and warranties in </w:t>
      </w:r>
      <w:r>
        <w:rPr>
          <w:rFonts w:ascii="Times New Roman" w:cs="Times New Roman" w:eastAsia="Times New Roman" w:hAnsi="Times New Roman"/>
          <w:sz w:val="11"/>
          <w:szCs w:val="11"/>
          <w:u w:val="single" w:color="auto"/>
          <w:color w:val="auto"/>
        </w:rPr>
        <w:t>Article 3 </w:t>
      </w:r>
      <w:r>
        <w:rPr>
          <w:rFonts w:ascii="Times New Roman" w:cs="Times New Roman" w:eastAsia="Times New Roman" w:hAnsi="Times New Roman"/>
          <w:sz w:val="11"/>
          <w:szCs w:val="11"/>
          <w:color w:val="auto"/>
        </w:rPr>
        <w:t xml:space="preserve">hereof, and with respect to </w:t>
      </w:r>
      <w:r>
        <w:rPr>
          <w:rFonts w:ascii="Times New Roman" w:cs="Times New Roman" w:eastAsia="Times New Roman" w:hAnsi="Times New Roman"/>
          <w:sz w:val="11"/>
          <w:szCs w:val="11"/>
          <w:u w:val="single" w:color="auto"/>
          <w:color w:val="auto"/>
        </w:rPr>
        <w:t>Section 4.7</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Section 4.8</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Section 4.10</w:t>
      </w:r>
      <w:r>
        <w:rPr>
          <w:rFonts w:ascii="Times New Roman" w:cs="Times New Roman" w:eastAsia="Times New Roman" w:hAnsi="Times New Roman"/>
          <w:sz w:val="11"/>
          <w:szCs w:val="11"/>
          <w:color w:val="auto"/>
        </w:rPr>
        <w: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Section 5.5</w:t>
      </w:r>
      <w:r>
        <w:rPr>
          <w:rFonts w:ascii="Times New Roman" w:cs="Times New Roman" w:eastAsia="Times New Roman" w:hAnsi="Times New Roman"/>
          <w:sz w:val="12"/>
          <w:szCs w:val="12"/>
          <w:color w:val="auto"/>
        </w:rPr>
        <w:t xml:space="preserve"> this </w:t>
      </w:r>
      <w:r>
        <w:rPr>
          <w:rFonts w:ascii="Times New Roman" w:cs="Times New Roman" w:eastAsia="Times New Roman" w:hAnsi="Times New Roman"/>
          <w:sz w:val="12"/>
          <w:szCs w:val="12"/>
          <w:u w:val="single" w:color="auto"/>
          <w:color w:val="auto"/>
        </w:rPr>
        <w:t>Section 5.8</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5.15</w:t>
      </w:r>
      <w:r>
        <w:rPr>
          <w:rFonts w:ascii="Times New Roman" w:cs="Times New Roman" w:eastAsia="Times New Roman" w:hAnsi="Times New Roman"/>
          <w:sz w:val="12"/>
          <w:szCs w:val="12"/>
          <w:color w:val="auto"/>
        </w:rPr>
        <w:t xml:space="preserve"> hereof.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5.9</w:t>
      </w:r>
      <w:r>
        <w:rPr>
          <w:rFonts w:ascii="Times New Roman" w:cs="Times New Roman" w:eastAsia="Times New Roman" w:hAnsi="Times New Roman"/>
          <w:sz w:val="11"/>
          <w:szCs w:val="11"/>
          <w:u w:val="single" w:color="auto"/>
          <w:color w:val="auto"/>
        </w:rPr>
        <w:t> </w:t>
      </w:r>
      <w:r>
        <w:rPr>
          <w:rFonts w:ascii="Times New Roman" w:cs="Times New Roman" w:eastAsia="Times New Roman" w:hAnsi="Times New Roman"/>
          <w:sz w:val="11"/>
          <w:szCs w:val="11"/>
          <w:b w:val="1"/>
          <w:bCs w:val="1"/>
          <w:u w:val="single" w:color="auto"/>
          <w:color w:val="auto"/>
        </w:rPr>
        <w:t>Governing Law</w:t>
      </w:r>
      <w:r>
        <w:rPr>
          <w:rFonts w:ascii="Times New Roman" w:cs="Times New Roman" w:eastAsia="Times New Roman" w:hAnsi="Times New Roman"/>
          <w:sz w:val="11"/>
          <w:szCs w:val="11"/>
          <w:color w:val="auto"/>
        </w:rPr>
        <w:t>. All questions concerning the construction, validity, enforcement and interpretation of the Transaction Documents shall be governed by and construed and enforced in accordance with the internal laws of the State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New York, without regard to the principles of conflicts of law thereof that would require the application of the laws of any other jurisdiction. Each party agrees that all legal Proceedings concerning the interpretations, enforcement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defense of the transactions contemplated by this Agreement and any other Transaction Documents (whether brought against a party hereto or its respective Affiliates, directors, officers, shareholders, partners, members, employees 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agents) shall be commenced exclusively in the state and federal courts sitting in the State of New York. Each party hereby irrevocably submits to the exclusive jurisdiction of the state and federal courts sitting in the State of New York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the adjudication of any dispute hereunder or in connection herewith or with any transaction contemplated hereby or discussed herein (including with respect to the enforcement of any of the Transaction Documents), and hereby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irrevocably waives, and agrees not to assert in any Action or Proceeding, any claim that it is not personally subject to the jurisdiction of any such court, that such Action or Proceeding is improper or is an inconvenient venue for such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Proceeding. Each party hereby irrevocably waives personal service of process and consents to process being served in any such Action or Proceeding by mailing a copy thereof via registered or certified mail or overnight delivery (with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evidence of delivery) to such party at the address in effect for notices to it under this Agreement and agrees that such service shall constitute good and sufficient service of process and notice thereof. Nothing contained herein shall be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deemed to limit in any way any right to serve process in any other manner permitted by law. If any party shall commence an Action or Proceeding to enforce any provisions of the Transaction Documents, then, in addition to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obligations of the parties under</w:t>
      </w:r>
      <w:r>
        <w:rPr>
          <w:rFonts w:ascii="Times New Roman" w:cs="Times New Roman" w:eastAsia="Times New Roman" w:hAnsi="Times New Roman"/>
          <w:sz w:val="11"/>
          <w:szCs w:val="11"/>
          <w:u w:val="single" w:color="auto"/>
          <w:color w:val="auto"/>
        </w:rPr>
        <w:t> Section 4.7</w:t>
      </w:r>
      <w:r>
        <w:rPr>
          <w:rFonts w:ascii="Times New Roman" w:cs="Times New Roman" w:eastAsia="Times New Roman" w:hAnsi="Times New Roman"/>
          <w:sz w:val="11"/>
          <w:szCs w:val="11"/>
          <w:color w:val="auto"/>
        </w:rPr>
        <w:t>, the prevailing party in such Action or Proceeding shall be reimbursed by the non-prevailing party for its reasonable attorneys’ fees and other costs and expenses incurred with the investigation,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preparation and prosecution of such Action or Proceeding.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5.10</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12"/>
          <w:szCs w:val="12"/>
          <w:b w:val="1"/>
          <w:bCs w:val="1"/>
          <w:u w:val="single" w:color="auto"/>
          <w:color w:val="auto"/>
        </w:rPr>
        <w:t>Survival</w:t>
      </w:r>
      <w:r>
        <w:rPr>
          <w:rFonts w:ascii="Times New Roman" w:cs="Times New Roman" w:eastAsia="Times New Roman" w:hAnsi="Times New Roman"/>
          <w:sz w:val="12"/>
          <w:szCs w:val="12"/>
          <w:color w:val="auto"/>
        </w:rPr>
        <w:t>. The representations and warranties contained in</w:t>
      </w:r>
      <w:r>
        <w:rPr>
          <w:rFonts w:ascii="Times New Roman" w:cs="Times New Roman" w:eastAsia="Times New Roman" w:hAnsi="Times New Roman"/>
          <w:sz w:val="12"/>
          <w:szCs w:val="12"/>
          <w:u w:val="single" w:color="auto"/>
          <w:color w:val="auto"/>
        </w:rPr>
        <w:t> Section 3.1</w:t>
      </w:r>
      <w:r>
        <w:rPr>
          <w:rFonts w:ascii="Times New Roman" w:cs="Times New Roman" w:eastAsia="Times New Roman" w:hAnsi="Times New Roman"/>
          <w:sz w:val="12"/>
          <w:szCs w:val="12"/>
          <w:color w:val="auto"/>
        </w:rPr>
        <w:t xml:space="preserve"> and</w:t>
      </w:r>
      <w:r>
        <w:rPr>
          <w:rFonts w:ascii="Times New Roman" w:cs="Times New Roman" w:eastAsia="Times New Roman" w:hAnsi="Times New Roman"/>
          <w:sz w:val="12"/>
          <w:szCs w:val="12"/>
          <w:u w:val="single" w:color="auto"/>
          <w:color w:val="auto"/>
        </w:rPr>
        <w:t> Section 3.2 </w:t>
      </w:r>
      <w:r>
        <w:rPr>
          <w:rFonts w:ascii="Times New Roman" w:cs="Times New Roman" w:eastAsia="Times New Roman" w:hAnsi="Times New Roman"/>
          <w:sz w:val="12"/>
          <w:szCs w:val="12"/>
          <w:color w:val="auto"/>
        </w:rPr>
        <w:t>herein shall survive the Closing and the delivery of the Purchased Shares.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color w:val="auto"/>
        </w:rPr>
        <w:t>5.11</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12"/>
          <w:szCs w:val="12"/>
          <w:b w:val="1"/>
          <w:bCs w:val="1"/>
          <w:u w:val="single" w:color="auto"/>
          <w:color w:val="auto"/>
        </w:rPr>
        <w:t>Execution</w:t>
      </w:r>
      <w:r>
        <w:rPr>
          <w:rFonts w:ascii="Times New Roman" w:cs="Times New Roman" w:eastAsia="Times New Roman" w:hAnsi="Times New Roman"/>
          <w:sz w:val="12"/>
          <w:szCs w:val="12"/>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  </w:t>
      </w:r>
    </w:p>
    <w:p>
      <w:pPr>
        <w:spacing w:after="0" w:line="13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2"/>
          <w:szCs w:val="12"/>
          <w:color w:val="auto"/>
        </w:rPr>
        <w:t>5.12</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12"/>
          <w:szCs w:val="12"/>
          <w:b w:val="1"/>
          <w:bCs w:val="1"/>
          <w:u w:val="single" w:color="auto"/>
          <w:color w:val="auto"/>
        </w:rPr>
        <w:t>Severability</w:t>
      </w:r>
      <w:r>
        <w:rPr>
          <w:rFonts w:ascii="Times New Roman" w:cs="Times New Roman" w:eastAsia="Times New Roman" w:hAnsi="Times New Roman"/>
          <w:sz w:val="12"/>
          <w:szCs w:val="12"/>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  </w:t>
      </w:r>
    </w:p>
    <w:p>
      <w:pPr>
        <w:spacing w:after="0" w:line="13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color w:val="auto"/>
        </w:rPr>
        <w:t>5.13</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12"/>
          <w:szCs w:val="12"/>
          <w:b w:val="1"/>
          <w:bCs w:val="1"/>
          <w:u w:val="single" w:color="auto"/>
          <w:color w:val="auto"/>
        </w:rPr>
        <w:t>Rescission and Withdrawal Right</w:t>
      </w:r>
      <w:r>
        <w:rPr>
          <w:rFonts w:ascii="Times New Roman" w:cs="Times New Roman" w:eastAsia="Times New Roman" w:hAnsi="Times New Roman"/>
          <w:sz w:val="12"/>
          <w:szCs w:val="12"/>
          <w:color w:val="auto"/>
        </w:rPr>
        <w:t>. Notwithstanding anything to the contrary contained in (and without limiting any similar provisions of) any of the other Transaction Documents, whenever the Purchaser exercises a right, election, demand or option under a Transaction Document and the Company does not timely perform its related obligations within the periods therein provided, then the Purchaser may rescind or withdraw, in its sole discretion from time to time upon written notice to the Company, any relevant notice, demand or election in whole or in part without prejudice to its future actions and rights.  </w:t>
      </w:r>
    </w:p>
    <w:p>
      <w:pPr>
        <w:spacing w:after="0" w:line="13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color w:val="auto"/>
        </w:rPr>
        <w:t>5.14</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12"/>
          <w:szCs w:val="12"/>
          <w:b w:val="1"/>
          <w:bCs w:val="1"/>
          <w:u w:val="single" w:color="auto"/>
          <w:color w:val="auto"/>
        </w:rPr>
        <w:t>Replacement of Securities</w:t>
      </w:r>
      <w:r>
        <w:rPr>
          <w:rFonts w:ascii="Times New Roman" w:cs="Times New Roman" w:eastAsia="Times New Roman" w:hAnsi="Times New Roman"/>
          <w:sz w:val="12"/>
          <w:szCs w:val="12"/>
          <w:color w:val="auto"/>
        </w:rPr>
        <w:t>. If any certificate or instrument evidencing any Purchased Shares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Purchased Shares.  </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5.15</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12"/>
          <w:szCs w:val="12"/>
          <w:b w:val="1"/>
          <w:bCs w:val="1"/>
          <w:u w:val="single" w:color="auto"/>
          <w:color w:val="auto"/>
        </w:rPr>
        <w:t>Remedies</w:t>
      </w:r>
      <w:r>
        <w:rPr>
          <w:rFonts w:ascii="Times New Roman" w:cs="Times New Roman" w:eastAsia="Times New Roman" w:hAnsi="Times New Roman"/>
          <w:sz w:val="12"/>
          <w:szCs w:val="12"/>
          <w:color w:val="auto"/>
        </w:rPr>
        <w:t>. In addition to being entitled to exercise all rights provided herein or granted by law, including recovery of damages, the Purchaser and the Company will be entitled to specific performance under this Agreement.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parties agree that monetary damages may not be adequate compensation for any Loss incurred by reason of any breach of obligations contained in this Agreement and hereby agree to waive and not to assert in any Action for specific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performance of any such obligation the defense that a remedy at law would be adequate. Additionally, it is agreed that the Placement Agent shall be entitled to seek equitable relief, including in the form of an injunction or injunctions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prevent breaches or threatened breaches or restraining any violation or threatened violation of this Agreement and to specifically enforce Purchaser’s obligations to fund the Purchase Price and the provisions of this Agreement, in each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case, on the terms and subject to the conditions set forth herein.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2"/>
          <w:szCs w:val="12"/>
          <w:color w:val="auto"/>
        </w:rPr>
        <w:t>5.16</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12"/>
          <w:szCs w:val="12"/>
          <w:b w:val="1"/>
          <w:bCs w:val="1"/>
          <w:u w:val="single" w:color="auto"/>
          <w:color w:val="auto"/>
        </w:rPr>
        <w:t>Payment Set Aside</w:t>
      </w:r>
      <w:r>
        <w:rPr>
          <w:rFonts w:ascii="Times New Roman" w:cs="Times New Roman" w:eastAsia="Times New Roman" w:hAnsi="Times New Roman"/>
          <w:sz w:val="12"/>
          <w:szCs w:val="12"/>
          <w:color w:val="auto"/>
        </w:rPr>
        <w:t>. To the extent that the Company makes a payment or payments to the Purchaser pursuant to this Agreement or the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  </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5.17</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12"/>
          <w:szCs w:val="12"/>
          <w:b w:val="1"/>
          <w:bCs w:val="1"/>
          <w:u w:val="single" w:color="auto"/>
          <w:color w:val="auto"/>
        </w:rPr>
        <w:t>Saturdays, Sundays, Holidays, etc</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 If the last or appointed day for the taking of any action or the expiration of any right required or granted herein shall not be a Business Day, then such action may be taken or such right may be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exercised on the next succeeding Business Day.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5.18</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12"/>
          <w:szCs w:val="12"/>
          <w:b w:val="1"/>
          <w:bCs w:val="1"/>
          <w:u w:val="single" w:color="auto"/>
          <w:color w:val="auto"/>
        </w:rPr>
        <w:t>Construction</w:t>
      </w:r>
      <w:r>
        <w:rPr>
          <w:rFonts w:ascii="Times New Roman" w:cs="Times New Roman" w:eastAsia="Times New Roman" w:hAnsi="Times New Roman"/>
          <w:sz w:val="12"/>
          <w:szCs w:val="12"/>
          <w:color w:val="auto"/>
        </w:rPr>
        <w:t>. The parties agree that each of them and/or their respective counsel have reviewed and had an opportunity to revise the Transaction Documents and, therefore, the normal rule of construction to the effect that 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ambiguities are to be resolved against the drafting party shall not be employed in the interpretation of the Transaction Documents or any amendments thereto. In addition, each and every reference to share prices and shares of Series 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Common Stock in any Transaction Document shall be subject to adjustment for reverse and forward stock splits, stock dividends, stock combinations and other similar transactions of the Series A Common Stock that occur after the date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 this Agreement. In this Agreement, unless the context otherwise requires: (i) whenever required by the context, any pronoun used in this Agreement shall include the corresponding masculine, feminine or neuter forms, and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singular form of nouns, pronouns and verbs shall include the plural and vice versa; (ii) “including” (and with correlative meaning “include”) means including without limiting the generality of any description preceding or succeeding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such term and shall be deemed in each case to be followed by the words “without limitation”; and (iii) the words “herein”, “hereto” and “hereby” and other words of similar import in this Agreement shall be deemed in each case to refer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this Agreement as a whole and not to any particular portion of this Agreement.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5.19</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12"/>
          <w:szCs w:val="12"/>
          <w:b w:val="1"/>
          <w:bCs w:val="1"/>
          <w:u w:val="single" w:color="auto"/>
          <w:color w:val="auto"/>
        </w:rPr>
        <w:t>Trust Account Waiver</w:t>
      </w:r>
      <w:r>
        <w:rPr>
          <w:rFonts w:ascii="Times New Roman" w:cs="Times New Roman" w:eastAsia="Times New Roman" w:hAnsi="Times New Roman"/>
          <w:sz w:val="12"/>
          <w:szCs w:val="12"/>
          <w:color w:val="auto"/>
        </w:rPr>
        <w:t>. The Purchaser hereby acknowledges that, as described in the Company’s prospectus relating to its initial public offering (the “</w:t>
      </w:r>
      <w:r>
        <w:rPr>
          <w:rFonts w:ascii="Times New Roman" w:cs="Times New Roman" w:eastAsia="Times New Roman" w:hAnsi="Times New Roman"/>
          <w:sz w:val="12"/>
          <w:szCs w:val="12"/>
          <w:b w:val="1"/>
          <w:bCs w:val="1"/>
          <w:color w:val="auto"/>
        </w:rPr>
        <w:t>IPO</w:t>
      </w:r>
      <w:r>
        <w:rPr>
          <w:rFonts w:ascii="Times New Roman" w:cs="Times New Roman" w:eastAsia="Times New Roman" w:hAnsi="Times New Roman"/>
          <w:sz w:val="12"/>
          <w:szCs w:val="12"/>
          <w:color w:val="auto"/>
        </w:rPr>
        <w:t>”) dated May 1, 2025 available at www.sec.gov, the Company has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established a trust account (the “</w:t>
      </w:r>
      <w:r>
        <w:rPr>
          <w:rFonts w:ascii="Times New Roman" w:cs="Times New Roman" w:eastAsia="Times New Roman" w:hAnsi="Times New Roman"/>
          <w:sz w:val="12"/>
          <w:szCs w:val="12"/>
          <w:b w:val="1"/>
          <w:bCs w:val="1"/>
          <w:color w:val="auto"/>
        </w:rPr>
        <w:t>Trust Account</w:t>
      </w:r>
      <w:r>
        <w:rPr>
          <w:rFonts w:ascii="Times New Roman" w:cs="Times New Roman" w:eastAsia="Times New Roman" w:hAnsi="Times New Roman"/>
          <w:sz w:val="12"/>
          <w:szCs w:val="12"/>
          <w:color w:val="auto"/>
        </w:rPr>
        <w:t>”) containing the proceeds of the IPO and from certain private placements occurring simultaneously with the IPO (including interest accrued from time to time thereon) for the benefit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its public shareholders and certain other parties. For and in consideration of the Company entering into this Agreement, and for other good and valuable consideration, the receipt and sufficiency of which are hereby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acknowledged, the Purchaser on behalf of itself and each of its Affiliates and subsidiaries, and each of its and their employees, agents, representatives and any other person or entity acting on its and their behalf hereby (a) agrees that it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does not now and shall not at any time hereafter have any right, title, interest or claim of any kind in or to any assets held in the Trust Account, and shall not make any claim against the Trust Account, arising out or as a result of, 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connection with or relating in any way to this Agreement, and regardless of whether such claim arises based on contract, tort, equity or any other theory of legal liability (any and all such claims are collectively referred to hereafter as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w:t>
      </w:r>
      <w:r>
        <w:rPr>
          <w:rFonts w:ascii="Times New Roman" w:cs="Times New Roman" w:eastAsia="Times New Roman" w:hAnsi="Times New Roman"/>
          <w:sz w:val="11"/>
          <w:szCs w:val="11"/>
          <w:b w:val="1"/>
          <w:bCs w:val="1"/>
          <w:color w:val="auto"/>
        </w:rPr>
        <w:t>Released Claims</w:t>
      </w:r>
      <w:r>
        <w:rPr>
          <w:rFonts w:ascii="Times New Roman" w:cs="Times New Roman" w:eastAsia="Times New Roman" w:hAnsi="Times New Roman"/>
          <w:sz w:val="11"/>
          <w:szCs w:val="11"/>
          <w:color w:val="auto"/>
        </w:rPr>
        <w:t>”), (b) irrevocably waives any Released Claims that it may have against the Trust Account now or in the future as a result of, or arising out of, this Agreement, and (c) agrees that it will not seek recourse against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Trust Account as a result of, in connection with or relating in any way to this Agreement;</w:t>
      </w:r>
      <w:r>
        <w:rPr>
          <w:rFonts w:ascii="Times New Roman" w:cs="Times New Roman" w:eastAsia="Times New Roman" w:hAnsi="Times New Roman"/>
          <w:sz w:val="12"/>
          <w:szCs w:val="12"/>
          <w:u w:val="single" w:color="auto"/>
          <w:color w:val="auto"/>
        </w:rPr>
        <w:t> provided</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 however</w:t>
      </w:r>
      <w:r>
        <w:rPr>
          <w:rFonts w:ascii="Times New Roman" w:cs="Times New Roman" w:eastAsia="Times New Roman" w:hAnsi="Times New Roman"/>
          <w:sz w:val="12"/>
          <w:szCs w:val="12"/>
          <w:color w:val="auto"/>
        </w:rPr>
        <w:t>, that nothing in this</w:t>
      </w:r>
      <w:r>
        <w:rPr>
          <w:rFonts w:ascii="Times New Roman" w:cs="Times New Roman" w:eastAsia="Times New Roman" w:hAnsi="Times New Roman"/>
          <w:sz w:val="12"/>
          <w:szCs w:val="12"/>
          <w:u w:val="single" w:color="auto"/>
          <w:color w:val="auto"/>
        </w:rPr>
        <w:t> Section 5.19 </w:t>
      </w:r>
      <w:r>
        <w:rPr>
          <w:rFonts w:ascii="Times New Roman" w:cs="Times New Roman" w:eastAsia="Times New Roman" w:hAnsi="Times New Roman"/>
          <w:sz w:val="12"/>
          <w:szCs w:val="12"/>
          <w:color w:val="auto"/>
        </w:rPr>
        <w:t>shall be deemed to limit the Purchaser’s right to distributions from the Trust Account 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accordance with the Company’s memorandum and articles of association in respect of any CGC Shareholder Redemptions by the Purchaser in respect of shares of Series A Common Stock acquired by any means other than pursuant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Agreement.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2"/>
          <w:szCs w:val="12"/>
          <w:color w:val="auto"/>
        </w:rPr>
        <w:t>5.20</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12"/>
          <w:szCs w:val="12"/>
          <w:b w:val="1"/>
          <w:bCs w:val="1"/>
          <w:u w:val="single" w:color="auto"/>
          <w:color w:val="auto"/>
        </w:rPr>
        <w:t>NO LIABILITY UPON GOOD FAITH TERMINATION.</w:t>
      </w:r>
      <w:r>
        <w:rPr>
          <w:rFonts w:ascii="Times New Roman" w:cs="Times New Roman" w:eastAsia="Times New Roman" w:hAnsi="Times New Roman"/>
          <w:sz w:val="12"/>
          <w:szCs w:val="12"/>
          <w:b w:val="1"/>
          <w:bCs w:val="1"/>
          <w:color w:val="auto"/>
        </w:rPr>
        <w:t> OTHER THAN WITH RESPECT TO ANY LIABILITIES ARISING PURSUANT TO</w:t>
      </w:r>
      <w:r>
        <w:rPr>
          <w:rFonts w:ascii="Times New Roman" w:cs="Times New Roman" w:eastAsia="Times New Roman" w:hAnsi="Times New Roman"/>
          <w:sz w:val="12"/>
          <w:szCs w:val="12"/>
          <w:b w:val="1"/>
          <w:bCs w:val="1"/>
          <w:u w:val="single" w:color="auto"/>
          <w:color w:val="auto"/>
        </w:rPr>
        <w:t> SECTION 4.7 </w:t>
      </w:r>
      <w:r>
        <w:rPr>
          <w:rFonts w:ascii="Times New Roman" w:cs="Times New Roman" w:eastAsia="Times New Roman" w:hAnsi="Times New Roman"/>
          <w:sz w:val="12"/>
          <w:szCs w:val="12"/>
          <w:b w:val="1"/>
          <w:bCs w:val="1"/>
          <w:color w:val="auto"/>
        </w:rPr>
        <w:t>AND/OR</w:t>
      </w:r>
      <w:r>
        <w:rPr>
          <w:rFonts w:ascii="Times New Roman" w:cs="Times New Roman" w:eastAsia="Times New Roman" w:hAnsi="Times New Roman"/>
          <w:sz w:val="12"/>
          <w:szCs w:val="12"/>
          <w:b w:val="1"/>
          <w:bCs w:val="1"/>
          <w:u w:val="single" w:color="auto"/>
          <w:color w:val="auto"/>
        </w:rPr>
        <w:t> SECTION 5.2 </w:t>
      </w:r>
      <w:r>
        <w:rPr>
          <w:rFonts w:ascii="Times New Roman" w:cs="Times New Roman" w:eastAsia="Times New Roman" w:hAnsi="Times New Roman"/>
          <w:sz w:val="12"/>
          <w:szCs w:val="12"/>
          <w:b w:val="1"/>
          <w:bCs w:val="1"/>
          <w:color w:val="auto"/>
        </w:rPr>
        <w:t>ABOVE, NONE OF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COMPANY, TARGET, ANY OF THEIR AFFILIATES, OR ANY OTHER PARTY TO THE BUSINESS COMBINATION AGREEMENT, OR ANY OF THEIR RESPECTIVE OFFICERS, DIRECTORS, EQUITYHOLDERS, MANAGERS, MEMBERS, ADVISORS OR LEGAL COUNSEL SHALL HAVE ANY LIABILITY (INCLUDING, BUT NOT LIMITED TO, AS A RESULT OF POTENTIAL LOST PROFITS AND OPPORTUNITIES) TO THE PURCHASER AS A RESULT OF THE TERMINATION OF THIS AGREEMENT AS A RESULT OF THE GOOD FAITH TERMINATION OF THE BUSINESS COMBINATION AGREEMENT BECAUSE OF A FAILURE OF A CLOSING CONDITION TO BE MET (SOLELY TO THE EXTENT SUCH FAILURE IS OUTSIDE OF THE CONTROL OF THE COMPANY, BUT REGARDLESS OF WHETHER THE BUSINESS COMBINATION AGREEMENT IS TERMINATED BY THE COMPANY OR TARGET).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2"/>
          <w:szCs w:val="12"/>
          <w:color w:val="auto"/>
        </w:rPr>
        <w:t>5.21</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12"/>
          <w:szCs w:val="12"/>
          <w:b w:val="1"/>
          <w:bCs w:val="1"/>
          <w:u w:val="single" w:color="auto"/>
          <w:color w:val="auto"/>
        </w:rPr>
        <w:t>WAIVER OF JURY TRIAL</w:t>
      </w:r>
      <w:r>
        <w:rPr>
          <w:rFonts w:ascii="Times New Roman" w:cs="Times New Roman" w:eastAsia="Times New Roman" w:hAnsi="Times New Roman"/>
          <w:sz w:val="12"/>
          <w:szCs w:val="12"/>
          <w:b w:val="1"/>
          <w:bCs w:val="1"/>
          <w:color w:val="auto"/>
        </w:rPr>
        <w:t>. IN ANY ACTION, SUIT, OR PROCEEDING IN ANY JURISDICTION BROUGHT BY ANY PARTY AGAINST ANY OTHER PARTY, THE PARTIES EACH KNOWINGLY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INTENTIONALLY, TO THE GREATEST EXTENT PERMITTED BY APPLICABLE LAW, HEREBY ABSOLUTELY, UNCONDITIONALLY, IRREVOCABLY AND EXPRESSLY WAIVES FOREVER TRIAL BY JURY.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(Signature Pages Follow)</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i w:val="1"/>
          <w:iCs w:val="1"/>
          <w:color w:val="auto"/>
        </w:rPr>
        <w:t>Final Form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WITNESS WHEREOF, the parties hereto have caused this Stock Purchase Agreement to be duly executed by their respective authorized signatories as of the date first indicated above.</w:t>
      </w:r>
    </w:p>
    <w:tbl>
      <w:tblPr>
        <w:tblLayout w:type="fixed"/>
        <w:tblInd w:w="0" w:type="dxa"/>
        <w:tblCellMar>
          <w:top w:w="0" w:type="dxa"/>
          <w:left w:w="0" w:type="dxa"/>
          <w:bottom w:w="0" w:type="dxa"/>
          <w:right w:w="0" w:type="dxa"/>
        </w:tblCellMar>
      </w:tblPr>
      <w:tr>
        <w:trPr>
          <w:trHeight w:val="135"/>
        </w:trPr>
        <w:tc>
          <w:tcPr>
            <w:tcW w:w="560" w:type="dxa"/>
            <w:vAlign w:val="bottom"/>
          </w:tcPr>
          <w:p>
            <w:pPr>
              <w:spacing w:after="0" w:line="136" w:lineRule="exact"/>
              <w:rPr>
                <w:sz w:val="20"/>
                <w:szCs w:val="20"/>
                <w:color w:val="auto"/>
              </w:rPr>
            </w:pPr>
            <w:r>
              <w:rPr>
                <w:rFonts w:ascii="Times New Roman" w:cs="Times New Roman" w:eastAsia="Times New Roman" w:hAnsi="Times New Roman"/>
                <w:sz w:val="12"/>
                <w:szCs w:val="12"/>
                <w:color w:val="auto"/>
              </w:rPr>
              <w:t> </w:t>
            </w:r>
          </w:p>
        </w:tc>
        <w:tc>
          <w:tcPr>
            <w:tcW w:w="27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2"/>
        </w:trPr>
        <w:tc>
          <w:tcPr>
            <w:tcW w:w="3260" w:type="dxa"/>
            <w:vAlign w:val="bottom"/>
            <w:gridSpan w:val="2"/>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CARTESIAN GROWTH CORPORATION III</w:t>
            </w:r>
          </w:p>
        </w:tc>
        <w:tc>
          <w:tcPr>
            <w:tcW w:w="1600" w:type="dxa"/>
            <w:vAlign w:val="bottom"/>
          </w:tcPr>
          <w:p>
            <w:pPr>
              <w:spacing w:after="0"/>
              <w:rPr>
                <w:sz w:val="11"/>
                <w:szCs w:val="11"/>
                <w:color w:val="auto"/>
              </w:rPr>
            </w:pPr>
          </w:p>
        </w:tc>
        <w:tc>
          <w:tcPr>
            <w:tcW w:w="40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 </w:t>
            </w:r>
          </w:p>
        </w:tc>
        <w:tc>
          <w:tcPr>
            <w:tcW w:w="500" w:type="dxa"/>
            <w:vAlign w:val="bottom"/>
          </w:tcPr>
          <w:p>
            <w:pPr>
              <w:spacing w:after="0"/>
              <w:rPr>
                <w:sz w:val="11"/>
                <w:szCs w:val="11"/>
                <w:color w:val="auto"/>
              </w:rPr>
            </w:pPr>
          </w:p>
        </w:tc>
        <w:tc>
          <w:tcPr>
            <w:tcW w:w="1780" w:type="dxa"/>
            <w:vAlign w:val="bottom"/>
            <w:gridSpan w:val="3"/>
          </w:tcPr>
          <w:p>
            <w:pPr>
              <w:spacing w:after="0" w:line="132" w:lineRule="exact"/>
              <w:rPr>
                <w:sz w:val="20"/>
                <w:szCs w:val="20"/>
                <w:color w:val="auto"/>
              </w:rPr>
            </w:pPr>
            <w:r>
              <w:rPr>
                <w:rFonts w:ascii="Times New Roman" w:cs="Times New Roman" w:eastAsia="Times New Roman" w:hAnsi="Times New Roman"/>
                <w:sz w:val="12"/>
                <w:szCs w:val="12"/>
                <w:color w:val="auto"/>
              </w:rPr>
              <w:t>Address for Notice:</w:t>
            </w:r>
          </w:p>
        </w:tc>
      </w:tr>
      <w:tr>
        <w:trPr>
          <w:trHeight w:val="140"/>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2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tcPr>
          <w:p>
            <w:pPr>
              <w:spacing w:after="0"/>
              <w:rPr>
                <w:sz w:val="12"/>
                <w:szCs w:val="12"/>
                <w:color w:val="auto"/>
              </w:rPr>
            </w:pPr>
          </w:p>
        </w:tc>
        <w:tc>
          <w:tcPr>
            <w:tcW w:w="9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840" w:type="dxa"/>
            <w:vAlign w:val="bottom"/>
          </w:tcPr>
          <w:p>
            <w:pPr>
              <w:spacing w:after="0"/>
              <w:rPr>
                <w:sz w:val="12"/>
                <w:szCs w:val="12"/>
                <w:color w:val="auto"/>
              </w:rPr>
            </w:pPr>
          </w:p>
        </w:tc>
      </w:tr>
      <w:tr>
        <w:trPr>
          <w:trHeight w:val="144"/>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1600" w:type="dxa"/>
            <w:vAlign w:val="bottom"/>
          </w:tcPr>
          <w:p>
            <w:pPr>
              <w:spacing w:after="0"/>
              <w:rPr>
                <w:sz w:val="12"/>
                <w:szCs w:val="12"/>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tcPr>
          <w:p>
            <w:pPr>
              <w:spacing w:after="0"/>
              <w:rPr>
                <w:sz w:val="12"/>
                <w:szCs w:val="12"/>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505 Fifth Avenue, 15th Floor</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 </w:t>
            </w:r>
          </w:p>
        </w:tc>
        <w:tc>
          <w:tcPr>
            <w:tcW w:w="1600" w:type="dxa"/>
            <w:vAlign w:val="bottom"/>
            <w:tcBorders>
              <w:bottom w:val="single" w:sz="8" w:color="auto"/>
            </w:tcBorders>
          </w:tcPr>
          <w:p>
            <w:pPr>
              <w:spacing w:after="0"/>
              <w:rPr>
                <w:sz w:val="13"/>
                <w:szCs w:val="13"/>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tcPr>
          <w:p>
            <w:pPr>
              <w:spacing w:after="0"/>
              <w:rPr>
                <w:sz w:val="13"/>
                <w:szCs w:val="13"/>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New York, New York</w:t>
            </w: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270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Peter Yu                             </w:t>
            </w:r>
          </w:p>
        </w:tc>
        <w:tc>
          <w:tcPr>
            <w:tcW w:w="1600" w:type="dxa"/>
            <w:vAlign w:val="bottom"/>
          </w:tcPr>
          <w:p>
            <w:pPr>
              <w:spacing w:after="0"/>
              <w:rPr>
                <w:sz w:val="10"/>
                <w:szCs w:val="10"/>
                <w:color w:val="auto"/>
              </w:rPr>
            </w:pPr>
          </w:p>
        </w:tc>
        <w:tc>
          <w:tcPr>
            <w:tcW w:w="40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w:t>
            </w:r>
          </w:p>
        </w:tc>
        <w:tc>
          <w:tcPr>
            <w:tcW w:w="500" w:type="dxa"/>
            <w:vAlign w:val="bottom"/>
          </w:tcPr>
          <w:p>
            <w:pPr>
              <w:spacing w:after="0"/>
              <w:rPr>
                <w:sz w:val="10"/>
                <w:szCs w:val="10"/>
                <w:color w:val="auto"/>
              </w:rPr>
            </w:pPr>
          </w:p>
        </w:tc>
        <w:tc>
          <w:tcPr>
            <w:tcW w:w="1780" w:type="dxa"/>
            <w:vAlign w:val="bottom"/>
            <w:gridSpan w:val="3"/>
          </w:tcPr>
          <w:p>
            <w:pPr>
              <w:spacing w:after="0" w:line="122" w:lineRule="exact"/>
              <w:rPr>
                <w:sz w:val="20"/>
                <w:szCs w:val="20"/>
                <w:color w:val="auto"/>
              </w:rPr>
            </w:pPr>
            <w:r>
              <w:rPr>
                <w:rFonts w:ascii="Times New Roman" w:cs="Times New Roman" w:eastAsia="Times New Roman" w:hAnsi="Times New Roman"/>
                <w:sz w:val="12"/>
                <w:szCs w:val="12"/>
                <w:color w:val="auto"/>
              </w:rPr>
              <w:t> </w:t>
            </w:r>
          </w:p>
        </w:tc>
      </w:tr>
      <w:tr>
        <w:trPr>
          <w:trHeight w:val="128"/>
        </w:trPr>
        <w:tc>
          <w:tcPr>
            <w:tcW w:w="56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Title:</w:t>
            </w:r>
          </w:p>
        </w:tc>
        <w:tc>
          <w:tcPr>
            <w:tcW w:w="27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Chief Executive Officer</w:t>
            </w:r>
          </w:p>
        </w:tc>
        <w:tc>
          <w:tcPr>
            <w:tcW w:w="1600" w:type="dxa"/>
            <w:vAlign w:val="bottom"/>
          </w:tcPr>
          <w:p>
            <w:pPr>
              <w:spacing w:after="0"/>
              <w:rPr>
                <w:sz w:val="11"/>
                <w:szCs w:val="11"/>
                <w:color w:val="auto"/>
              </w:rPr>
            </w:pPr>
          </w:p>
        </w:tc>
        <w:tc>
          <w:tcPr>
            <w:tcW w:w="4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 </w:t>
            </w:r>
          </w:p>
        </w:tc>
        <w:tc>
          <w:tcPr>
            <w:tcW w:w="500" w:type="dxa"/>
            <w:vAlign w:val="bottom"/>
          </w:tcPr>
          <w:p>
            <w:pPr>
              <w:spacing w:after="0"/>
              <w:rPr>
                <w:sz w:val="11"/>
                <w:szCs w:val="11"/>
                <w:color w:val="auto"/>
              </w:rPr>
            </w:pPr>
          </w:p>
        </w:tc>
        <w:tc>
          <w:tcPr>
            <w:tcW w:w="1780" w:type="dxa"/>
            <w:vAlign w:val="bottom"/>
            <w:gridSpan w:val="3"/>
          </w:tcPr>
          <w:p>
            <w:pPr>
              <w:spacing w:after="0" w:line="128" w:lineRule="exact"/>
              <w:rPr>
                <w:sz w:val="20"/>
                <w:szCs w:val="20"/>
                <w:color w:val="auto"/>
              </w:rPr>
            </w:pPr>
            <w:r>
              <w:rPr>
                <w:rFonts w:ascii="Times New Roman" w:cs="Times New Roman" w:eastAsia="Times New Roman" w:hAnsi="Times New Roman"/>
                <w:sz w:val="12"/>
                <w:szCs w:val="12"/>
                <w:color w:val="auto"/>
                <w:w w:val="98"/>
              </w:rPr>
              <w:t>Email: peter.yu@cartesiangroup.com</w:t>
            </w:r>
          </w:p>
        </w:tc>
      </w:tr>
      <w:tr>
        <w:trPr>
          <w:trHeight w:val="140"/>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1600" w:type="dxa"/>
            <w:vAlign w:val="bottom"/>
          </w:tcPr>
          <w:p>
            <w:pPr>
              <w:spacing w:after="0"/>
              <w:rPr>
                <w:sz w:val="12"/>
                <w:szCs w:val="12"/>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tcPr>
          <w:p>
            <w:pPr>
              <w:spacing w:after="0"/>
              <w:rPr>
                <w:sz w:val="12"/>
                <w:szCs w:val="12"/>
                <w:color w:val="auto"/>
              </w:rPr>
            </w:pPr>
          </w:p>
        </w:tc>
        <w:tc>
          <w:tcPr>
            <w:tcW w:w="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 </w:t>
            </w:r>
          </w:p>
        </w:tc>
        <w:tc>
          <w:tcPr>
            <w:tcW w:w="1500" w:type="dxa"/>
            <w:vAlign w:val="bottom"/>
            <w:gridSpan w:val="2"/>
          </w:tcPr>
          <w:p>
            <w:pPr>
              <w:spacing w:after="0"/>
              <w:rPr>
                <w:sz w:val="12"/>
                <w:szCs w:val="12"/>
                <w:color w:val="auto"/>
              </w:rPr>
            </w:pPr>
          </w:p>
        </w:tc>
      </w:tr>
      <w:tr>
        <w:trPr>
          <w:trHeight w:val="144"/>
        </w:trPr>
        <w:tc>
          <w:tcPr>
            <w:tcW w:w="3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With a copy to (which shall not constitute notice):</w:t>
            </w:r>
          </w:p>
        </w:tc>
        <w:tc>
          <w:tcPr>
            <w:tcW w:w="1600" w:type="dxa"/>
            <w:vAlign w:val="bottom"/>
          </w:tcPr>
          <w:p>
            <w:pPr>
              <w:spacing w:after="0"/>
              <w:rPr>
                <w:sz w:val="12"/>
                <w:szCs w:val="12"/>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tcPr>
          <w:p>
            <w:pPr>
              <w:spacing w:after="0"/>
              <w:rPr>
                <w:sz w:val="12"/>
                <w:szCs w:val="12"/>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1600" w:type="dxa"/>
            <w:vAlign w:val="bottom"/>
          </w:tcPr>
          <w:p>
            <w:pPr>
              <w:spacing w:after="0"/>
              <w:rPr>
                <w:sz w:val="12"/>
                <w:szCs w:val="12"/>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tcPr>
          <w:p>
            <w:pPr>
              <w:spacing w:after="0"/>
              <w:rPr>
                <w:sz w:val="12"/>
                <w:szCs w:val="12"/>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3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Greenberg Traurig, LLP</w:t>
            </w:r>
          </w:p>
        </w:tc>
        <w:tc>
          <w:tcPr>
            <w:tcW w:w="1600" w:type="dxa"/>
            <w:vAlign w:val="bottom"/>
          </w:tcPr>
          <w:p>
            <w:pPr>
              <w:spacing w:after="0"/>
              <w:rPr>
                <w:sz w:val="12"/>
                <w:szCs w:val="12"/>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tcPr>
          <w:p>
            <w:pPr>
              <w:spacing w:after="0"/>
              <w:rPr>
                <w:sz w:val="12"/>
                <w:szCs w:val="12"/>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3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One Vanderbilt Avenue</w:t>
            </w:r>
          </w:p>
        </w:tc>
        <w:tc>
          <w:tcPr>
            <w:tcW w:w="1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3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New York, New York 10017</w:t>
            </w:r>
          </w:p>
        </w:tc>
        <w:tc>
          <w:tcPr>
            <w:tcW w:w="1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3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Attn: Adam Namoury</w:t>
            </w:r>
          </w:p>
        </w:tc>
        <w:tc>
          <w:tcPr>
            <w:tcW w:w="1600" w:type="dxa"/>
            <w:vAlign w:val="bottom"/>
          </w:tcPr>
          <w:p>
            <w:pPr>
              <w:spacing w:after="0"/>
              <w:rPr>
                <w:sz w:val="12"/>
                <w:szCs w:val="12"/>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tcPr>
          <w:p>
            <w:pPr>
              <w:spacing w:after="0"/>
              <w:rPr>
                <w:sz w:val="12"/>
                <w:szCs w:val="12"/>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3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Email: Adam.Namoury@gtlaw.com</w:t>
            </w:r>
          </w:p>
        </w:tc>
        <w:tc>
          <w:tcPr>
            <w:tcW w:w="1600" w:type="dxa"/>
            <w:vAlign w:val="bottom"/>
          </w:tcPr>
          <w:p>
            <w:pPr>
              <w:spacing w:after="0"/>
              <w:rPr>
                <w:sz w:val="12"/>
                <w:szCs w:val="12"/>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tcPr>
          <w:p>
            <w:pPr>
              <w:spacing w:after="0"/>
              <w:rPr>
                <w:sz w:val="12"/>
                <w:szCs w:val="12"/>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5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80" w:type="dxa"/>
            <w:vAlign w:val="bottom"/>
            <w:gridSpan w:val="4"/>
          </w:tcPr>
          <w:p>
            <w:pPr>
              <w:jc w:val="center"/>
              <w:ind w:right="1500"/>
              <w:spacing w:after="0"/>
              <w:rPr>
                <w:sz w:val="20"/>
                <w:szCs w:val="20"/>
                <w:color w:val="auto"/>
              </w:rPr>
            </w:pPr>
            <w:r>
              <w:rPr>
                <w:rFonts w:ascii="Times New Roman" w:cs="Times New Roman" w:eastAsia="Times New Roman" w:hAnsi="Times New Roman"/>
                <w:sz w:val="12"/>
                <w:szCs w:val="12"/>
                <w:color w:val="auto"/>
                <w:w w:val="81"/>
              </w:rPr>
              <w:t> </w:t>
            </w:r>
          </w:p>
        </w:tc>
      </w:tr>
      <w:tr>
        <w:trPr>
          <w:trHeight w:val="144"/>
        </w:trPr>
        <w:tc>
          <w:tcPr>
            <w:tcW w:w="5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280" w:type="dxa"/>
            <w:vAlign w:val="bottom"/>
            <w:gridSpan w:val="6"/>
          </w:tcPr>
          <w:p>
            <w:pPr>
              <w:jc w:val="center"/>
              <w:ind w:left="440"/>
              <w:spacing w:after="0"/>
              <w:rPr>
                <w:sz w:val="20"/>
                <w:szCs w:val="20"/>
                <w:color w:val="auto"/>
              </w:rPr>
            </w:pPr>
            <w:r>
              <w:rPr>
                <w:rFonts w:ascii="Times New Roman" w:cs="Times New Roman" w:eastAsia="Times New Roman" w:hAnsi="Times New Roman"/>
                <w:sz w:val="12"/>
                <w:szCs w:val="12"/>
                <w:color w:val="auto"/>
                <w:w w:val="99"/>
              </w:rPr>
              <w:t>[REMAINDER OF PAGE INTENTIONALLY LEFT BLANK</w:t>
            </w:r>
          </w:p>
        </w:tc>
      </w:tr>
      <w:tr>
        <w:trPr>
          <w:trHeight w:val="155"/>
        </w:trPr>
        <w:tc>
          <w:tcPr>
            <w:tcW w:w="5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4280" w:type="dxa"/>
            <w:vAlign w:val="bottom"/>
            <w:gridSpan w:val="6"/>
          </w:tcPr>
          <w:p>
            <w:pPr>
              <w:jc w:val="center"/>
              <w:ind w:left="420"/>
              <w:spacing w:after="0"/>
              <w:rPr>
                <w:sz w:val="20"/>
                <w:szCs w:val="20"/>
                <w:color w:val="auto"/>
              </w:rPr>
            </w:pPr>
            <w:r>
              <w:rPr>
                <w:rFonts w:ascii="Times New Roman" w:cs="Times New Roman" w:eastAsia="Times New Roman" w:hAnsi="Times New Roman"/>
                <w:sz w:val="12"/>
                <w:szCs w:val="12"/>
                <w:color w:val="auto"/>
                <w:w w:val="99"/>
              </w:rPr>
              <w:t>SIGNATURE PAGE FOR SPONSOR FOLLOWS]</w:t>
            </w:r>
          </w:p>
        </w:tc>
      </w:tr>
    </w:tbl>
    <w:p>
      <w:pPr>
        <w:jc w:val="cente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[COMPANY SIGNATURE PAGES TO SPA]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717804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 WITNESS WHEREOF, the parties hereto have caused this Stock Purchase Agreement to be duly executed by their respective authorized signatories as of the date first indicated above.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4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32"/>
        </w:trPr>
        <w:tc>
          <w:tcPr>
            <w:tcW w:w="4860" w:type="dxa"/>
            <w:vAlign w:val="bottom"/>
            <w:gridSpan w:val="2"/>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CGC III SPONSOR LLC</w:t>
            </w:r>
          </w:p>
        </w:tc>
        <w:tc>
          <w:tcPr>
            <w:tcW w:w="90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 </w:t>
            </w:r>
          </w:p>
        </w:tc>
        <w:tc>
          <w:tcPr>
            <w:tcW w:w="1780" w:type="dxa"/>
            <w:vAlign w:val="bottom"/>
            <w:gridSpan w:val="3"/>
          </w:tcPr>
          <w:p>
            <w:pPr>
              <w:spacing w:after="0" w:line="132" w:lineRule="exact"/>
              <w:rPr>
                <w:sz w:val="20"/>
                <w:szCs w:val="20"/>
                <w:color w:val="auto"/>
              </w:rPr>
            </w:pPr>
            <w:r>
              <w:rPr>
                <w:rFonts w:ascii="Times New Roman" w:cs="Times New Roman" w:eastAsia="Times New Roman" w:hAnsi="Times New Roman"/>
                <w:sz w:val="12"/>
                <w:szCs w:val="12"/>
                <w:color w:val="auto"/>
              </w:rPr>
              <w:t>Address for Notice:</w:t>
            </w:r>
          </w:p>
        </w:tc>
      </w:tr>
      <w:tr>
        <w:trPr>
          <w:trHeight w:val="140"/>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43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9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9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840" w:type="dxa"/>
            <w:vAlign w:val="bottom"/>
          </w:tcPr>
          <w:p>
            <w:pPr>
              <w:spacing w:after="0"/>
              <w:rPr>
                <w:sz w:val="12"/>
                <w:szCs w:val="12"/>
                <w:color w:val="auto"/>
              </w:rPr>
            </w:pP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 </w:t>
            </w:r>
          </w:p>
        </w:tc>
        <w:tc>
          <w:tcPr>
            <w:tcW w:w="9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17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505 Fifth Avenue, 15th Floor</w:t>
            </w: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430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Peter Yu</w:t>
            </w:r>
          </w:p>
        </w:tc>
        <w:tc>
          <w:tcPr>
            <w:tcW w:w="90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w:t>
            </w:r>
          </w:p>
        </w:tc>
        <w:tc>
          <w:tcPr>
            <w:tcW w:w="1780" w:type="dxa"/>
            <w:vAlign w:val="bottom"/>
            <w:gridSpan w:val="3"/>
          </w:tcPr>
          <w:p>
            <w:pPr>
              <w:spacing w:after="0" w:line="122" w:lineRule="exact"/>
              <w:rPr>
                <w:sz w:val="20"/>
                <w:szCs w:val="20"/>
                <w:color w:val="auto"/>
              </w:rPr>
            </w:pPr>
            <w:r>
              <w:rPr>
                <w:rFonts w:ascii="Times New Roman" w:cs="Times New Roman" w:eastAsia="Times New Roman" w:hAnsi="Times New Roman"/>
                <w:sz w:val="12"/>
                <w:szCs w:val="12"/>
                <w:color w:val="auto"/>
              </w:rPr>
              <w:t>New York, New York</w:t>
            </w:r>
          </w:p>
        </w:tc>
      </w:tr>
      <w:tr>
        <w:trPr>
          <w:trHeight w:val="128"/>
        </w:trPr>
        <w:tc>
          <w:tcPr>
            <w:tcW w:w="56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Title:</w:t>
            </w:r>
          </w:p>
        </w:tc>
        <w:tc>
          <w:tcPr>
            <w:tcW w:w="43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President</w:t>
            </w:r>
          </w:p>
        </w:tc>
        <w:tc>
          <w:tcPr>
            <w:tcW w:w="9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 </w:t>
            </w:r>
          </w:p>
        </w:tc>
        <w:tc>
          <w:tcPr>
            <w:tcW w:w="1780" w:type="dxa"/>
            <w:vAlign w:val="bottom"/>
            <w:gridSpan w:val="3"/>
          </w:tcPr>
          <w:p>
            <w:pPr>
              <w:spacing w:after="0" w:line="128" w:lineRule="exact"/>
              <w:rPr>
                <w:sz w:val="20"/>
                <w:szCs w:val="20"/>
                <w:color w:val="auto"/>
              </w:rPr>
            </w:pPr>
            <w:r>
              <w:rPr>
                <w:rFonts w:ascii="Times New Roman" w:cs="Times New Roman" w:eastAsia="Times New Roman" w:hAnsi="Times New Roman"/>
                <w:sz w:val="12"/>
                <w:szCs w:val="12"/>
                <w:color w:val="auto"/>
                <w:w w:val="98"/>
              </w:rPr>
              <w:t>Email: peter.yu@cartesiangroup.com</w:t>
            </w:r>
          </w:p>
        </w:tc>
      </w:tr>
      <w:tr>
        <w:trPr>
          <w:trHeight w:val="15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43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9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 </w:t>
            </w:r>
          </w:p>
        </w:tc>
        <w:tc>
          <w:tcPr>
            <w:tcW w:w="1500" w:type="dxa"/>
            <w:vAlign w:val="bottom"/>
            <w:gridSpan w:val="2"/>
          </w:tcPr>
          <w:p>
            <w:pPr>
              <w:spacing w:after="0"/>
              <w:rPr>
                <w:sz w:val="13"/>
                <w:szCs w:val="13"/>
                <w:color w:val="auto"/>
              </w:rPr>
            </w:pPr>
          </w:p>
        </w:tc>
      </w:tr>
    </w:tbl>
    <w:p>
      <w:pPr>
        <w:spacing w:after="0"/>
        <w:tabs>
          <w:tab w:leader="none" w:pos="5420" w:val="left"/>
          <w:tab w:leader="none" w:pos="5740" w:val="left"/>
        </w:tabs>
        <w:rPr>
          <w:sz w:val="20"/>
          <w:szCs w:val="20"/>
          <w:color w:val="auto"/>
        </w:rPr>
      </w:pPr>
      <w:r>
        <w:rPr>
          <w:rFonts w:ascii="Times New Roman" w:cs="Times New Roman" w:eastAsia="Times New Roman" w:hAnsi="Times New Roman"/>
          <w:sz w:val="12"/>
          <w:szCs w:val="12"/>
          <w:color w:val="auto"/>
        </w:rPr>
        <w:t>With a copy to (which shall not constitute notice):</w:t>
      </w:r>
      <w:r>
        <w:rPr>
          <w:sz w:val="20"/>
          <w:szCs w:val="20"/>
          <w:color w:val="auto"/>
        </w:rPr>
        <w:tab/>
      </w:r>
      <w:r>
        <w:rPr>
          <w:rFonts w:ascii="Times New Roman" w:cs="Times New Roman" w:eastAsia="Times New Roman" w:hAnsi="Times New Roman"/>
          <w:sz w:val="12"/>
          <w:szCs w:val="12"/>
          <w:color w:val="auto"/>
        </w:rPr>
        <w:t> </w:t>
      </w:r>
      <w:r>
        <w:rPr>
          <w:sz w:val="20"/>
          <w:szCs w:val="20"/>
          <w:color w:val="auto"/>
        </w:rPr>
        <w:tab/>
      </w:r>
      <w:r>
        <w:rPr>
          <w:rFonts w:ascii="Times New Roman" w:cs="Times New Roman" w:eastAsia="Times New Roman" w:hAnsi="Times New Roman"/>
          <w:sz w:val="12"/>
          <w:szCs w:val="12"/>
          <w:color w:val="auto"/>
        </w:rPr>
        <w:t>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Greenberg Traurig, LLP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One Vanderbilt Avenue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New York, New York 10017</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Attn: Adam Namoury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Email: Adam.Namoury@gtlaw.com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color w:val="auto"/>
        </w:rPr>
        <w:t>[REMAINDER OF PAGE INTENTIONALLY LEFT BLANK</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color w:val="auto"/>
        </w:rPr>
        <w:t>SIGNATURE PAGE FOR PURCHASER FOLLOWS]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2"/>
          <w:szCs w:val="12"/>
          <w:color w:val="auto"/>
        </w:rPr>
        <w:t>[SPONSOR SIGNATURE PAGE TO SPA]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717804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 WITNESS WHEREOF, the undersigned have caused this Stock Purchase Agreement to be duly executed by their respective authorized signatories as of the date first indicated above.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 of Purchaser: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Signature of Authorized Signatory of Purchaser</w:t>
      </w:r>
      <w:r>
        <w:rPr>
          <w:rFonts w:ascii="Times New Roman" w:cs="Times New Roman" w:eastAsia="Times New Roman" w:hAnsi="Times New Roman"/>
          <w:sz w:val="12"/>
          <w:szCs w:val="12"/>
          <w:color w:val="auto"/>
        </w:rPr>
        <w:t>: 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 of Authorized Signatory: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Title of Authorized Signatory: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Email Address of Authorized Signatory: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Address for Notice to Purchaser: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Address for Delivery of Purchased Shares to Purchaser (if not same as address for notice):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EIN Number: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2"/>
          <w:szCs w:val="12"/>
          <w:color w:val="auto"/>
        </w:rPr>
        <w:t>[PURCHASER SIGNATURE PAGES TO SPA]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717804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163" w:name="page164"/>
    <w:bookmarkEnd w:id="163"/>
    <w:p>
      <w:pPr>
        <w:ind w:left="8"/>
        <w:spacing w:after="0"/>
        <w:rPr>
          <w:sz w:val="20"/>
          <w:szCs w:val="20"/>
          <w:color w:val="auto"/>
        </w:rPr>
      </w:pPr>
      <w:r>
        <w:rPr>
          <w:rFonts w:ascii="Times New Roman" w:cs="Times New Roman" w:eastAsia="Times New Roman" w:hAnsi="Times New Roman"/>
          <w:sz w:val="12"/>
          <w:szCs w:val="12"/>
          <w:color w:val="auto"/>
        </w:rPr>
        <w:t> </w:t>
      </w:r>
    </w:p>
    <w:p>
      <w:pPr>
        <w:ind w:left="5368"/>
        <w:spacing w:after="0" w:line="207" w:lineRule="auto"/>
        <w:rPr>
          <w:sz w:val="20"/>
          <w:szCs w:val="20"/>
          <w:color w:val="auto"/>
        </w:rPr>
      </w:pPr>
      <w:r>
        <w:rPr>
          <w:rFonts w:ascii="Times New Roman" w:cs="Times New Roman" w:eastAsia="Times New Roman" w:hAnsi="Times New Roman"/>
          <w:sz w:val="12"/>
          <w:szCs w:val="12"/>
          <w:b w:val="1"/>
          <w:bCs w:val="1"/>
          <w:color w:val="auto"/>
        </w:rPr>
        <w:t>ANNEX A</w:t>
      </w:r>
      <w:r>
        <w:rPr>
          <w:rFonts w:ascii="Times New Roman" w:cs="Times New Roman" w:eastAsia="Times New Roman" w:hAnsi="Times New Roman"/>
          <w:sz w:val="19"/>
          <w:szCs w:val="19"/>
          <w:b w:val="1"/>
          <w:bCs w:val="1"/>
          <w:color w:val="auto"/>
          <w:vertAlign w:val="superscript"/>
        </w:rPr>
        <w:t>9</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w:t>
      </w:r>
    </w:p>
    <w:p>
      <w:pPr>
        <w:spacing w:after="0" w:line="5" w:lineRule="exact"/>
        <w:rPr>
          <w:sz w:val="20"/>
          <w:szCs w:val="20"/>
          <w:color w:val="auto"/>
        </w:rPr>
      </w:pPr>
    </w:p>
    <w:p>
      <w:pPr>
        <w:jc w:val="right"/>
        <w:ind w:right="3559"/>
        <w:spacing w:after="0"/>
        <w:rPr>
          <w:sz w:val="20"/>
          <w:szCs w:val="20"/>
          <w:color w:val="auto"/>
        </w:rPr>
      </w:pPr>
      <w:r>
        <w:rPr>
          <w:rFonts w:ascii="Times New Roman" w:cs="Times New Roman" w:eastAsia="Times New Roman" w:hAnsi="Times New Roman"/>
          <w:sz w:val="12"/>
          <w:szCs w:val="12"/>
          <w:b w:val="1"/>
          <w:bCs w:val="1"/>
          <w:color w:val="auto"/>
        </w:rPr>
        <w:t>Form of Non-Redemption Agreement</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5388"/>
        <w:spacing w:after="0"/>
        <w:rPr>
          <w:sz w:val="20"/>
          <w:szCs w:val="20"/>
          <w:color w:val="auto"/>
        </w:rPr>
      </w:pPr>
      <w:r>
        <w:rPr>
          <w:rFonts w:ascii="Times New Roman" w:cs="Times New Roman" w:eastAsia="Times New Roman" w:hAnsi="Times New Roman"/>
          <w:sz w:val="12"/>
          <w:szCs w:val="12"/>
          <w:b w:val="1"/>
          <w:bCs w:val="1"/>
          <w:color w:val="auto"/>
        </w:rPr>
        <w:t>[attached]</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179451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6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w:t>
      </w:r>
    </w:p>
    <w:p>
      <w:pPr>
        <w:ind w:left="88" w:hanging="88"/>
        <w:spacing w:after="0" w:line="196" w:lineRule="auto"/>
        <w:tabs>
          <w:tab w:leader="none" w:pos="88" w:val="left"/>
        </w:tabs>
        <w:numPr>
          <w:ilvl w:val="0"/>
          <w:numId w:val="7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For Sponsor affiliates</w:t>
      </w:r>
    </w:p>
    <w:p>
      <w:pPr>
        <w:spacing w:after="0" w:line="1" w:lineRule="exact"/>
        <w:rPr>
          <w:rFonts w:ascii="Times New Roman" w:cs="Times New Roman" w:eastAsia="Times New Roman" w:hAnsi="Times New Roman"/>
          <w:sz w:val="20"/>
          <w:szCs w:val="20"/>
          <w:color w:val="auto"/>
          <w:vertAlign w:val="superscript"/>
        </w:rPr>
      </w:pPr>
    </w:p>
    <w:p>
      <w:pPr>
        <w:ind w:left="8"/>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17804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7"/>
          </w:cols>
          <w:pgMar w:left="292" w:top="129" w:right="1440"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NON-REDEMPTION AGREEMENT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THIS NON-REDEMPTION AGREEMENT (this “</w:t>
      </w:r>
      <w:r>
        <w:rPr>
          <w:rFonts w:ascii="Times New Roman" w:cs="Times New Roman" w:eastAsia="Times New Roman" w:hAnsi="Times New Roman"/>
          <w:sz w:val="12"/>
          <w:szCs w:val="12"/>
          <w:b w:val="1"/>
          <w:bCs w:val="1"/>
          <w:i w:val="1"/>
          <w:iCs w:val="1"/>
          <w:color w:val="auto"/>
        </w:rPr>
        <w:t>Agreement</w:t>
      </w:r>
      <w:r>
        <w:rPr>
          <w:rFonts w:ascii="Times New Roman" w:cs="Times New Roman" w:eastAsia="Times New Roman" w:hAnsi="Times New Roman"/>
          <w:sz w:val="12"/>
          <w:szCs w:val="12"/>
          <w:color w:val="auto"/>
        </w:rPr>
        <w:t>”), dated as of [•], is made by and between CARTESIAN GROWTH CORPORATION III, a Cayman Islands exempted company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and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undersigned shareholder (“</w:t>
      </w:r>
      <w:r>
        <w:rPr>
          <w:rFonts w:ascii="Times New Roman" w:cs="Times New Roman" w:eastAsia="Times New Roman" w:hAnsi="Times New Roman"/>
          <w:sz w:val="12"/>
          <w:szCs w:val="12"/>
          <w:b w:val="1"/>
          <w:bCs w:val="1"/>
          <w:i w:val="1"/>
          <w:iCs w:val="1"/>
          <w:color w:val="auto"/>
        </w:rPr>
        <w:t>Holder</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RECITALS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WHEREAS, the Company has entered into that certain Business Combination Agreement (“</w:t>
      </w:r>
      <w:r>
        <w:rPr>
          <w:rFonts w:ascii="Times New Roman" w:cs="Times New Roman" w:eastAsia="Times New Roman" w:hAnsi="Times New Roman"/>
          <w:sz w:val="12"/>
          <w:szCs w:val="12"/>
          <w:b w:val="1"/>
          <w:bCs w:val="1"/>
          <w:i w:val="1"/>
          <w:iCs w:val="1"/>
          <w:color w:val="auto"/>
        </w:rPr>
        <w:t>Business Combination Agreement</w:t>
      </w:r>
      <w:r>
        <w:rPr>
          <w:rFonts w:ascii="Times New Roman" w:cs="Times New Roman" w:eastAsia="Times New Roman" w:hAnsi="Times New Roman"/>
          <w:sz w:val="12"/>
          <w:szCs w:val="12"/>
          <w:color w:val="auto"/>
        </w:rPr>
        <w:t>”), dated as of December 17, 2025, with FACTORIAL INC., a Delaware corporation (the “</w:t>
      </w:r>
      <w:r>
        <w:rPr>
          <w:rFonts w:ascii="Times New Roman" w:cs="Times New Roman" w:eastAsia="Times New Roman" w:hAnsi="Times New Roman"/>
          <w:sz w:val="12"/>
          <w:szCs w:val="12"/>
          <w:b w:val="1"/>
          <w:bCs w:val="1"/>
          <w:i w:val="1"/>
          <w:iCs w:val="1"/>
          <w:color w:val="auto"/>
        </w:rPr>
        <w:t>Target</w:t>
      </w:r>
      <w:r>
        <w:rPr>
          <w:rFonts w:ascii="Times New Roman" w:cs="Times New Roman" w:eastAsia="Times New Roman" w:hAnsi="Times New Roman"/>
          <w:sz w:val="12"/>
          <w:szCs w:val="12"/>
          <w:color w:val="auto"/>
        </w:rPr>
        <w:t>”), and Fenway MS, Inc., a Delaware corporation (“</w:t>
      </w:r>
      <w:r>
        <w:rPr>
          <w:rFonts w:ascii="Times New Roman" w:cs="Times New Roman" w:eastAsia="Times New Roman" w:hAnsi="Times New Roman"/>
          <w:sz w:val="12"/>
          <w:szCs w:val="12"/>
          <w:b w:val="1"/>
          <w:bCs w:val="1"/>
          <w:i w:val="1"/>
          <w:iCs w:val="1"/>
          <w:color w:val="auto"/>
        </w:rPr>
        <w:t>Merger Sub</w:t>
      </w:r>
      <w:r>
        <w:rPr>
          <w:rFonts w:ascii="Times New Roman" w:cs="Times New Roman" w:eastAsia="Times New Roman" w:hAnsi="Times New Roman"/>
          <w:sz w:val="12"/>
          <w:szCs w:val="12"/>
          <w:color w:val="auto"/>
        </w:rPr>
        <w:t>”), pursuant to which, at the closing of the transactions contemplated therein, the Company will domesticate as a Delaware corporation and, following such domestication, the Target will merge with and into Merger Sub, with Target surviving as a wholly-owned subsidiary of the Company (collectively, the “</w:t>
      </w:r>
      <w:r>
        <w:rPr>
          <w:rFonts w:ascii="Times New Roman" w:cs="Times New Roman" w:eastAsia="Times New Roman" w:hAnsi="Times New Roman"/>
          <w:sz w:val="12"/>
          <w:szCs w:val="12"/>
          <w:b w:val="1"/>
          <w:bCs w:val="1"/>
          <w:i w:val="1"/>
          <w:iCs w:val="1"/>
          <w:color w:val="auto"/>
        </w:rPr>
        <w:t>Business Combination</w:t>
      </w:r>
      <w:r>
        <w:rPr>
          <w:rFonts w:ascii="Times New Roman" w:cs="Times New Roman" w:eastAsia="Times New Roman" w:hAnsi="Times New Roman"/>
          <w:sz w:val="12"/>
          <w:szCs w:val="12"/>
          <w:color w:val="auto"/>
        </w:rPr>
        <w:t>”);  </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WHEREAS, the Company’s amended and restated memorandum and articles of association, as amended (the “</w:t>
      </w:r>
      <w:r>
        <w:rPr>
          <w:rFonts w:ascii="Times New Roman" w:cs="Times New Roman" w:eastAsia="Times New Roman" w:hAnsi="Times New Roman"/>
          <w:sz w:val="12"/>
          <w:szCs w:val="12"/>
          <w:b w:val="1"/>
          <w:bCs w:val="1"/>
          <w:i w:val="1"/>
          <w:iCs w:val="1"/>
          <w:color w:val="auto"/>
        </w:rPr>
        <w:t>Articles</w:t>
      </w:r>
      <w:r>
        <w:rPr>
          <w:rFonts w:ascii="Times New Roman" w:cs="Times New Roman" w:eastAsia="Times New Roman" w:hAnsi="Times New Roman"/>
          <w:sz w:val="12"/>
          <w:szCs w:val="12"/>
          <w:color w:val="auto"/>
        </w:rPr>
        <w:t>”), provides that a shareholder of the Company may redeem its Class A ordinary shares, par value $0.0001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per share, initially sold as part of the units in the Company’s initial public offering (whether they were purchased in such initial public offering or thereafter in the open market) (the “</w:t>
      </w:r>
      <w:r>
        <w:rPr>
          <w:rFonts w:ascii="Times New Roman" w:cs="Times New Roman" w:eastAsia="Times New Roman" w:hAnsi="Times New Roman"/>
          <w:sz w:val="12"/>
          <w:szCs w:val="12"/>
          <w:b w:val="1"/>
          <w:bCs w:val="1"/>
          <w:i w:val="1"/>
          <w:iCs w:val="1"/>
          <w:color w:val="auto"/>
        </w:rPr>
        <w:t>Public Shares</w:t>
      </w:r>
      <w:r>
        <w:rPr>
          <w:rFonts w:ascii="Times New Roman" w:cs="Times New Roman" w:eastAsia="Times New Roman" w:hAnsi="Times New Roman"/>
          <w:sz w:val="12"/>
          <w:szCs w:val="12"/>
          <w:color w:val="auto"/>
        </w:rPr>
        <w:t>”) in connection with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consummation of the Business Combination, on the terms set forth in the Articles (“</w:t>
      </w:r>
      <w:r>
        <w:rPr>
          <w:rFonts w:ascii="Times New Roman" w:cs="Times New Roman" w:eastAsia="Times New Roman" w:hAnsi="Times New Roman"/>
          <w:sz w:val="12"/>
          <w:szCs w:val="12"/>
          <w:b w:val="1"/>
          <w:bCs w:val="1"/>
          <w:i w:val="1"/>
          <w:iCs w:val="1"/>
          <w:color w:val="auto"/>
        </w:rPr>
        <w:t>Redemption Rights</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2"/>
          <w:szCs w:val="12"/>
          <w:color w:val="auto"/>
        </w:rPr>
        <w:t>WHEREAS, Holder wishes to acquire from shareholders of the Company $[•] in aggregate value of Public Shares (the “</w:t>
      </w:r>
      <w:r>
        <w:rPr>
          <w:rFonts w:ascii="Times New Roman" w:cs="Times New Roman" w:eastAsia="Times New Roman" w:hAnsi="Times New Roman"/>
          <w:sz w:val="12"/>
          <w:szCs w:val="12"/>
          <w:b w:val="1"/>
          <w:bCs w:val="1"/>
          <w:i w:val="1"/>
          <w:iCs w:val="1"/>
          <w:color w:val="auto"/>
        </w:rPr>
        <w:t>Holder’s Shares</w:t>
      </w:r>
      <w:r>
        <w:rPr>
          <w:rFonts w:ascii="Times New Roman" w:cs="Times New Roman" w:eastAsia="Times New Roman" w:hAnsi="Times New Roman"/>
          <w:sz w:val="12"/>
          <w:szCs w:val="12"/>
          <w:color w:val="auto"/>
        </w:rPr>
        <w:t>”), either in the open market or through privately negotiated transactions, at a price no higher than the redemption price per share payable to shareholders who exercise Redemption Rights (the “</w:t>
      </w:r>
      <w:r>
        <w:rPr>
          <w:rFonts w:ascii="Times New Roman" w:cs="Times New Roman" w:eastAsia="Times New Roman" w:hAnsi="Times New Roman"/>
          <w:sz w:val="12"/>
          <w:szCs w:val="12"/>
          <w:b w:val="1"/>
          <w:bCs w:val="1"/>
          <w:i w:val="1"/>
          <w:iCs w:val="1"/>
          <w:color w:val="auto"/>
        </w:rPr>
        <w:t>Redemption Price</w:t>
      </w:r>
      <w:r>
        <w:rPr>
          <w:rFonts w:ascii="Times New Roman" w:cs="Times New Roman" w:eastAsia="Times New Roman" w:hAnsi="Times New Roman"/>
          <w:sz w:val="12"/>
          <w:szCs w:val="12"/>
          <w:color w:val="auto"/>
        </w:rPr>
        <w:t>”), prior to the closing date of the Business Combination (the “</w:t>
      </w:r>
      <w:r>
        <w:rPr>
          <w:rFonts w:ascii="Times New Roman" w:cs="Times New Roman" w:eastAsia="Times New Roman" w:hAnsi="Times New Roman"/>
          <w:sz w:val="12"/>
          <w:szCs w:val="12"/>
          <w:b w:val="1"/>
          <w:bCs w:val="1"/>
          <w:i w:val="1"/>
          <w:iCs w:val="1"/>
          <w:color w:val="auto"/>
        </w:rPr>
        <w:t>Closing Date</w:t>
      </w:r>
      <w:r>
        <w:rPr>
          <w:rFonts w:ascii="Times New Roman" w:cs="Times New Roman" w:eastAsia="Times New Roman" w:hAnsi="Times New Roman"/>
          <w:sz w:val="12"/>
          <w:szCs w:val="12"/>
          <w:color w:val="auto"/>
        </w:rPr>
        <w:t>”) and to agree to waive its Redemption Rights with respect to the Business Combination and hold the Holder’s Shares through the Closing Date (or the date on which the Business Combination Agreement is terminated), and to agree to abstain from voting and not vote the Holder’s Shares in favor of or against the Business Combination, and related matters set forth herein; and  </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WHEREAS, on or prior to the Closing Date, the Company expects to enter into other agreements with certain other prospective or existing shareholders (the “</w:t>
      </w:r>
      <w:r>
        <w:rPr>
          <w:rFonts w:ascii="Times New Roman" w:cs="Times New Roman" w:eastAsia="Times New Roman" w:hAnsi="Times New Roman"/>
          <w:sz w:val="12"/>
          <w:szCs w:val="12"/>
          <w:b w:val="1"/>
          <w:bCs w:val="1"/>
          <w:i w:val="1"/>
          <w:iCs w:val="1"/>
          <w:color w:val="auto"/>
        </w:rPr>
        <w:t>Other Holders</w:t>
      </w:r>
      <w:r>
        <w:rPr>
          <w:rFonts w:ascii="Times New Roman" w:cs="Times New Roman" w:eastAsia="Times New Roman" w:hAnsi="Times New Roman"/>
          <w:sz w:val="12"/>
          <w:szCs w:val="12"/>
          <w:color w:val="auto"/>
        </w:rPr>
        <w:t>”) pursuant to which such Other Holders will agree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waive their Redemption Rights.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NOW, THEREFORE, in consideration of the foregoing and the mutual acknowledgments, understandings, and agreements contained in this Agreement and for other good and valuable consideration, the receipt and adequacy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 which are hereby acknowledged, the Company and Holder hereby agree as follows: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1.          </w:t>
      </w:r>
      <w:r>
        <w:rPr>
          <w:rFonts w:ascii="Times New Roman" w:cs="Times New Roman" w:eastAsia="Times New Roman" w:hAnsi="Times New Roman"/>
          <w:sz w:val="12"/>
          <w:szCs w:val="12"/>
          <w:u w:val="single" w:color="auto"/>
          <w:color w:val="auto"/>
        </w:rPr>
        <w:t>  Representations and Warranties of Holder</w:t>
      </w:r>
      <w:r>
        <w:rPr>
          <w:rFonts w:ascii="Times New Roman" w:cs="Times New Roman" w:eastAsia="Times New Roman" w:hAnsi="Times New Roman"/>
          <w:sz w:val="12"/>
          <w:szCs w:val="12"/>
          <w:color w:val="auto"/>
        </w:rPr>
        <w:t>. Holder represents and warrants that: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864"/>
        <w:spacing w:after="0" w:line="253" w:lineRule="auto"/>
        <w:rPr>
          <w:sz w:val="20"/>
          <w:szCs w:val="20"/>
          <w:color w:val="auto"/>
        </w:rPr>
      </w:pPr>
      <w:r>
        <w:rPr>
          <w:rFonts w:ascii="Times New Roman" w:cs="Times New Roman" w:eastAsia="Times New Roman" w:hAnsi="Times New Roman"/>
          <w:sz w:val="12"/>
          <w:szCs w:val="12"/>
          <w:color w:val="auto"/>
        </w:rPr>
        <w:t>(a)            Holder (i) is a legal entity duly organized, validly existing and, to the extent such concept is applicable, in good standing under the laws of the jurisdiction of its organization and (ii) has all requisite corporate or other power and authority and has taken all corporate or other action necessary in order to execute, deliver and perform its obligations under this Agreement and to consummate the transactions contemplated hereby. This Agreement has been authorized, duly executed and delivered by Holder and, assuming due authorization and execution by each other party hereto, constitutes a valid and binding agreement of Holder enforceable against Holder in accordance with its terms, subject to applicable bankruptcy, insolvency, fraudulent conveyance, reorganization, moratorium and similar laws affecting creditors’ rights generally and subject, as to enforceability, to general principles of equity.  </w:t>
      </w:r>
    </w:p>
    <w:p>
      <w:pPr>
        <w:spacing w:after="0" w:line="138" w:lineRule="exact"/>
        <w:rPr>
          <w:sz w:val="20"/>
          <w:szCs w:val="20"/>
          <w:color w:val="auto"/>
        </w:rPr>
      </w:pPr>
    </w:p>
    <w:p>
      <w:pPr>
        <w:jc w:val="both"/>
        <w:ind w:right="20" w:firstLine="864"/>
        <w:spacing w:after="0" w:line="255" w:lineRule="auto"/>
        <w:rPr>
          <w:sz w:val="20"/>
          <w:szCs w:val="20"/>
          <w:color w:val="auto"/>
        </w:rPr>
      </w:pPr>
      <w:r>
        <w:rPr>
          <w:rFonts w:ascii="Times New Roman" w:cs="Times New Roman" w:eastAsia="Times New Roman" w:hAnsi="Times New Roman"/>
          <w:sz w:val="12"/>
          <w:szCs w:val="12"/>
          <w:color w:val="auto"/>
        </w:rPr>
        <w:t>(b)            The execution and delivery of this Agreement by Holder do not, and the performance by Holder of its obligations hereunder will not, (i) conflict with or result in a violation of the organizational documents of Holder or applicable law to which Holder or the Holder’s Shares is subject, or (ii) require any consent or approval that has not been given or other action that has not been taken by any person (including under any contract binding upon Holder or any Holder’s Shares), in each case, to the extent such consent, approval or other action would prevent, enjoin or materially delay the performance by Holder of its obligations under this Agreement.  </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65" w:name="page166"/>
    <w:bookmarkEnd w:id="165"/>
    <w:p>
      <w:pPr>
        <w:ind w:left="860"/>
        <w:spacing w:after="0"/>
        <w:rPr>
          <w:sz w:val="20"/>
          <w:szCs w:val="20"/>
          <w:color w:val="auto"/>
        </w:rPr>
      </w:pPr>
      <w:r>
        <w:rPr>
          <w:rFonts w:ascii="Times New Roman" w:cs="Times New Roman" w:eastAsia="Times New Roman" w:hAnsi="Times New Roman"/>
          <w:sz w:val="11"/>
          <w:szCs w:val="11"/>
          <w:color w:val="auto"/>
        </w:rPr>
        <w:t>(c)            As of the date of this Agreement, (i) there is no action, claim, suit, audit, assessment, arbitration, mediation or inquiry, or any proceeding or investigation, by or before any governmental authority pending against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Holder or, to the knowledge of Holder, threatened against Holder and (ii) Holder is not a party to or subject to the provisions of any order, judgment, injunction, decree, writ, stipulation, determination or award, in each case, entered by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or with any governmental authority, in each case, that questions the beneficial or record ownership of the Holder’s Shares or the validity of this Agreement or would reasonably be expected to prevent or materially delay, impair 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adversely affect the performance by Holder of its obligations under this Agreement.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(d)            Holder and/or certain of its controlled affiliates will beneficially own the Holder’s Shares.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color w:val="auto"/>
        </w:rPr>
        <w:t>(e)            Holder is capable of assessing the merits of and understanding (on its own behalf or through independent professional advice), and understands and accepts, the terms, conditions and risks of this Agreement 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transactions contemplated hereby. Holder is also capable of assuming, and assumes, the risks of this Agreement and the transactions contemplated hereby. Holder is a sophisticated investor, capable of evaluating investment risks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independently, both in general and with regard to all transactions and investment strategies involving a security or securities. Holder has adequately analyzed and fully considered the risks of this Agreement and the transactions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contemplated hereby and has determined that the transactions contemplated by this Agreement are suitable for the Holder and that Holder is able at this time and in the foreseeable future to bear the economic risk of a total loss of its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investment in the Company. Holder acknowledges specifically that a possibility of total loss of its investment exists.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          </w:t>
      </w:r>
      <w:r>
        <w:rPr>
          <w:rFonts w:ascii="Times New Roman" w:cs="Times New Roman" w:eastAsia="Times New Roman" w:hAnsi="Times New Roman"/>
          <w:sz w:val="12"/>
          <w:szCs w:val="12"/>
          <w:u w:val="single" w:color="auto"/>
          <w:color w:val="auto"/>
        </w:rPr>
        <w:t>  Purchase of Shares; Waiver of Redemption Rights</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864"/>
        <w:spacing w:after="0" w:line="260" w:lineRule="auto"/>
        <w:rPr>
          <w:sz w:val="20"/>
          <w:szCs w:val="20"/>
          <w:color w:val="auto"/>
        </w:rPr>
      </w:pPr>
      <w:r>
        <w:rPr>
          <w:rFonts w:ascii="Times New Roman" w:cs="Times New Roman" w:eastAsia="Times New Roman" w:hAnsi="Times New Roman"/>
          <w:sz w:val="12"/>
          <w:szCs w:val="12"/>
          <w:color w:val="auto"/>
        </w:rPr>
        <w:t>(a)            Holder shall purchase the Holder’s Shares, at a price no higher than the Redemption Price, from third parties in the open market or through privately negotiated transactions, including from shareholders of the Company that elect to exercise Redemption Rights. In order to effectuate the foregoing, to the extent legally permitted to do so, Holder shall purchase Holder’s Shares at any time and from time to time prior to the Closing Date.  </w:t>
      </w:r>
    </w:p>
    <w:p>
      <w:pPr>
        <w:spacing w:after="0" w:line="133" w:lineRule="exact"/>
        <w:rPr>
          <w:sz w:val="20"/>
          <w:szCs w:val="20"/>
          <w:color w:val="auto"/>
        </w:rPr>
      </w:pPr>
    </w:p>
    <w:p>
      <w:pPr>
        <w:ind w:firstLine="864"/>
        <w:spacing w:after="0" w:line="260" w:lineRule="auto"/>
        <w:rPr>
          <w:sz w:val="20"/>
          <w:szCs w:val="20"/>
          <w:color w:val="auto"/>
        </w:rPr>
      </w:pPr>
      <w:r>
        <w:rPr>
          <w:rFonts w:ascii="Times New Roman" w:cs="Times New Roman" w:eastAsia="Times New Roman" w:hAnsi="Times New Roman"/>
          <w:sz w:val="12"/>
          <w:szCs w:val="12"/>
          <w:color w:val="auto"/>
        </w:rPr>
        <w:t>(b)            Holder acknowledges that it will have Redemption Rights with respect to the Holder’s Shares purchased hereunder pursuant to the Articles. Holder hereby irrevocably and unconditionally covenants and agrees, for the benefit of the Company, that neither it nor any of its controlled affiliates shall exercise any Redemption Rights under the Articles with respect to the Holder’s Shares.  </w:t>
      </w:r>
    </w:p>
    <w:p>
      <w:pPr>
        <w:spacing w:after="0" w:line="133" w:lineRule="exact"/>
        <w:rPr>
          <w:sz w:val="20"/>
          <w:szCs w:val="20"/>
          <w:color w:val="auto"/>
        </w:rPr>
      </w:pPr>
    </w:p>
    <w:p>
      <w:pPr>
        <w:ind w:firstLine="864"/>
        <w:spacing w:after="0" w:line="251" w:lineRule="auto"/>
        <w:rPr>
          <w:sz w:val="20"/>
          <w:szCs w:val="20"/>
          <w:color w:val="auto"/>
        </w:rPr>
      </w:pPr>
      <w:r>
        <w:rPr>
          <w:rFonts w:ascii="Times New Roman" w:cs="Times New Roman" w:eastAsia="Times New Roman" w:hAnsi="Times New Roman"/>
          <w:sz w:val="12"/>
          <w:szCs w:val="12"/>
          <w:color w:val="auto"/>
        </w:rPr>
        <w:t>(c)            Holder and its controlled affiliates shall not directly or indirectly Transfer the Holder’s Shares at any time following the date such shares are acquired through the NRA Termination Date (as defined below). As used herein, “</w:t>
      </w:r>
      <w:r>
        <w:rPr>
          <w:rFonts w:ascii="Times New Roman" w:cs="Times New Roman" w:eastAsia="Times New Roman" w:hAnsi="Times New Roman"/>
          <w:sz w:val="12"/>
          <w:szCs w:val="12"/>
          <w:b w:val="1"/>
          <w:bCs w:val="1"/>
          <w:i w:val="1"/>
          <w:iCs w:val="1"/>
          <w:color w:val="auto"/>
        </w:rPr>
        <w:t>Transfer</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i w:val="1"/>
          <w:iCs w:val="1"/>
          <w:color w:val="auto"/>
        </w:rPr>
        <w:t>Transferred</w:t>
      </w:r>
      <w:r>
        <w:rPr>
          <w:rFonts w:ascii="Times New Roman" w:cs="Times New Roman" w:eastAsia="Times New Roman" w:hAnsi="Times New Roman"/>
          <w:sz w:val="12"/>
          <w:szCs w:val="12"/>
          <w:color w:val="auto"/>
        </w:rPr>
        <w:t>” shall mean the following: (i) sale of, offer to sell, contract or agreement to sell, gift, hypothecate, place a lien on, pledge, lend, assign, grant of any option to purchase or otherwise dispose of or agreement to dispose of, directly or indirectly, or establishment or increase of a put equivalent position or liquidation with respect to or decrease of a call equivalent position within the meaning of Section 16 of the Securities Exchange Act of 1934, as amended, and the rules and regulations of the United States Securities and Exchange Commission (“</w:t>
      </w:r>
      <w:r>
        <w:rPr>
          <w:rFonts w:ascii="Times New Roman" w:cs="Times New Roman" w:eastAsia="Times New Roman" w:hAnsi="Times New Roman"/>
          <w:sz w:val="12"/>
          <w:szCs w:val="12"/>
          <w:b w:val="1"/>
          <w:bCs w:val="1"/>
          <w:i w:val="1"/>
          <w:iCs w:val="1"/>
          <w:color w:val="auto"/>
        </w:rPr>
        <w:t>SEC</w:t>
      </w:r>
      <w:r>
        <w:rPr>
          <w:rFonts w:ascii="Times New Roman" w:cs="Times New Roman" w:eastAsia="Times New Roman" w:hAnsi="Times New Roman"/>
          <w:sz w:val="12"/>
          <w:szCs w:val="12"/>
          <w:color w:val="auto"/>
        </w:rPr>
        <w:t>”) promulgated thereunder with respect to, any of the Holder’s Shares,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Holder’s Shares, whether any such transaction or arrangement (or instrument provided for thereunder) would be settled by delivery of Holder’s Shares or other securities, in cash or otherwise, or (iii) public announcement of any intention to effect any transaction specified in clause (i) or (ii).  </w:t>
      </w:r>
    </w:p>
    <w:p>
      <w:pPr>
        <w:spacing w:after="0" w:line="141" w:lineRule="exact"/>
        <w:rPr>
          <w:sz w:val="20"/>
          <w:szCs w:val="20"/>
          <w:color w:val="auto"/>
        </w:rPr>
      </w:pPr>
    </w:p>
    <w:p>
      <w:pPr>
        <w:ind w:firstLine="864"/>
        <w:spacing w:after="0" w:line="252" w:lineRule="auto"/>
        <w:rPr>
          <w:sz w:val="20"/>
          <w:szCs w:val="20"/>
          <w:color w:val="auto"/>
        </w:rPr>
      </w:pPr>
      <w:r>
        <w:rPr>
          <w:rFonts w:ascii="Times New Roman" w:cs="Times New Roman" w:eastAsia="Times New Roman" w:hAnsi="Times New Roman"/>
          <w:sz w:val="12"/>
          <w:szCs w:val="12"/>
          <w:color w:val="auto"/>
        </w:rPr>
        <w:t>(d)            In furtherance of the covenants in paragraphs 2(b) and 2(c): (x) Holder hereby irrevocably and unconditionally waives, on behalf of itself and its controlled affiliates, the Redemption Rights, and irrevocably and unconditionally constitutes and appoints the Company and its designees, with full power of substitution, as its (and its controlled affiliates’) true and lawful agent and attorney-in-fact, with full power and authority in its name, place and stead, to revoke any redemption election made in contravention of paragraph 2(b) above with respect to any Holder’s Shares and to cause the Company’s transfer agent to fail to redeem such Holder’s Shares in connection with the Business Combination, (y) Holder shall deliver such documentation as is reasonably requested by the Company to evidence that none of the Holder’s Shares have been redeemed or Transferred, and (z) in the event of a breach of paragraph 2(b) or 2(c) with respect to any Holder’s Shares (the “</w:t>
      </w:r>
      <w:r>
        <w:rPr>
          <w:rFonts w:ascii="Times New Roman" w:cs="Times New Roman" w:eastAsia="Times New Roman" w:hAnsi="Times New Roman"/>
          <w:sz w:val="12"/>
          <w:szCs w:val="12"/>
          <w:b w:val="1"/>
          <w:bCs w:val="1"/>
          <w:i w:val="1"/>
          <w:iCs w:val="1"/>
          <w:color w:val="auto"/>
        </w:rPr>
        <w:t>Transferred/Redeemed Shares</w:t>
      </w:r>
      <w:r>
        <w:rPr>
          <w:rFonts w:ascii="Times New Roman" w:cs="Times New Roman" w:eastAsia="Times New Roman" w:hAnsi="Times New Roman"/>
          <w:sz w:val="12"/>
          <w:szCs w:val="12"/>
          <w:color w:val="auto"/>
        </w:rPr>
        <w:t>”), Holder unconditionally and irrevocably agrees to, or to cause one or more of its affiliates to, subscribe for and purchase from the Company (or from its assignee(s) or designee(s)) prior to the Closing Date a number of Class A ordinary shares of the Company equal to the number of such Transferred/Redeemed Shares, for a per share purchase price equal to the amount to be received by public shareholders of the Company exercising their Redemption Rights in connection with the Business Combination.  </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66" w:name="page167"/>
    <w:bookmarkEnd w:id="166"/>
    <w:p>
      <w:pPr>
        <w:ind w:firstLine="864"/>
        <w:spacing w:after="0" w:line="278" w:lineRule="auto"/>
        <w:rPr>
          <w:sz w:val="20"/>
          <w:szCs w:val="20"/>
          <w:color w:val="auto"/>
        </w:rPr>
      </w:pPr>
      <w:r>
        <w:rPr>
          <w:rFonts w:ascii="Times New Roman" w:cs="Times New Roman" w:eastAsia="Times New Roman" w:hAnsi="Times New Roman"/>
          <w:sz w:val="12"/>
          <w:szCs w:val="12"/>
          <w:color w:val="auto"/>
        </w:rPr>
        <w:t>(e)            The Company acknowledges and agrees that the Holder and/or its controlled affiliates may own additional Public Shares in excess of the Holder’s Shares (the “</w:t>
      </w:r>
      <w:r>
        <w:rPr>
          <w:rFonts w:ascii="Times New Roman" w:cs="Times New Roman" w:eastAsia="Times New Roman" w:hAnsi="Times New Roman"/>
          <w:sz w:val="12"/>
          <w:szCs w:val="12"/>
          <w:b w:val="1"/>
          <w:bCs w:val="1"/>
          <w:i w:val="1"/>
          <w:iCs w:val="1"/>
          <w:color w:val="auto"/>
        </w:rPr>
        <w:t>Other Shares</w:t>
      </w:r>
      <w:r>
        <w:rPr>
          <w:rFonts w:ascii="Times New Roman" w:cs="Times New Roman" w:eastAsia="Times New Roman" w:hAnsi="Times New Roman"/>
          <w:sz w:val="12"/>
          <w:szCs w:val="12"/>
          <w:color w:val="auto"/>
        </w:rPr>
        <w:t>”) and that nothing herein shall restrict any rights of the Holder with respect to such Other Shares including, without limitation, the Redemption Rights or to otherwise exercise any right with respect to such Other Shares.  </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3.          </w:t>
      </w:r>
      <w:r>
        <w:rPr>
          <w:rFonts w:ascii="Times New Roman" w:cs="Times New Roman" w:eastAsia="Times New Roman" w:hAnsi="Times New Roman"/>
          <w:sz w:val="12"/>
          <w:szCs w:val="12"/>
          <w:u w:val="single" w:color="auto"/>
          <w:color w:val="auto"/>
        </w:rPr>
        <w:t>  Agreement to Abstain from Voting.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color w:val="auto"/>
        </w:rPr>
        <w:t>(a)            Holder and the Company acknowledge the guidance published by the Division of Corporation Finance with respect to tender offers set forth in the Tender Offer Rules and Schedules Compliance and Disclosure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Interpretations, Question 166.01. Accordingly, Holder hereby irrevocably and unconditionally covenants and agrees that Holder and its controlled affiliates shall (i) appear at any meeting of the shareholders of the Company, however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called, or at any adjournment thereof, in person or by proxy, or otherwise cause all of the Holder’s Shares to be counted as present thereat for purposes of establishing a quorum, and (ii) tender an “abstain” vote with respect to all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Holder’s Shares with respect to, and not vote any of Holder’s Shares for or against, the Business Combination Agreement, the Business Combination or any other proposal brought by the Company in connection with the Business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Combination.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(b)            Holder shall vote all of Holder’s Shares against any proposal in opposition to approval of the Business Combination or in competition with or inconsistent with the Business Combination Agreement, the Business Combination or the transactions contemplated thereby, and against any proposal, action or agreement that would (i) impede, frustrate, prevent or nullify any provision of this Agreement, the Business Combination Agreement or the transactions contemplated hereby or thereby, or (ii) change in any manner the dividend policy or capitalization of, including the voting rights of any class of capital shares of, the Company.  </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4.          </w:t>
      </w:r>
      <w:r>
        <w:rPr>
          <w:rFonts w:ascii="Times New Roman" w:cs="Times New Roman" w:eastAsia="Times New Roman" w:hAnsi="Times New Roman"/>
          <w:sz w:val="12"/>
          <w:szCs w:val="12"/>
          <w:u w:val="single" w:color="auto"/>
          <w:color w:val="auto"/>
        </w:rPr>
        <w:t>  Covenants of the Holder</w:t>
      </w:r>
      <w:r>
        <w:rPr>
          <w:rFonts w:ascii="Times New Roman" w:cs="Times New Roman" w:eastAsia="Times New Roman" w:hAnsi="Times New Roman"/>
          <w:sz w:val="12"/>
          <w:szCs w:val="12"/>
          <w:color w:val="auto"/>
        </w:rPr>
        <w:t>. Holder hereby agrees to permit the Company to publish and disclose Holder’s identity, ownership of the Holder’s Shares and any Other Shares and the nature of Holder’s commitments,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arrangements and understandings under this Agreement and a copy of this Agreement, in (a) the registration statement, proxy statement, prospectus, and other proxy materials filed by the Company with the SEC in connection with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Business Combination, (b) any Form 8-K and/or any periodic report filed by the Company with the SEC in connection with the execution and delivery of this Agreement, or in connection with the Business Combination, and (c) 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 documents or communications provided by the Company or the Company to any governmental authority, stock exchange or to the Company’s shareholders, in each case, to the extent required by the federal securities laws or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SEC or any other securities authorities. Holder agrees that it shall not, and shall cause its affiliates not to, indirectly accomplish or attempt to accomplish that which it is not permitted to accomplish directly under this Agreement. Holder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shall take, or cause to be taken, all actions and do, or cause to be done, all things reasonably necessary under applicable law to effect the actions set forth herein and to consummate the transactions contemplated hereby on the terms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subject to the conditions set forth herein. While this Agreement is in effect, Holder shall not (x) enter into any agreement that would restrict, limit or interfere with the performance of Holder’s obligations hereunder or (y) take any action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that would make any representation or warranty of the Holder contained herein untrue or inaccurate in any material respect or have the effect of preventing or disabling Holder from performing any of its obligations under this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Agreement.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167" w:name="page168"/>
    <w:bookmarkEnd w:id="167"/>
    <w:p>
      <w:pPr>
        <w:ind w:left="420"/>
        <w:spacing w:after="0"/>
        <w:rPr>
          <w:sz w:val="20"/>
          <w:szCs w:val="20"/>
          <w:color w:val="auto"/>
        </w:rPr>
      </w:pPr>
      <w:r>
        <w:rPr>
          <w:rFonts w:ascii="Times New Roman" w:cs="Times New Roman" w:eastAsia="Times New Roman" w:hAnsi="Times New Roman"/>
          <w:sz w:val="12"/>
          <w:szCs w:val="12"/>
          <w:color w:val="auto"/>
        </w:rPr>
        <w:t>5.          </w:t>
      </w:r>
      <w:r>
        <w:rPr>
          <w:rFonts w:ascii="Times New Roman" w:cs="Times New Roman" w:eastAsia="Times New Roman" w:hAnsi="Times New Roman"/>
          <w:sz w:val="12"/>
          <w:szCs w:val="12"/>
          <w:u w:val="single" w:color="auto"/>
          <w:color w:val="auto"/>
        </w:rPr>
        <w:t>  Miscellaneous</w:t>
      </w:r>
      <w:r>
        <w:rPr>
          <w:rFonts w:ascii="Times New Roman" w:cs="Times New Roman" w:eastAsia="Times New Roman" w:hAnsi="Times New Roman"/>
          <w:sz w:val="12"/>
          <w:szCs w:val="12"/>
          <w:color w:val="auto"/>
        </w:rPr>
        <w: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864"/>
        <w:spacing w:after="0" w:line="253" w:lineRule="auto"/>
        <w:rPr>
          <w:sz w:val="20"/>
          <w:szCs w:val="20"/>
          <w:color w:val="auto"/>
        </w:rPr>
      </w:pPr>
      <w:r>
        <w:rPr>
          <w:rFonts w:ascii="Times New Roman" w:cs="Times New Roman" w:eastAsia="Times New Roman" w:hAnsi="Times New Roman"/>
          <w:sz w:val="12"/>
          <w:szCs w:val="12"/>
          <w:color w:val="auto"/>
        </w:rPr>
        <w:t>(a)            The Company agrees to indemnify and hold harmless the Holder and its partners, members, shareholders, officers, directors and managers (collectively, the “</w:t>
      </w:r>
      <w:r>
        <w:rPr>
          <w:rFonts w:ascii="Times New Roman" w:cs="Times New Roman" w:eastAsia="Times New Roman" w:hAnsi="Times New Roman"/>
          <w:sz w:val="12"/>
          <w:szCs w:val="12"/>
          <w:b w:val="1"/>
          <w:bCs w:val="1"/>
          <w:i w:val="1"/>
          <w:iCs w:val="1"/>
          <w:color w:val="auto"/>
        </w:rPr>
        <w:t>Indemnified Parties</w:t>
      </w:r>
      <w:r>
        <w:rPr>
          <w:rFonts w:ascii="Times New Roman" w:cs="Times New Roman" w:eastAsia="Times New Roman" w:hAnsi="Times New Roman"/>
          <w:sz w:val="12"/>
          <w:szCs w:val="12"/>
          <w:color w:val="auto"/>
        </w:rPr>
        <w:t>”), to the fullest extent permitted by law, from and against any and all losses, claims, damages, obligations, penalties, judgments, awards, and other liabilities, and will advance to the Holder and/or the other Indemnified Parties any and all fees, costs, expenses and disbursements related to investigating, preparing, defending, asserting, or enforcing any claim, action, suit, proceeding or investigation, whether or not in connection with pending or threatened litigation or arbitration (including any and all legal and other expenses in giving testimony or furnishing documents in response to a subpoena or otherwise), arising out of, related to, or in connection with this Agreement, other than to the extent caused by the breach of the representations and warranties of the Holder herein, or a breach of the terms and conditions of this Agreement by any Indemnified Party.  </w:t>
      </w:r>
    </w:p>
    <w:p>
      <w:pPr>
        <w:spacing w:after="0" w:line="137" w:lineRule="exact"/>
        <w:rPr>
          <w:sz w:val="20"/>
          <w:szCs w:val="20"/>
          <w:color w:val="auto"/>
        </w:rPr>
      </w:pPr>
    </w:p>
    <w:p>
      <w:pPr>
        <w:ind w:firstLine="864"/>
        <w:spacing w:after="0" w:line="260" w:lineRule="auto"/>
        <w:rPr>
          <w:sz w:val="20"/>
          <w:szCs w:val="20"/>
          <w:color w:val="auto"/>
        </w:rPr>
      </w:pPr>
      <w:r>
        <w:rPr>
          <w:rFonts w:ascii="Times New Roman" w:cs="Times New Roman" w:eastAsia="Times New Roman" w:hAnsi="Times New Roman"/>
          <w:sz w:val="12"/>
          <w:szCs w:val="12"/>
          <w:color w:val="auto"/>
        </w:rPr>
        <w:t>(b)            This Agreement shall terminate on the earliest to occur of (i) the Closing Date, (ii) the termination of the Business Combination Agreement or (iii) the Termination Date (as such term is defined in the Business Combination Agreement) (the earliest of (i), (ii) or (iii), the “</w:t>
      </w:r>
      <w:r>
        <w:rPr>
          <w:rFonts w:ascii="Times New Roman" w:cs="Times New Roman" w:eastAsia="Times New Roman" w:hAnsi="Times New Roman"/>
          <w:sz w:val="12"/>
          <w:szCs w:val="12"/>
          <w:b w:val="1"/>
          <w:bCs w:val="1"/>
          <w:i w:val="1"/>
          <w:iCs w:val="1"/>
          <w:color w:val="auto"/>
        </w:rPr>
        <w:t>NRA Termination Date</w:t>
      </w:r>
      <w:r>
        <w:rPr>
          <w:rFonts w:ascii="Times New Roman" w:cs="Times New Roman" w:eastAsia="Times New Roman" w:hAnsi="Times New Roman"/>
          <w:sz w:val="12"/>
          <w:szCs w:val="12"/>
          <w:color w:val="auto"/>
        </w:rPr>
        <w:t>”); provided, however, that the covenants contained in this Section 5 shall survive the termination of this Agreement in all instances.  </w:t>
      </w:r>
    </w:p>
    <w:p>
      <w:pPr>
        <w:spacing w:after="0" w:line="133" w:lineRule="exact"/>
        <w:rPr>
          <w:sz w:val="20"/>
          <w:szCs w:val="20"/>
          <w:color w:val="auto"/>
        </w:rPr>
      </w:pPr>
    </w:p>
    <w:p>
      <w:pPr>
        <w:ind w:firstLine="864"/>
        <w:spacing w:after="0" w:line="260" w:lineRule="auto"/>
        <w:rPr>
          <w:sz w:val="20"/>
          <w:szCs w:val="20"/>
          <w:color w:val="auto"/>
        </w:rPr>
      </w:pPr>
      <w:r>
        <w:rPr>
          <w:rFonts w:ascii="Times New Roman" w:cs="Times New Roman" w:eastAsia="Times New Roman" w:hAnsi="Times New Roman"/>
          <w:sz w:val="12"/>
          <w:szCs w:val="12"/>
          <w:color w:val="auto"/>
        </w:rPr>
        <w:t>(c)            Holder acknowledges that the Company will rely on the representations, warranties, acknowledgments, understandings and agreements contained in this Agreement. Holder agrees to promptly notify the Company if any of the representations, warranties, acknowledgments, understandings or agreements set forth herein are no longer accurate in all material respects.  </w:t>
      </w:r>
    </w:p>
    <w:p>
      <w:pPr>
        <w:spacing w:after="0" w:line="13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(d)            Each of the Company and the Holder is entitled to rely upon this Agreement and is irrevocably authorized to produce this Agreement or a copy hereof to any interested party in any administrative or legal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proceeding or official inquiry with respect to the matters covered hereby.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            Neither this Agreement nor any rights that may accrue to Holder hereunder may be transferred or assigned by the Holder. Neither this Agreement nor any rights that may accrue to the Company hereunder may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be transferred or assigned, except to the Target.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(f)            Other than as set forth herein, this Agreement may not be amended, modified, supplemented or waived or terminated except by an instrument in writing, signed by the party against whom enforcement of such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amendment, modification, supplement or waiver, or termination is sought.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right="20" w:firstLine="864"/>
        <w:spacing w:after="0" w:line="260" w:lineRule="auto"/>
        <w:rPr>
          <w:sz w:val="20"/>
          <w:szCs w:val="20"/>
          <w:color w:val="auto"/>
        </w:rPr>
      </w:pPr>
      <w:r>
        <w:rPr>
          <w:rFonts w:ascii="Times New Roman" w:cs="Times New Roman" w:eastAsia="Times New Roman" w:hAnsi="Times New Roman"/>
          <w:sz w:val="12"/>
          <w:szCs w:val="12"/>
          <w:color w:val="auto"/>
        </w:rPr>
        <w:t>(g)            This Agreement constitutes the entire agreement, and supersedes all other prior agreements, understandings, representations and warranties, both written and oral, among the parties, with respect to the subject matter hereof. Except as set forth in Section 5(g), this Agreement shall not confer any rights or remedies upon any person other than the parties hereto and their respective successors and assigns.  </w:t>
      </w:r>
    </w:p>
    <w:p>
      <w:pPr>
        <w:spacing w:after="0" w:line="13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color w:val="auto"/>
        </w:rPr>
        <w:t>(h)            Except as otherwise provided herein, this Agreement shall be binding upon, and inure to the benefit of the parties hereto and their heirs, executors, administrators, successors, legal representatives, and permitted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assigns, and the agreements, representations, warranties, covenants and acknowledgments contained herein shall be deemed to be made by, and be binding upon, such heirs, executors, administrators, successors, legal representatives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 permitted assigns.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864"/>
        <w:spacing w:after="0" w:line="252" w:lineRule="auto"/>
        <w:rPr>
          <w:sz w:val="20"/>
          <w:szCs w:val="20"/>
          <w:color w:val="auto"/>
        </w:rPr>
      </w:pPr>
      <w:r>
        <w:rPr>
          <w:rFonts w:ascii="Times New Roman" w:cs="Times New Roman" w:eastAsia="Times New Roman" w:hAnsi="Times New Roman"/>
          <w:sz w:val="12"/>
          <w:szCs w:val="12"/>
          <w:color w:val="auto"/>
        </w:rPr>
        <w:t>(i)             Holder acknowledges that the Company has established a trust account containing the proceeds of its initial public offering and from certain private placements (collectively, with interest accrued from time to time thereon, the “</w:t>
      </w:r>
      <w:r>
        <w:rPr>
          <w:rFonts w:ascii="Times New Roman" w:cs="Times New Roman" w:eastAsia="Times New Roman" w:hAnsi="Times New Roman"/>
          <w:sz w:val="12"/>
          <w:szCs w:val="12"/>
          <w:b w:val="1"/>
          <w:bCs w:val="1"/>
          <w:i w:val="1"/>
          <w:iCs w:val="1"/>
          <w:color w:val="auto"/>
        </w:rPr>
        <w:t>Trust Account</w:t>
      </w:r>
      <w:r>
        <w:rPr>
          <w:rFonts w:ascii="Times New Roman" w:cs="Times New Roman" w:eastAsia="Times New Roman" w:hAnsi="Times New Roman"/>
          <w:sz w:val="12"/>
          <w:szCs w:val="12"/>
          <w:color w:val="auto"/>
        </w:rPr>
        <w:t>”). Holder agrees that (i) it has no right, title, interest or claim of any kind in or to any monies held in the Trust Account, and (ii) it shall have no right of set-off or any right, title, interest or claim of any kind (“</w:t>
      </w:r>
      <w:r>
        <w:rPr>
          <w:rFonts w:ascii="Times New Roman" w:cs="Times New Roman" w:eastAsia="Times New Roman" w:hAnsi="Times New Roman"/>
          <w:sz w:val="12"/>
          <w:szCs w:val="12"/>
          <w:b w:val="1"/>
          <w:bCs w:val="1"/>
          <w:i w:val="1"/>
          <w:iCs w:val="1"/>
          <w:color w:val="auto"/>
        </w:rPr>
        <w:t>Claim</w:t>
      </w:r>
      <w:r>
        <w:rPr>
          <w:rFonts w:ascii="Times New Roman" w:cs="Times New Roman" w:eastAsia="Times New Roman" w:hAnsi="Times New Roman"/>
          <w:sz w:val="12"/>
          <w:szCs w:val="12"/>
          <w:color w:val="auto"/>
        </w:rPr>
        <w:t>”) to, or to any monies in, the Trust Account, in each case in connection with this Agreement, and hereby irrevocably and unconditionally waives any Claim to, or to any monies in, the Trust Account that it may have in connection with this Agreement or otherwise; </w:t>
      </w:r>
      <w:r>
        <w:rPr>
          <w:rFonts w:ascii="Times New Roman" w:cs="Times New Roman" w:eastAsia="Times New Roman" w:hAnsi="Times New Roman"/>
          <w:sz w:val="12"/>
          <w:szCs w:val="12"/>
          <w:i w:val="1"/>
          <w:iCs w:val="1"/>
          <w:color w:val="auto"/>
        </w:rPr>
        <w:t>provided, </w:t>
      </w:r>
      <w:r>
        <w:rPr>
          <w:rFonts w:ascii="Times New Roman" w:cs="Times New Roman" w:eastAsia="Times New Roman" w:hAnsi="Times New Roman"/>
          <w:sz w:val="12"/>
          <w:szCs w:val="12"/>
          <w:color w:val="auto"/>
        </w:rPr>
        <w:t>that such release and waiver of Claims shall not include any rights or claims of Holder or any of its controlled affiliates to exercise Redemption Rights with respect to the Other Shares and, after the NRA Termination Date, the Holder’s Shares. In the event Holder has any Claim against the Company, Holder shall pursue such Claim solely against the Company’s assets outside the Trust Account and not against the property or any monies in the Trust Account. Holder agrees and acknowledges that such waiver is material to this Agreement and has been specifically relied upon by the Company to induce the Company to enter into this Agreement and Holder further intends and understands such waiver to be valid, binding and enforceable under applicable law.  </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68" w:name="page169"/>
    <w:bookmarkEnd w:id="168"/>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(j)            If any provision of this Agreement shall be invalid, illegal or unenforceable, the validity, legality or enforceability of the remaining provisions of this Agreement shall not in any way be affected or impaired thereby and shall continue in full force and effect.</w:t>
      </w:r>
    </w:p>
    <w:p>
      <w:pPr>
        <w:spacing w:after="0" w:line="111" w:lineRule="exact"/>
        <w:rPr>
          <w:sz w:val="20"/>
          <w:szCs w:val="20"/>
          <w:color w:val="auto"/>
        </w:rPr>
      </w:pPr>
    </w:p>
    <w:p>
      <w:pPr>
        <w:ind w:firstLine="864"/>
        <w:spacing w:after="0" w:line="257" w:lineRule="auto"/>
        <w:rPr>
          <w:sz w:val="20"/>
          <w:szCs w:val="20"/>
          <w:color w:val="auto"/>
        </w:rPr>
      </w:pPr>
      <w:r>
        <w:rPr>
          <w:rFonts w:ascii="Times New Roman" w:cs="Times New Roman" w:eastAsia="Times New Roman" w:hAnsi="Times New Roman"/>
          <w:sz w:val="12"/>
          <w:szCs w:val="12"/>
          <w:color w:val="auto"/>
        </w:rPr>
        <w:t>(k)            No failure or delay by a party hereto in exercising any right, power or remedy under this Agreement, and no course of dealing between the parties hereto, shall operate as a waiver of any such right, power or remedy of such party. No single or partial exercise of any right, power or remedy under this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  </w:t>
      </w:r>
    </w:p>
    <w:p>
      <w:pPr>
        <w:spacing w:after="0" w:line="13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color w:val="auto"/>
        </w:rPr>
        <w:t>(l)             This Agreement may be executed in one or more counterparts (including by electronic means), all of which shall be considered one and the same agreement and shall become effective when signed by each of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parties and delivered to the other parties, it being understood that all parties need not sign the same counterpart.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(m)            Holder shall pay all of its own expenses in connection with this Agreement and the transactions contemplated hereby.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(n)            Any notice or communication required or permitted hereunder shall be in writing and either delivered personally, emailed, sent by overnight mail via a reputable overnight carrier, or sent by certified or registered mail, postage prepaid, and shall be deemed to be given and received (a) when so delivered personally, (b) when sent, with no mail undeliverable or other rejection notice, if sent by email, or (c) five (5) business days after the date of mailing to the address below or to such other address or addresses as such person may hereafter designate by notice given hereunder:  </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If to Holder, to such address or addresses set forth on the signature page hereto;</w:t>
      </w:r>
    </w:p>
    <w:p>
      <w:pPr>
        <w:sectPr>
          <w:pgSz w:w="11900" w:h="16838" w:orient="portrait"/>
          <w:cols w:equalWidth="0" w:num="1">
            <w:col w:w="11300"/>
          </w:cols>
          <w:pgMar w:left="300" w:top="273" w:right="299" w:bottom="1440" w:gutter="0" w:footer="0" w:header="0"/>
        </w:sectPr>
      </w:pP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If to the Company, to:</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ind w:right="5060"/>
        <w:spacing w:after="0"/>
        <w:rPr>
          <w:sz w:val="20"/>
          <w:szCs w:val="20"/>
          <w:color w:val="auto"/>
        </w:rPr>
      </w:pPr>
      <w:r>
        <w:rPr>
          <w:rFonts w:ascii="Times New Roman" w:cs="Times New Roman" w:eastAsia="Times New Roman" w:hAnsi="Times New Roman"/>
          <w:sz w:val="10"/>
          <w:szCs w:val="10"/>
          <w:color w:val="auto"/>
        </w:rPr>
        <w:t> </w:t>
      </w:r>
    </w:p>
    <w:p>
      <w:pPr>
        <w:spacing w:after="0" w:line="173" w:lineRule="exact"/>
        <w:rPr>
          <w:sz w:val="20"/>
          <w:szCs w:val="20"/>
          <w:color w:val="auto"/>
        </w:rPr>
      </w:pPr>
    </w:p>
    <w:p>
      <w:pPr>
        <w:sectPr>
          <w:pgSz w:w="11900" w:h="16838" w:orient="portrait"/>
          <w:cols w:equalWidth="0" w:num="2">
            <w:col w:w="5500" w:space="720"/>
            <w:col w:w="5080"/>
          </w:cols>
          <w:pgMar w:left="300" w:top="273"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Cartesian Growth Corporation III</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505 Fifth Avenue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New York, NY 10017</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Attn: Peter Yu, CEO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Email: peter.yu@cartesiangroup.com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with a required copy to (which copy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0"/>
          <w:szCs w:val="10"/>
          <w:color w:val="auto"/>
        </w:rPr>
        <w:t> </w:t>
      </w:r>
    </w:p>
    <w:p>
      <w:pPr>
        <w:spacing w:after="0" w:line="1037" w:lineRule="exact"/>
        <w:rPr>
          <w:sz w:val="20"/>
          <w:szCs w:val="20"/>
          <w:color w:val="auto"/>
        </w:rPr>
      </w:pPr>
    </w:p>
    <w:p>
      <w:pPr>
        <w:sectPr>
          <w:pgSz w:w="11900" w:h="16838" w:orient="portrait"/>
          <w:cols w:equalWidth="0" w:num="2">
            <w:col w:w="5500" w:space="720"/>
            <w:col w:w="5080"/>
          </w:cols>
          <w:pgMar w:left="300" w:top="273"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Greenberg Traurig, LLP</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One Vanderbilt Avenue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New York, NY 10017</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Attention: Adam Namoury, Thomas Martin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Email: Adam.Namoury@gtlaw.com, Thomas.Martin@gtlaw.com</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0"/>
          <w:szCs w:val="10"/>
          <w:color w:val="auto"/>
        </w:rPr>
        <w:t> </w:t>
      </w:r>
    </w:p>
    <w:p>
      <w:pPr>
        <w:spacing w:after="0" w:line="759" w:lineRule="exact"/>
        <w:rPr>
          <w:sz w:val="20"/>
          <w:szCs w:val="20"/>
          <w:color w:val="auto"/>
        </w:rPr>
      </w:pPr>
    </w:p>
    <w:p>
      <w:pPr>
        <w:sectPr>
          <w:pgSz w:w="11900" w:h="16838" w:orient="portrait"/>
          <w:cols w:equalWidth="0" w:num="2">
            <w:col w:w="5500" w:space="720"/>
            <w:col w:w="5080"/>
          </w:cols>
          <w:pgMar w:left="300" w:top="273" w:right="299" w:bottom="1440" w:gutter="0" w:footer="0" w:header="0"/>
          <w:type w:val="continuous"/>
        </w:sectPr>
      </w:pPr>
    </w:p>
    <w:p>
      <w:pPr>
        <w:ind w:left="860"/>
        <w:spacing w:after="0"/>
        <w:rPr>
          <w:sz w:val="20"/>
          <w:szCs w:val="20"/>
          <w:color w:val="auto"/>
        </w:rPr>
      </w:pPr>
      <w:r>
        <w:rPr>
          <w:rFonts w:ascii="Times New Roman" w:cs="Times New Roman" w:eastAsia="Times New Roman" w:hAnsi="Times New Roman"/>
          <w:sz w:val="12"/>
          <w:szCs w:val="12"/>
          <w:color w:val="auto"/>
        </w:rPr>
        <w:t>(o)            The parties agree that irreparable damage for which monetary damages, even if available, would not be an adequate remedy, would occur in the event that the parties do not perform their obligations under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provisions of this Agreement (including failing to take such actions as are required of them hereunder to consummate this Agreement or taking actions contrary to the covenants set out in this Agreement) in accordance with its specified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terms or otherwise breach such provisions. The parties acknowledge and agree that (i) the parties shall be entitled to an injunction, specific performance, or other equitable relief, to prevent breaches of this Agreement and to enforce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specifically the terms and provisions hereof, without proof of damages, this being in addition to any other remedy to which they are entitled under this Agreement, and (ii) the right of specific enforcement is an integral part of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transactions contemplated by this Agreement and without that right, none of the parties would have entered into this Agreement. Each party agrees that it will not oppose the granting of specific performance and other equitable relief 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basis that the other parties have an adequate remedy at law or that an award of specific performance is not an appropriate remedy for any reason at law or equity. The parties acknowledge and agree that any party seeking 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injunction to prevent breaches of this Agreement and to enforce specifically the terms and provisions of this Agreement in accordance with this paragraph 5(o) shall not be required to provide any bond or other security in connection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with any such injunction.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type w:val="continuous"/>
        </w:sectPr>
      </w:pPr>
    </w:p>
    <w:bookmarkStart w:id="169" w:name="page170"/>
    <w:bookmarkEnd w:id="169"/>
    <w:p>
      <w:pPr>
        <w:ind w:right="20" w:firstLine="864"/>
        <w:spacing w:after="0" w:line="273" w:lineRule="auto"/>
        <w:rPr>
          <w:sz w:val="20"/>
          <w:szCs w:val="20"/>
          <w:color w:val="auto"/>
        </w:rPr>
      </w:pPr>
      <w:r>
        <w:rPr>
          <w:rFonts w:ascii="Times New Roman" w:cs="Times New Roman" w:eastAsia="Times New Roman" w:hAnsi="Times New Roman"/>
          <w:sz w:val="12"/>
          <w:szCs w:val="12"/>
          <w:color w:val="auto"/>
        </w:rPr>
        <w:t>(p)            This Agreement, and all claims or causes of action based upon, arising out of, or related to this Agreement or the transactions contemplated hereby, shall be governed by, and construed in accordance with, the laws of the State of New York, without giving effect to principles or rules of conflict of laws to the extent such principles or rules would require or permit the application of laws of another jurisdiction.  </w:t>
      </w:r>
    </w:p>
    <w:p>
      <w:pPr>
        <w:spacing w:after="0" w:line="1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color w:val="auto"/>
        </w:rPr>
        <w:t>(q)            Any claim, action, suit, assessment, arbitration or proceeding based upon, arising out of or related to this Agreement, or the transactions contemplated hereby, shall be brought in the State of New York, and each</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 the parties irrevocably submits to the exclusive jurisdiction of each such court in any such claim, action, suit, assessment, arbitration or proceeding, waives any objection it may now or hereafter have to personal jurisdiction, venue 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convenience of forum, agrees that all claims in respect of such claim, action, suit, assessment, arbitration or proceeding shall be heard and determined only in any such court, and agrees not to bring any claim, action, suit, assessment,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arbitration or proceeding arising out of or relating to this Agreement or the transactions contemplated hereby in any other court. Nothing herein contained shall be deemed to affect the right of any party to serve process in any manner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permitted by law, or to commence legal proceedings or otherwise proceed against any other party in any other jurisdiction, in each case, to enforce judgments obtained in any claim, action, suit, assessment, arbitration or proceeding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brought pursuant to this paragraph 5(q). EACH OF THE PARTIES HERETO HEREBY IRREVOCABLY WAIVES ANY AND ALL RIGHT TO TRIAL BY JURY IN ANY ACTION BASED UPON, ARISING OUT OF 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RELATED TO THIS AGREEMENT OR THE TRANSACTIONS CONTEMPLATED HEREBY.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right="20" w:firstLine="864"/>
        <w:spacing w:after="0" w:line="250" w:lineRule="auto"/>
        <w:rPr>
          <w:sz w:val="20"/>
          <w:szCs w:val="20"/>
          <w:color w:val="auto"/>
        </w:rPr>
      </w:pPr>
      <w:r>
        <w:rPr>
          <w:rFonts w:ascii="Times New Roman" w:cs="Times New Roman" w:eastAsia="Times New Roman" w:hAnsi="Times New Roman"/>
          <w:sz w:val="12"/>
          <w:szCs w:val="12"/>
          <w:color w:val="auto"/>
        </w:rPr>
        <w:t>(r)            Holder hereby irrevocably and unconditionally covenants and agrees that, except for this Agreement, it (i) shall not enter into at any time while this Agreement remains in effect, any voting agreement or voting trust with respect to the Holder’s Shares and (ii) shall not grant at any time while this Agreement remains in effect a proxy, consent or power of attorney with respect to the Holder’s Shares that is inconsistent with this Agreement.  </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(s)            Nothing contained in this Agreement shall be deemed to vest in the Company or its subsidiaries any direct or indirect ownership or incidence of ownership of or with respect to the Holder’s Shares. All rights,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ownership and economic benefits of and relating to the Holder’s Shares of the Holder shall remain fully vested in and belong to the Holder, and none of the Company or its subsidiaries shall have no authority to direct the Holder in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voting or disposition of any of the Holder’s Shares, except as otherwise provided herein.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864"/>
        <w:spacing w:after="0" w:line="253" w:lineRule="auto"/>
        <w:rPr>
          <w:sz w:val="20"/>
          <w:szCs w:val="20"/>
          <w:color w:val="auto"/>
        </w:rPr>
      </w:pPr>
      <w:r>
        <w:rPr>
          <w:rFonts w:ascii="Times New Roman" w:cs="Times New Roman" w:eastAsia="Times New Roman" w:hAnsi="Times New Roman"/>
          <w:sz w:val="12"/>
          <w:szCs w:val="12"/>
          <w:color w:val="auto"/>
        </w:rPr>
        <w:t>(t)            Holder hereby agrees that its representations, warranties and covenants set forth herein are solely for the benefit of the Company and its subsidiaries in accordance with and subject to the terms of this Agreement, and this Agreement is not intended to, and does not, confer upon any person other than the parties hereto any rights or remedies hereunder, including the right to rely upon the representations and warranties set forth herein, and the parties hereto hereby further agree that this Agreement may only be enforced against, and any action that may be based upon, arise out of or relate to this Agreement, or the negotiation, execution or performance of this Agreement may only be made against, the persons expressly named as parties hereto; provided, that the other Indemnified Parties are intended third party beneficiaries of paragraph 5(a).  </w:t>
      </w:r>
    </w:p>
    <w:p>
      <w:pPr>
        <w:spacing w:after="0" w:line="13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(u)            If any provision of this Agreement is held invalid or unenforceable by any court of competent jurisdiction, the other provisions of this Agreement shall remain in full force and effect. The parties further agree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that if any provision contained herein is, to any extent, held invalid or unenforceable in any respect under the laws governing this Agreement, they shall take any actions necessary to render the remaining provisions of this Agreement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valid and enforceable to the fullest extent permitted by law and, to the extent necessary, shall amend or otherwise modify this Agreement to replace any provision contained herein that is held invalid or unenforceable with a valid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enforceable provision giving effect to the intent of the parties.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[Signature Page Follows]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70" w:name="page171"/>
    <w:bookmarkEnd w:id="170"/>
    <w:p>
      <w:pPr>
        <w:ind w:left="420"/>
        <w:spacing w:after="0"/>
        <w:rPr>
          <w:sz w:val="20"/>
          <w:szCs w:val="20"/>
          <w:color w:val="auto"/>
        </w:rPr>
      </w:pPr>
      <w:r>
        <w:rPr>
          <w:rFonts w:ascii="Times New Roman" w:cs="Times New Roman" w:eastAsia="Times New Roman" w:hAnsi="Times New Roman"/>
          <w:sz w:val="12"/>
          <w:szCs w:val="12"/>
          <w:color w:val="auto"/>
        </w:rPr>
        <w:t>IN WITNESS WHEREOF, the parties hereto have caused this Agreement to be executed as of the date first above written.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b w:val="1"/>
          <w:bCs w:val="1"/>
          <w:u w:val="single" w:color="auto"/>
          <w:color w:val="auto"/>
        </w:rPr>
        <w:t>COMPANY</w:t>
      </w:r>
      <w:r>
        <w:rPr>
          <w:rFonts w:ascii="Times New Roman" w:cs="Times New Roman" w:eastAsia="Times New Roman" w:hAnsi="Times New Roman"/>
          <w:sz w:val="12"/>
          <w:szCs w:val="12"/>
          <w:b w:val="1"/>
          <w:bCs w:val="1"/>
          <w:color w:val="auto"/>
        </w:rPr>
        <w:t>:</w:t>
      </w:r>
    </w:p>
    <w:p>
      <w:pPr>
        <w:spacing w:after="0" w:line="13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b w:val="1"/>
          <w:bCs w:val="1"/>
          <w:color w:val="auto"/>
        </w:rPr>
        <w:t>CARTESIAN GROWTH CORPORATION III</w:t>
      </w:r>
    </w:p>
    <w:p>
      <w:pPr>
        <w:spacing w:after="0" w:line="298" w:lineRule="exact"/>
        <w:rPr>
          <w:sz w:val="20"/>
          <w:szCs w:val="20"/>
          <w:color w:val="auto"/>
        </w:rPr>
      </w:pPr>
    </w:p>
    <w:tbl>
      <w:tblPr>
        <w:tblLayout w:type="fixed"/>
        <w:tblInd w:w="5580" w:type="dxa"/>
        <w:tblCellMar>
          <w:top w:w="0" w:type="dxa"/>
          <w:left w:w="0" w:type="dxa"/>
          <w:bottom w:w="0" w:type="dxa"/>
          <w:right w:w="0" w:type="dxa"/>
        </w:tblCellMar>
      </w:tblPr>
      <w:tr>
        <w:trPr>
          <w:trHeight w:val="155"/>
        </w:trPr>
        <w:tc>
          <w:tcPr>
            <w:tcW w:w="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By:</w:t>
            </w:r>
          </w:p>
        </w:tc>
        <w:tc>
          <w:tcPr>
            <w:tcW w:w="5060" w:type="dxa"/>
            <w:vAlign w:val="bottom"/>
            <w:tcBorders>
              <w:bottom w:val="single" w:sz="8" w:color="auto"/>
            </w:tcBorders>
          </w:tcPr>
          <w:p>
            <w:pPr>
              <w:spacing w:after="0"/>
              <w:rPr>
                <w:sz w:val="13"/>
                <w:szCs w:val="13"/>
                <w:color w:val="auto"/>
              </w:rPr>
            </w:pPr>
          </w:p>
        </w:tc>
      </w:tr>
      <w:tr>
        <w:trPr>
          <w:trHeight w:val="122"/>
        </w:trPr>
        <w:tc>
          <w:tcPr>
            <w:tcW w:w="660" w:type="dxa"/>
            <w:vAlign w:val="bottom"/>
            <w:gridSpan w:val="2"/>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Peter Yu</w:t>
            </w:r>
          </w:p>
        </w:tc>
      </w:tr>
      <w:tr>
        <w:trPr>
          <w:trHeight w:val="155"/>
        </w:trPr>
        <w:tc>
          <w:tcPr>
            <w:tcW w:w="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405"/>
        </w:trPr>
        <w:tc>
          <w:tcPr>
            <w:tcW w:w="6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HOLDER:</w:t>
            </w:r>
          </w:p>
        </w:tc>
        <w:tc>
          <w:tcPr>
            <w:tcW w:w="5060" w:type="dxa"/>
            <w:vAlign w:val="bottom"/>
          </w:tcPr>
          <w:p>
            <w:pPr>
              <w:spacing w:after="0"/>
              <w:rPr>
                <w:sz w:val="24"/>
                <w:szCs w:val="24"/>
                <w:color w:val="auto"/>
              </w:rPr>
            </w:pPr>
          </w:p>
        </w:tc>
      </w:tr>
      <w:tr>
        <w:trPr>
          <w:trHeight w:val="295"/>
        </w:trPr>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 ]  </w:t>
            </w:r>
          </w:p>
        </w:tc>
        <w:tc>
          <w:tcPr>
            <w:tcW w:w="14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432"/>
        </w:trPr>
        <w:tc>
          <w:tcPr>
            <w:tcW w:w="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By:</w:t>
            </w:r>
          </w:p>
        </w:tc>
        <w:tc>
          <w:tcPr>
            <w:tcW w:w="5060" w:type="dxa"/>
            <w:vAlign w:val="bottom"/>
            <w:tcBorders>
              <w:bottom w:val="single" w:sz="8" w:color="auto"/>
            </w:tcBorders>
          </w:tcPr>
          <w:p>
            <w:pPr>
              <w:spacing w:after="0"/>
              <w:rPr>
                <w:sz w:val="24"/>
                <w:szCs w:val="24"/>
                <w:color w:val="auto"/>
              </w:rPr>
            </w:pPr>
          </w:p>
        </w:tc>
      </w:tr>
      <w:tr>
        <w:trPr>
          <w:trHeight w:val="122"/>
        </w:trPr>
        <w:tc>
          <w:tcPr>
            <w:tcW w:w="660" w:type="dxa"/>
            <w:vAlign w:val="bottom"/>
            <w:gridSpan w:val="2"/>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60" w:type="dxa"/>
            <w:vAlign w:val="bottom"/>
          </w:tcPr>
          <w:p>
            <w:pPr>
              <w:spacing w:after="0"/>
              <w:rPr>
                <w:sz w:val="10"/>
                <w:szCs w:val="10"/>
                <w:color w:val="auto"/>
              </w:rPr>
            </w:pPr>
          </w:p>
        </w:tc>
      </w:tr>
      <w:tr>
        <w:trPr>
          <w:trHeight w:val="155"/>
        </w:trPr>
        <w:tc>
          <w:tcPr>
            <w:tcW w:w="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Title:</w:t>
            </w:r>
          </w:p>
        </w:tc>
        <w:tc>
          <w:tcPr>
            <w:tcW w:w="5060" w:type="dxa"/>
            <w:vAlign w:val="bottom"/>
          </w:tcPr>
          <w:p>
            <w:pPr>
              <w:spacing w:after="0"/>
              <w:rPr>
                <w:sz w:val="13"/>
                <w:szCs w:val="13"/>
                <w:color w:val="auto"/>
              </w:rPr>
            </w:pPr>
          </w:p>
        </w:tc>
      </w:tr>
    </w:tbl>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Non-Redemption Agreement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186690</wp:posOffset>
            </wp:positionV>
            <wp:extent cx="717804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71" w:name="page172"/>
    <w:bookmarkEnd w:id="171"/>
    <w:p>
      <w:pPr>
        <w:ind w:left="8"/>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ANNEX [A/B]</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ELIGIBILITY REPRESENTATIONS OF SUBSCRIBER</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This Annex [A/B] should be completed and signed by Purchaser</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and constitutes a part of the Stock Purchase Agreement.</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208" w:hanging="208"/>
        <w:spacing w:after="0"/>
        <w:tabs>
          <w:tab w:leader="none" w:pos="208"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QUALIFIED INSTITUTIONAL BUYER STATUS (Please check the box, if applicable)</w:t>
      </w:r>
    </w:p>
    <w:p>
      <w:pPr>
        <w:spacing w:after="0" w:line="6"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w:t>
      </w:r>
    </w:p>
    <w:p>
      <w:pPr>
        <w:spacing w:after="0" w:line="6"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1"/>
          <w:numId w:val="78"/>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Purchaser is a “qualified institutional buyer” (as defined in Rule 144A under the Securities Act) (a “QIB”)</w:t>
      </w:r>
    </w:p>
    <w:p>
      <w:pPr>
        <w:spacing w:after="0" w:line="7" w:lineRule="exact"/>
        <w:rPr>
          <w:rFonts w:ascii="MS PGothic" w:cs="MS PGothic" w:eastAsia="MS PGothic" w:hAnsi="MS PGothic"/>
          <w:sz w:val="12"/>
          <w:szCs w:val="12"/>
          <w:color w:val="auto"/>
        </w:rPr>
      </w:pPr>
    </w:p>
    <w:p>
      <w:pPr>
        <w:ind w:left="8"/>
        <w:spacing w:after="0"/>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 </w:t>
      </w:r>
    </w:p>
    <w:p>
      <w:pPr>
        <w:spacing w:after="0" w:line="4" w:lineRule="exact"/>
        <w:rPr>
          <w:rFonts w:ascii="MS PGothic" w:cs="MS PGothic" w:eastAsia="MS PGothic" w:hAnsi="MS PGothic"/>
          <w:sz w:val="12"/>
          <w:szCs w:val="12"/>
          <w:color w:val="auto"/>
        </w:rPr>
      </w:pPr>
    </w:p>
    <w:p>
      <w:pPr>
        <w:ind w:left="428" w:hanging="212"/>
        <w:spacing w:after="0"/>
        <w:tabs>
          <w:tab w:leader="none" w:pos="428" w:val="left"/>
        </w:tabs>
        <w:numPr>
          <w:ilvl w:val="1"/>
          <w:numId w:val="78"/>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Purchaser is subscribing for the Purchased Shares as a fiduciary or agent for one or more investor accounts, and each owner of such account is a QIB.</w:t>
      </w:r>
    </w:p>
    <w:p>
      <w:pPr>
        <w:spacing w:after="0" w:line="7" w:lineRule="exact"/>
        <w:rPr>
          <w:rFonts w:ascii="MS PGothic" w:cs="MS PGothic" w:eastAsia="MS PGothic" w:hAnsi="MS PGothic"/>
          <w:sz w:val="12"/>
          <w:szCs w:val="12"/>
          <w:color w:val="auto"/>
        </w:rPr>
      </w:pPr>
    </w:p>
    <w:p>
      <w:pPr>
        <w:ind w:left="8"/>
        <w:spacing w:after="0"/>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 </w:t>
      </w:r>
    </w:p>
    <w:p>
      <w:pPr>
        <w:spacing w:after="0" w:line="4" w:lineRule="exact"/>
        <w:rPr>
          <w:rFonts w:ascii="MS PGothic" w:cs="MS PGothic" w:eastAsia="MS PGothic" w:hAnsi="MS PGothic"/>
          <w:sz w:val="12"/>
          <w:szCs w:val="12"/>
          <w:color w:val="auto"/>
        </w:rPr>
      </w:pPr>
    </w:p>
    <w:p>
      <w:pPr>
        <w:ind w:left="8"/>
        <w:spacing w:after="0"/>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**OR**</w:t>
      </w:r>
    </w:p>
    <w:p>
      <w:pPr>
        <w:spacing w:after="0" w:line="6" w:lineRule="exact"/>
        <w:rPr>
          <w:rFonts w:ascii="MS PGothic" w:cs="MS PGothic" w:eastAsia="MS PGothic" w:hAnsi="MS PGothic"/>
          <w:sz w:val="12"/>
          <w:szCs w:val="12"/>
          <w:color w:val="auto"/>
        </w:rPr>
      </w:pPr>
    </w:p>
    <w:p>
      <w:pPr>
        <w:ind w:left="8"/>
        <w:spacing w:after="0"/>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 </w:t>
      </w:r>
    </w:p>
    <w:p>
      <w:pPr>
        <w:spacing w:after="0" w:line="6" w:lineRule="exact"/>
        <w:rPr>
          <w:rFonts w:ascii="MS PGothic" w:cs="MS PGothic" w:eastAsia="MS PGothic" w:hAnsi="MS PGothic"/>
          <w:sz w:val="12"/>
          <w:szCs w:val="12"/>
          <w:color w:val="auto"/>
        </w:rPr>
      </w:pPr>
    </w:p>
    <w:p>
      <w:pPr>
        <w:ind w:left="208" w:hanging="208"/>
        <w:spacing w:after="0"/>
        <w:tabs>
          <w:tab w:leader="none" w:pos="208"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ACCREDITED INVESTOR STATUS (Please check the box)</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w:t>
      </w:r>
    </w:p>
    <w:p>
      <w:pPr>
        <w:spacing w:after="0" w:line="3" w:lineRule="exact"/>
        <w:rPr>
          <w:sz w:val="20"/>
          <w:szCs w:val="20"/>
          <w:color w:val="auto"/>
        </w:rPr>
      </w:pPr>
    </w:p>
    <w:p>
      <w:pPr>
        <w:ind w:left="428" w:hanging="212"/>
        <w:spacing w:after="0" w:line="253" w:lineRule="auto"/>
        <w:tabs>
          <w:tab w:leader="none" w:pos="428" w:val="left"/>
        </w:tabs>
        <w:numPr>
          <w:ilvl w:val="0"/>
          <w:numId w:val="79"/>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Purchaser is an institutional “accredited investor” (within the meaning of Rule 501(a)(1), (2), (3) or (7) of Regulation D under the Securities Act) or an entity in which all of the equity holders are accredited investors within the meaning of Rule 501(a) under the Securities Act, and has marked and initialed the appropriate box below indicating the provision under which it qualifies as an “accredited investor.”</w:t>
      </w:r>
    </w:p>
    <w:p>
      <w:pPr>
        <w:ind w:left="8"/>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**OR**</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208" w:hanging="208"/>
        <w:spacing w:after="0"/>
        <w:tabs>
          <w:tab w:leader="none" w:pos="208"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ACCREDITED INVESTOR STATUS (Please check the box)</w:t>
      </w:r>
    </w:p>
    <w:p>
      <w:pPr>
        <w:spacing w:after="0" w:line="6"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w:t>
      </w:r>
    </w:p>
    <w:p>
      <w:pPr>
        <w:spacing w:after="0" w:line="6"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1"/>
          <w:numId w:val="80"/>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Purchaser is an “accredited investor” (within the meaning of Rule 501(a)(5) or (6) of Regulation D under the Securities Act).</w:t>
      </w:r>
    </w:p>
    <w:p>
      <w:pPr>
        <w:spacing w:after="0" w:line="7" w:lineRule="exact"/>
        <w:rPr>
          <w:rFonts w:ascii="MS PGothic" w:cs="MS PGothic" w:eastAsia="MS PGothic" w:hAnsi="MS PGothic"/>
          <w:sz w:val="12"/>
          <w:szCs w:val="12"/>
          <w:color w:val="auto"/>
        </w:rPr>
      </w:pPr>
    </w:p>
    <w:p>
      <w:pPr>
        <w:ind w:left="8"/>
        <w:spacing w:after="0"/>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 </w:t>
      </w:r>
    </w:p>
    <w:p>
      <w:pPr>
        <w:spacing w:after="0" w:line="4" w:lineRule="exact"/>
        <w:rPr>
          <w:rFonts w:ascii="MS PGothic" w:cs="MS PGothic" w:eastAsia="MS PGothic" w:hAnsi="MS PGothic"/>
          <w:sz w:val="12"/>
          <w:szCs w:val="12"/>
          <w:color w:val="auto"/>
        </w:rPr>
      </w:pPr>
    </w:p>
    <w:p>
      <w:pPr>
        <w:ind w:left="8"/>
        <w:spacing w:after="0"/>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**AND**</w:t>
      </w:r>
    </w:p>
    <w:p>
      <w:pPr>
        <w:spacing w:after="0" w:line="6" w:lineRule="exact"/>
        <w:rPr>
          <w:rFonts w:ascii="MS PGothic" w:cs="MS PGothic" w:eastAsia="MS PGothic" w:hAnsi="MS PGothic"/>
          <w:sz w:val="12"/>
          <w:szCs w:val="12"/>
          <w:color w:val="auto"/>
        </w:rPr>
      </w:pPr>
    </w:p>
    <w:p>
      <w:pPr>
        <w:ind w:left="8"/>
        <w:spacing w:after="0"/>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 </w:t>
      </w:r>
    </w:p>
    <w:p>
      <w:pPr>
        <w:spacing w:after="0" w:line="6" w:lineRule="exact"/>
        <w:rPr>
          <w:rFonts w:ascii="MS PGothic" w:cs="MS PGothic" w:eastAsia="MS PGothic" w:hAnsi="MS PGothic"/>
          <w:sz w:val="12"/>
          <w:szCs w:val="12"/>
          <w:color w:val="auto"/>
        </w:rPr>
      </w:pPr>
    </w:p>
    <w:p>
      <w:pPr>
        <w:ind w:left="208" w:hanging="208"/>
        <w:spacing w:after="0"/>
        <w:tabs>
          <w:tab w:leader="none" w:pos="208"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AFFILIATE STATUS (Please check the applicable box)</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SUBSCRIBER:</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w:t>
      </w:r>
    </w:p>
    <w:p>
      <w:pPr>
        <w:spacing w:after="0" w:line="3" w:lineRule="exact"/>
        <w:rPr>
          <w:sz w:val="20"/>
          <w:szCs w:val="20"/>
          <w:color w:val="auto"/>
        </w:rPr>
      </w:pPr>
    </w:p>
    <w:p>
      <w:pPr>
        <w:ind w:left="148" w:hanging="148"/>
        <w:spacing w:after="0"/>
        <w:tabs>
          <w:tab w:leader="none" w:pos="148" w:val="left"/>
        </w:tabs>
        <w:numPr>
          <w:ilvl w:val="0"/>
          <w:numId w:val="8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is:</w:t>
      </w:r>
    </w:p>
    <w:p>
      <w:pPr>
        <w:spacing w:after="0" w:line="10" w:lineRule="exact"/>
        <w:rPr>
          <w:rFonts w:ascii="MS PGothic" w:cs="MS PGothic" w:eastAsia="MS PGothic" w:hAnsi="MS PGothic"/>
          <w:sz w:val="12"/>
          <w:szCs w:val="12"/>
          <w:color w:val="auto"/>
        </w:rPr>
      </w:pPr>
    </w:p>
    <w:p>
      <w:pPr>
        <w:ind w:left="8"/>
        <w:spacing w:after="0"/>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 </w:t>
      </w:r>
    </w:p>
    <w:p>
      <w:pPr>
        <w:spacing w:after="0" w:line="4" w:lineRule="exact"/>
        <w:rPr>
          <w:rFonts w:ascii="MS PGothic" w:cs="MS PGothic" w:eastAsia="MS PGothic" w:hAnsi="MS PGothic"/>
          <w:sz w:val="12"/>
          <w:szCs w:val="12"/>
          <w:color w:val="auto"/>
        </w:rPr>
      </w:pPr>
    </w:p>
    <w:p>
      <w:pPr>
        <w:ind w:left="148" w:hanging="148"/>
        <w:spacing w:after="0"/>
        <w:tabs>
          <w:tab w:leader="none" w:pos="148" w:val="left"/>
        </w:tabs>
        <w:numPr>
          <w:ilvl w:val="0"/>
          <w:numId w:val="8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is not:</w:t>
      </w:r>
    </w:p>
    <w:p>
      <w:pPr>
        <w:spacing w:after="0" w:line="7" w:lineRule="exact"/>
        <w:rPr>
          <w:rFonts w:ascii="MS PGothic" w:cs="MS PGothic" w:eastAsia="MS PGothic" w:hAnsi="MS PGothic"/>
          <w:sz w:val="12"/>
          <w:szCs w:val="12"/>
          <w:color w:val="auto"/>
        </w:rPr>
      </w:pPr>
    </w:p>
    <w:p>
      <w:pPr>
        <w:ind w:left="8"/>
        <w:spacing w:after="0"/>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 </w:t>
      </w:r>
    </w:p>
    <w:p>
      <w:pPr>
        <w:spacing w:after="0" w:line="4" w:lineRule="exact"/>
        <w:rPr>
          <w:rFonts w:ascii="MS PGothic" w:cs="MS PGothic" w:eastAsia="MS PGothic" w:hAnsi="MS PGothic"/>
          <w:sz w:val="12"/>
          <w:szCs w:val="12"/>
          <w:color w:val="auto"/>
        </w:rPr>
      </w:pPr>
    </w:p>
    <w:p>
      <w:pPr>
        <w:ind w:left="8"/>
        <w:spacing w:after="0"/>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an “affiliate” (as defined in Rule 144 under the Securities Act) of the Company or the Target or acting on behalf of an affiliate of the Company or the Target.</w:t>
      </w:r>
    </w:p>
    <w:p>
      <w:pPr>
        <w:spacing w:after="0" w:line="6" w:lineRule="exact"/>
        <w:rPr>
          <w:rFonts w:ascii="MS PGothic" w:cs="MS PGothic" w:eastAsia="MS PGothic" w:hAnsi="MS PGothic"/>
          <w:sz w:val="12"/>
          <w:szCs w:val="12"/>
          <w:color w:val="auto"/>
        </w:rPr>
      </w:pPr>
    </w:p>
    <w:p>
      <w:pPr>
        <w:ind w:left="8"/>
        <w:spacing w:after="0"/>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 </w:t>
      </w:r>
    </w:p>
    <w:p>
      <w:pPr>
        <w:spacing w:after="0" w:line="6" w:lineRule="exact"/>
        <w:rPr>
          <w:rFonts w:ascii="MS PGothic" w:cs="MS PGothic" w:eastAsia="MS PGothic" w:hAnsi="MS PGothic"/>
          <w:sz w:val="12"/>
          <w:szCs w:val="12"/>
          <w:color w:val="auto"/>
        </w:rPr>
      </w:pPr>
    </w:p>
    <w:p>
      <w:pPr>
        <w:jc w:val="both"/>
        <w:ind w:left="8" w:firstLine="216"/>
        <w:spacing w:after="0" w:line="250" w:lineRule="auto"/>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Purchaser has indicated, by marking and initialing the appropriate box below, the provision(s) below which apply to Purchaser and under which Purchaser accordingly qualifies as an “accredited investor.”</w:t>
      </w:r>
    </w:p>
    <w:p>
      <w:pPr>
        <w:ind w:left="8"/>
        <w:spacing w:after="0"/>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17804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172" w:name="page173"/>
    <w:bookmarkEnd w:id="172"/>
    <w:p>
      <w:pPr>
        <w:jc w:val="both"/>
        <w:ind w:left="420" w:hanging="212"/>
        <w:spacing w:after="0" w:line="253" w:lineRule="auto"/>
        <w:tabs>
          <w:tab w:leader="none" w:pos="420" w:val="left"/>
        </w:tabs>
        <w:numPr>
          <w:ilvl w:val="0"/>
          <w:numId w:val="8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Any bank as defined in section 3(a)(2) of the Securities Act of 1933 (the “</w:t>
      </w:r>
      <w:r>
        <w:rPr>
          <w:rFonts w:ascii="Times New Roman" w:cs="Times New Roman" w:eastAsia="Times New Roman" w:hAnsi="Times New Roman"/>
          <w:sz w:val="12"/>
          <w:szCs w:val="12"/>
          <w:u w:val="single" w:color="auto"/>
          <w:color w:val="auto"/>
        </w:rPr>
        <w:t>Act</w:t>
      </w:r>
      <w:r>
        <w:rPr>
          <w:rFonts w:ascii="Times New Roman" w:cs="Times New Roman" w:eastAsia="Times New Roman" w:hAnsi="Times New Roman"/>
          <w:sz w:val="12"/>
          <w:szCs w:val="12"/>
          <w:color w:val="auto"/>
        </w:rPr>
        <w:t>”), or any savings and loan association or other institution as defined in section 3(a)(5)(A) of the Act whether acting in its individual or fiduciary capacity; any broker or dealer registered pursuant to section 15 of the Securities Exchange Act of 1934; any investment adviser registered pursuant to section 203 of the Investment Advisers Act of 1940 or registered pursuant to the laws of a state; any investment adviser relying on the exemption from registering with the Commission under section 203(l) or (m) of the Investment Advisers Act of 1940; any insurance company as defined in section 2(a)(13) of the Act; any investment company registered under the Investment Company Act of 1940 or a business development company as defined in section 2(a)(48) of that act; any Small Business Investment Company licensed by the U.S. Small Business Administration under section 301(c) or (d) of the Small Business Investment Act of 1958; any Rural Business Investment Company as defined in section 384A of the Consolidated Farm and Rural Development Act;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3" w:lineRule="exact"/>
        <w:rPr>
          <w:sz w:val="20"/>
          <w:szCs w:val="20"/>
          <w:color w:val="auto"/>
        </w:rPr>
      </w:pPr>
    </w:p>
    <w:p>
      <w:pPr>
        <w:ind w:left="420" w:hanging="212"/>
        <w:spacing w:after="0" w:line="253" w:lineRule="auto"/>
        <w:tabs>
          <w:tab w:leader="none" w:pos="420" w:val="left"/>
        </w:tabs>
        <w:numPr>
          <w:ilvl w:val="0"/>
          <w:numId w:val="8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rPr>
          <w:sz w:val="20"/>
          <w:szCs w:val="20"/>
          <w:color w:val="auto"/>
        </w:rPr>
      </w:pPr>
      <w:r>
        <w:rPr>
          <w:rFonts w:ascii="Times New Roman" w:cs="Times New Roman" w:eastAsia="Times New Roman" w:hAnsi="Times New Roman"/>
          <w:sz w:val="12"/>
          <w:szCs w:val="12"/>
          <w:color w:val="auto"/>
        </w:rPr>
        <w:t> </w:t>
      </w:r>
    </w:p>
    <w:p>
      <w:pPr>
        <w:spacing w:after="0" w:line="3" w:lineRule="exact"/>
        <w:rPr>
          <w:sz w:val="20"/>
          <w:szCs w:val="20"/>
          <w:color w:val="auto"/>
        </w:rPr>
      </w:pPr>
    </w:p>
    <w:p>
      <w:pPr>
        <w:jc w:val="both"/>
        <w:ind w:left="420" w:hanging="212"/>
        <w:spacing w:after="0" w:line="252" w:lineRule="auto"/>
        <w:tabs>
          <w:tab w:leader="none" w:pos="420" w:val="left"/>
        </w:tabs>
        <w:numPr>
          <w:ilvl w:val="0"/>
          <w:numId w:val="84"/>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Any employee benefit plan within the meaning of the Employee Retirement Income Security Act of 1974 if the investment decision is made by a plan fiduciary, as defined in section 3(21) of such act, which is either a bank, savings and loan association, insurance company, or registered investment adviser, or if the employee benefit plan has total assets in excess of $5,000,000 or, if a self-directed plan, with investment decisions made solely by persons that are accredited investors;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3" w:lineRule="exact"/>
        <w:rPr>
          <w:sz w:val="20"/>
          <w:szCs w:val="20"/>
          <w:color w:val="auto"/>
        </w:rPr>
      </w:pPr>
    </w:p>
    <w:p>
      <w:pPr>
        <w:ind w:left="200"/>
        <w:spacing w:after="0" w:line="138" w:lineRule="exact"/>
        <w:tabs>
          <w:tab w:leader="none" w:pos="400" w:val="left"/>
        </w:tabs>
        <w:rPr>
          <w:sz w:val="20"/>
          <w:szCs w:val="20"/>
          <w:color w:val="auto"/>
        </w:rPr>
      </w:pP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1"/>
          <w:szCs w:val="11"/>
          <w:color w:val="auto"/>
        </w:rPr>
        <w:t>Any private business development company as defined in section 202(a)(22) of the Investment Advisers Act of 1940;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2" w:lineRule="exact"/>
        <w:rPr>
          <w:sz w:val="20"/>
          <w:szCs w:val="20"/>
          <w:color w:val="auto"/>
        </w:rPr>
      </w:pPr>
    </w:p>
    <w:p>
      <w:pPr>
        <w:ind w:left="420" w:hanging="212"/>
        <w:spacing w:after="0" w:line="253" w:lineRule="auto"/>
        <w:tabs>
          <w:tab w:leader="none" w:pos="420" w:val="left"/>
        </w:tabs>
        <w:numPr>
          <w:ilvl w:val="0"/>
          <w:numId w:val="85"/>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Any organization described in section 501(c)(3) of the Internal Revenue Code, corporation, Massachusetts or similar business trust, partnership, or limited liability company, not formed for the specific purpose of acquiring the securities offered, with total assets in excess of $5,000,000;</w:t>
      </w:r>
    </w:p>
    <w:p>
      <w:pPr>
        <w:spacing w:after="0"/>
        <w:rPr>
          <w:sz w:val="20"/>
          <w:szCs w:val="20"/>
          <w:color w:val="auto"/>
        </w:rPr>
      </w:pPr>
      <w:r>
        <w:rPr>
          <w:rFonts w:ascii="Times New Roman" w:cs="Times New Roman" w:eastAsia="Times New Roman" w:hAnsi="Times New Roman"/>
          <w:sz w:val="12"/>
          <w:szCs w:val="12"/>
          <w:color w:val="auto"/>
        </w:rPr>
        <w:t> </w:t>
      </w:r>
    </w:p>
    <w:p>
      <w:pPr>
        <w:spacing w:after="0" w:line="3" w:lineRule="exact"/>
        <w:rPr>
          <w:sz w:val="20"/>
          <w:szCs w:val="20"/>
          <w:color w:val="auto"/>
        </w:rPr>
      </w:pPr>
    </w:p>
    <w:p>
      <w:pPr>
        <w:jc w:val="both"/>
        <w:ind w:left="420" w:hanging="212"/>
        <w:spacing w:after="0" w:line="251" w:lineRule="auto"/>
        <w:tabs>
          <w:tab w:leader="none" w:pos="420" w:val="left"/>
        </w:tabs>
        <w:numPr>
          <w:ilvl w:val="0"/>
          <w:numId w:val="86"/>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Any natural person whose individual net worth, or joint net worth with that person’s spouse, at the time of his purchase exceeds $1,000,000. For purposes of calculating a natural person’s net worth: (a) the person’s primary residence must not be included as an asset; (b) indebtedness secured by the person’s primary residence up to the estimated fair market value of the primary residence must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 (c) indebtedness that is secured by the person’s primary residence in excess of the estimated fair market value of the residence must be included as a liability;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3" w:lineRule="exact"/>
        <w:rPr>
          <w:sz w:val="20"/>
          <w:szCs w:val="20"/>
          <w:color w:val="auto"/>
        </w:rPr>
      </w:pPr>
    </w:p>
    <w:p>
      <w:pPr>
        <w:ind w:left="420" w:hanging="212"/>
        <w:spacing w:after="0" w:line="253" w:lineRule="auto"/>
        <w:tabs>
          <w:tab w:leader="none" w:pos="420" w:val="left"/>
        </w:tabs>
        <w:numPr>
          <w:ilvl w:val="0"/>
          <w:numId w:val="87"/>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 or</w:t>
      </w:r>
    </w:p>
    <w:p>
      <w:pPr>
        <w:spacing w:after="0"/>
        <w:rPr>
          <w:sz w:val="20"/>
          <w:szCs w:val="20"/>
          <w:color w:val="auto"/>
        </w:rPr>
      </w:pPr>
      <w:r>
        <w:rPr>
          <w:rFonts w:ascii="Times New Roman" w:cs="Times New Roman" w:eastAsia="Times New Roman" w:hAnsi="Times New Roman"/>
          <w:sz w:val="12"/>
          <w:szCs w:val="12"/>
          <w:color w:val="auto"/>
        </w:rPr>
        <w:t> </w:t>
      </w:r>
    </w:p>
    <w:p>
      <w:pPr>
        <w:spacing w:after="0" w:line="3" w:lineRule="exact"/>
        <w:rPr>
          <w:sz w:val="20"/>
          <w:szCs w:val="20"/>
          <w:color w:val="auto"/>
        </w:rPr>
      </w:pPr>
    </w:p>
    <w:p>
      <w:pPr>
        <w:ind w:left="200"/>
        <w:spacing w:after="0" w:line="138" w:lineRule="exact"/>
        <w:tabs>
          <w:tab w:leader="none" w:pos="400" w:val="left"/>
        </w:tabs>
        <w:rPr>
          <w:sz w:val="20"/>
          <w:szCs w:val="20"/>
          <w:color w:val="auto"/>
        </w:rPr>
      </w:pP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1"/>
          <w:szCs w:val="11"/>
          <w:color w:val="auto"/>
        </w:rPr>
        <w:t>Any trust with total assets in excess of $5,000,000, not formed for the specific purpose of acquiring the securities offered, whose purchase is directed by a sophisticated person.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This Annex should be completed by Purchaser and constitutes a part of the Stock Purchase Agreement.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717804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4"/>
          <w:szCs w:val="14"/>
          <w:b w:val="1"/>
          <w:bCs w:val="1"/>
          <w:color w:val="auto"/>
        </w:rPr>
        <w:t>Exhibit 10.3</w:t>
      </w:r>
    </w:p>
    <w:p>
      <w:pPr>
        <w:spacing w:after="0" w:line="1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i w:val="1"/>
          <w:iCs w:val="1"/>
          <w:color w:val="auto"/>
        </w:rPr>
        <w:t>Final Form</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REGISTRATION RIGHTS AGREEMENT</w:t>
      </w:r>
    </w:p>
    <w:p>
      <w:pPr>
        <w:spacing w:after="0" w:line="13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THIS AMENDED AND RESTATED REGISTRATION RIGHTS AGREEMENT (this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dated as of [●], is made and entered into by and among Factorial Holdings, Inc., a Delaware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(formerly known as Cartesian Growth Corporation III, a Cayman Islands exempted company, prior to its domestication as a Delaware corporation), CGC III Sponsor LLC, a Cayman Islands limited liability company (the “</w:t>
      </w:r>
      <w:r>
        <w:rPr>
          <w:rFonts w:ascii="Times New Roman" w:cs="Times New Roman" w:eastAsia="Times New Roman" w:hAnsi="Times New Roman"/>
          <w:sz w:val="12"/>
          <w:szCs w:val="12"/>
          <w:u w:val="single" w:color="auto"/>
          <w:color w:val="auto"/>
        </w:rPr>
        <w:t>Sponsor</w:t>
      </w:r>
      <w:r>
        <w:rPr>
          <w:rFonts w:ascii="Times New Roman" w:cs="Times New Roman" w:eastAsia="Times New Roman" w:hAnsi="Times New Roman"/>
          <w:sz w:val="12"/>
          <w:szCs w:val="12"/>
          <w:color w:val="auto"/>
        </w:rPr>
        <w:t>”), CGC III Sponsor DirectorCo LLC, a Cayman Islands limited liability company (“</w:t>
      </w:r>
      <w:r>
        <w:rPr>
          <w:rFonts w:ascii="Times New Roman" w:cs="Times New Roman" w:eastAsia="Times New Roman" w:hAnsi="Times New Roman"/>
          <w:sz w:val="12"/>
          <w:szCs w:val="12"/>
          <w:u w:val="single" w:color="auto"/>
          <w:color w:val="auto"/>
        </w:rPr>
        <w:t>DirectorCo</w:t>
      </w:r>
      <w:r>
        <w:rPr>
          <w:rFonts w:ascii="Times New Roman" w:cs="Times New Roman" w:eastAsia="Times New Roman" w:hAnsi="Times New Roman"/>
          <w:sz w:val="12"/>
          <w:szCs w:val="12"/>
          <w:color w:val="auto"/>
        </w:rPr>
        <w:t>”), Cantor Fitzgerald &amp; Co. (“</w:t>
      </w:r>
      <w:r>
        <w:rPr>
          <w:rFonts w:ascii="Times New Roman" w:cs="Times New Roman" w:eastAsia="Times New Roman" w:hAnsi="Times New Roman"/>
          <w:sz w:val="12"/>
          <w:szCs w:val="12"/>
          <w:u w:val="single" w:color="auto"/>
          <w:color w:val="auto"/>
        </w:rPr>
        <w:t>Cantor</w:t>
      </w:r>
      <w:r>
        <w:rPr>
          <w:rFonts w:ascii="Times New Roman" w:cs="Times New Roman" w:eastAsia="Times New Roman" w:hAnsi="Times New Roman"/>
          <w:sz w:val="12"/>
          <w:szCs w:val="12"/>
          <w:color w:val="auto"/>
        </w:rPr>
        <w:t>,” and together with DirectorCo, [and certain existing securityholders of the Company], the “</w:t>
      </w:r>
      <w:r>
        <w:rPr>
          <w:rFonts w:ascii="Times New Roman" w:cs="Times New Roman" w:eastAsia="Times New Roman" w:hAnsi="Times New Roman"/>
          <w:sz w:val="12"/>
          <w:szCs w:val="12"/>
          <w:u w:val="single" w:color="auto"/>
          <w:color w:val="auto"/>
        </w:rPr>
        <w:t>Cartesian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Existing Investors</w:t>
      </w:r>
      <w:r>
        <w:rPr>
          <w:rFonts w:ascii="Times New Roman" w:cs="Times New Roman" w:eastAsia="Times New Roman" w:hAnsi="Times New Roman"/>
          <w:sz w:val="12"/>
          <w:szCs w:val="12"/>
          <w:color w:val="auto"/>
        </w:rPr>
        <w:t>”), certain former stockholders of Factorial Inc., a Delaware corporation (“</w:t>
      </w:r>
      <w:r>
        <w:rPr>
          <w:rFonts w:ascii="Times New Roman" w:cs="Times New Roman" w:eastAsia="Times New Roman" w:hAnsi="Times New Roman"/>
          <w:sz w:val="12"/>
          <w:szCs w:val="12"/>
          <w:u w:val="single" w:color="auto"/>
          <w:color w:val="auto"/>
        </w:rPr>
        <w:t>Factorial</w:t>
      </w:r>
      <w:r>
        <w:rPr>
          <w:rFonts w:ascii="Times New Roman" w:cs="Times New Roman" w:eastAsia="Times New Roman" w:hAnsi="Times New Roman"/>
          <w:sz w:val="12"/>
          <w:szCs w:val="12"/>
          <w:color w:val="auto"/>
        </w:rPr>
        <w:t>”), set forth on Schedule 1 hereto (such stockholders, the “</w:t>
      </w:r>
      <w:r>
        <w:rPr>
          <w:rFonts w:ascii="Times New Roman" w:cs="Times New Roman" w:eastAsia="Times New Roman" w:hAnsi="Times New Roman"/>
          <w:sz w:val="12"/>
          <w:szCs w:val="12"/>
          <w:u w:val="single" w:color="auto"/>
          <w:color w:val="auto"/>
        </w:rPr>
        <w:t>Factorial Holders</w:t>
      </w:r>
      <w:r>
        <w:rPr>
          <w:rFonts w:ascii="Times New Roman" w:cs="Times New Roman" w:eastAsia="Times New Roman" w:hAnsi="Times New Roman"/>
          <w:sz w:val="12"/>
          <w:szCs w:val="12"/>
          <w:color w:val="auto"/>
        </w:rPr>
        <w:t>”), certain stockholders of the Company as set forth on Schedule 2 hereto (such stockholders, the “</w:t>
      </w:r>
      <w:r>
        <w:rPr>
          <w:rFonts w:ascii="Times New Roman" w:cs="Times New Roman" w:eastAsia="Times New Roman" w:hAnsi="Times New Roman"/>
          <w:sz w:val="12"/>
          <w:szCs w:val="12"/>
          <w:u w:val="single" w:color="auto"/>
          <w:color w:val="auto"/>
        </w:rPr>
        <w:t>Non-Redemption Holders</w:t>
      </w:r>
      <w:r>
        <w:rPr>
          <w:rFonts w:ascii="Times New Roman" w:cs="Times New Roman" w:eastAsia="Times New Roman" w:hAnsi="Times New Roman"/>
          <w:sz w:val="12"/>
          <w:szCs w:val="12"/>
          <w:color w:val="auto"/>
        </w:rPr>
        <w:t xml:space="preserve">”), and other persons and entities (collectively with the Sponsor, the Cartesian Existing Investors, the Factorial Holders, the Non-Redemption Holders and any person or entity who hereafter becomes a party to this Agreement pursuant to </w:t>
      </w:r>
      <w:r>
        <w:rPr>
          <w:rFonts w:ascii="Times New Roman" w:cs="Times New Roman" w:eastAsia="Times New Roman" w:hAnsi="Times New Roman"/>
          <w:sz w:val="12"/>
          <w:szCs w:val="12"/>
          <w:u w:val="single" w:color="auto"/>
          <w:color w:val="auto"/>
        </w:rPr>
        <w:t>Section 5.2</w:t>
      </w:r>
      <w:r>
        <w:rPr>
          <w:rFonts w:ascii="Times New Roman" w:cs="Times New Roman" w:eastAsia="Times New Roman" w:hAnsi="Times New Roman"/>
          <w:sz w:val="12"/>
          <w:szCs w:val="12"/>
          <w:color w:val="auto"/>
        </w:rPr>
        <w:t xml:space="preserve"> of this Agreement, the “</w:t>
      </w:r>
      <w:r>
        <w:rPr>
          <w:rFonts w:ascii="Times New Roman" w:cs="Times New Roman" w:eastAsia="Times New Roman" w:hAnsi="Times New Roman"/>
          <w:sz w:val="12"/>
          <w:szCs w:val="12"/>
          <w:u w:val="single" w:color="auto"/>
          <w:color w:val="auto"/>
        </w:rPr>
        <w:t>Holders</w:t>
      </w:r>
      <w:r>
        <w:rPr>
          <w:rFonts w:ascii="Times New Roman" w:cs="Times New Roman" w:eastAsia="Times New Roman" w:hAnsi="Times New Roman"/>
          <w:sz w:val="12"/>
          <w:szCs w:val="12"/>
          <w:color w:val="auto"/>
        </w:rPr>
        <w:t>” and each, a “</w:t>
      </w:r>
      <w:r>
        <w:rPr>
          <w:rFonts w:ascii="Times New Roman" w:cs="Times New Roman" w:eastAsia="Times New Roman" w:hAnsi="Times New Roman"/>
          <w:sz w:val="12"/>
          <w:szCs w:val="12"/>
          <w:u w:val="single" w:color="auto"/>
          <w:color w:val="auto"/>
        </w:rPr>
        <w:t>Holder</w:t>
      </w:r>
      <w:r>
        <w:rPr>
          <w:rFonts w:ascii="Times New Roman" w:cs="Times New Roman" w:eastAsia="Times New Roman" w:hAnsi="Times New Roman"/>
          <w:sz w:val="12"/>
          <w:szCs w:val="12"/>
          <w:color w:val="auto"/>
        </w:rPr>
        <w:t>”). Capitalized terms used but not otherwise defined herein shall have the meanings given such terms in the Business Combination Agreement (as defined below).</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RECITALS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Company, the Sponsor, DirectorCo, and Cantor are party to that certain Registration Rights Agreement, dated as of May 1, 2025 (the “</w:t>
      </w:r>
      <w:r>
        <w:rPr>
          <w:rFonts w:ascii="Times New Roman" w:cs="Times New Roman" w:eastAsia="Times New Roman" w:hAnsi="Times New Roman"/>
          <w:sz w:val="12"/>
          <w:szCs w:val="12"/>
          <w:u w:val="single" w:color="auto"/>
          <w:color w:val="auto"/>
        </w:rPr>
        <w:t>Original RRA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Company is party to that certain Business Combination Agreement, dated as of December 17, 2025 (as it may be amended, restated, supplemented or otherwise modified from time to time, the “</w:t>
      </w:r>
      <w:r>
        <w:rPr>
          <w:rFonts w:ascii="Times New Roman" w:cs="Times New Roman" w:eastAsia="Times New Roman" w:hAnsi="Times New Roman"/>
          <w:sz w:val="12"/>
          <w:szCs w:val="12"/>
          <w:u w:val="single" w:color="auto"/>
          <w:color w:val="auto"/>
        </w:rPr>
        <w:t>Business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Combination Agreement</w:t>
      </w:r>
      <w:r>
        <w:rPr>
          <w:rFonts w:ascii="Times New Roman" w:cs="Times New Roman" w:eastAsia="Times New Roman" w:hAnsi="Times New Roman"/>
          <w:sz w:val="12"/>
          <w:szCs w:val="12"/>
          <w:color w:val="auto"/>
        </w:rPr>
        <w:t>”), by and among the Company, Fenway MS, Inc., a Delaware corporation and a direct, wholly owned subsidiary of the Company (“</w:t>
      </w:r>
      <w:r>
        <w:rPr>
          <w:rFonts w:ascii="Times New Roman" w:cs="Times New Roman" w:eastAsia="Times New Roman" w:hAnsi="Times New Roman"/>
          <w:sz w:val="12"/>
          <w:szCs w:val="12"/>
          <w:u w:val="single" w:color="auto"/>
          <w:color w:val="auto"/>
        </w:rPr>
        <w:t>Merger Sub</w:t>
      </w:r>
      <w:r>
        <w:rPr>
          <w:rFonts w:ascii="Times New Roman" w:cs="Times New Roman" w:eastAsia="Times New Roman" w:hAnsi="Times New Roman"/>
          <w:sz w:val="12"/>
          <w:szCs w:val="12"/>
          <w:color w:val="auto"/>
        </w:rPr>
        <w:t>”), and Factorial, pursuant to which, on [●], the Company de-registered in the Cayman Islands and transferred by way of continuation out of the Cayman Islands and into the State of Delaware so as to migrate to and domesticate as a Delaware corporation (the “</w:t>
      </w:r>
      <w:r>
        <w:rPr>
          <w:rFonts w:ascii="Times New Roman" w:cs="Times New Roman" w:eastAsia="Times New Roman" w:hAnsi="Times New Roman"/>
          <w:sz w:val="12"/>
          <w:szCs w:val="12"/>
          <w:u w:val="single" w:color="auto"/>
          <w:color w:val="auto"/>
        </w:rPr>
        <w:t>Domestication</w:t>
      </w:r>
      <w:r>
        <w:rPr>
          <w:rFonts w:ascii="Times New Roman" w:cs="Times New Roman" w:eastAsia="Times New Roman" w:hAnsi="Times New Roman"/>
          <w:sz w:val="12"/>
          <w:szCs w:val="12"/>
          <w:color w:val="auto"/>
        </w:rPr>
        <w:t>”) and, on [●], Merger Sub merged with and into Factorial (the “</w:t>
      </w:r>
      <w:r>
        <w:rPr>
          <w:rFonts w:ascii="Times New Roman" w:cs="Times New Roman" w:eastAsia="Times New Roman" w:hAnsi="Times New Roman"/>
          <w:sz w:val="12"/>
          <w:szCs w:val="12"/>
          <w:u w:val="single" w:color="auto"/>
          <w:color w:val="auto"/>
        </w:rPr>
        <w:t>Merger</w:t>
      </w:r>
      <w:r>
        <w:rPr>
          <w:rFonts w:ascii="Times New Roman" w:cs="Times New Roman" w:eastAsia="Times New Roman" w:hAnsi="Times New Roman"/>
          <w:sz w:val="12"/>
          <w:szCs w:val="12"/>
          <w:color w:val="auto"/>
        </w:rPr>
        <w:t>”), with Factorial surviving the Merger as a wholly owned subsidiary of the Company;</w:t>
      </w:r>
    </w:p>
    <w:p>
      <w:pPr>
        <w:spacing w:after="0" w:line="117"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at the Domestication Effective Time (as defined in the Business Combination Agreement), pursuant to the Business Combination Agreement, each outstanding Class A ordinary share, par value $0.0001 per share,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the Company (the “</w:t>
      </w:r>
      <w:r>
        <w:rPr>
          <w:rFonts w:ascii="Times New Roman" w:cs="Times New Roman" w:eastAsia="Times New Roman" w:hAnsi="Times New Roman"/>
          <w:sz w:val="12"/>
          <w:szCs w:val="12"/>
          <w:u w:val="single" w:color="auto"/>
          <w:color w:val="auto"/>
        </w:rPr>
        <w:t>Cayman Class A Shares</w:t>
      </w:r>
      <w:r>
        <w:rPr>
          <w:rFonts w:ascii="Times New Roman" w:cs="Times New Roman" w:eastAsia="Times New Roman" w:hAnsi="Times New Roman"/>
          <w:sz w:val="12"/>
          <w:szCs w:val="12"/>
          <w:color w:val="auto"/>
        </w:rPr>
        <w:t>”) (including Cayman Class A Shares issued upon the conversion of Class B ordinary shares, par value $0.0001 per share, of the Company immediately prior to the Domestication, but not including Cayman Class A Shares redeemed pursuant to the Company’s amended and restated memorandum and articles of association, was converted automatically into one share of the Company’s Series A common stock, par value $0.00001 per share (the “</w:t>
      </w:r>
      <w:r>
        <w:rPr>
          <w:rFonts w:ascii="Times New Roman" w:cs="Times New Roman" w:eastAsia="Times New Roman" w:hAnsi="Times New Roman"/>
          <w:sz w:val="12"/>
          <w:szCs w:val="12"/>
          <w:u w:val="single" w:color="auto"/>
          <w:color w:val="auto"/>
        </w:rPr>
        <w:t>Series A Common Stock</w:t>
      </w:r>
      <w:r>
        <w:rPr>
          <w:rFonts w:ascii="Times New Roman" w:cs="Times New Roman" w:eastAsia="Times New Roman" w:hAnsi="Times New Roman"/>
          <w:sz w:val="12"/>
          <w:szCs w:val="12"/>
          <w:color w:val="auto"/>
        </w:rPr>
        <w:t>”);</w:t>
      </w:r>
    </w:p>
    <w:p>
      <w:pPr>
        <w:spacing w:after="0" w:line="117"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at the Merger Effective Time, pursuant to the Business Combination Agreement, (i) each issued and outstanding share of common stock, par value $0.0001 per share (the “</w:t>
      </w:r>
      <w:r>
        <w:rPr>
          <w:rFonts w:ascii="Times New Roman" w:cs="Times New Roman" w:eastAsia="Times New Roman" w:hAnsi="Times New Roman"/>
          <w:sz w:val="12"/>
          <w:szCs w:val="12"/>
          <w:u w:val="single" w:color="auto"/>
          <w:color w:val="auto"/>
        </w:rPr>
        <w:t>Factorial Common Stock</w:t>
      </w:r>
      <w:r>
        <w:rPr>
          <w:rFonts w:ascii="Times New Roman" w:cs="Times New Roman" w:eastAsia="Times New Roman" w:hAnsi="Times New Roman"/>
          <w:sz w:val="12"/>
          <w:szCs w:val="12"/>
          <w:color w:val="auto"/>
        </w:rPr>
        <w:t>”) (including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shares of Factorial Common Stock issued upon the conversion of shares of preferred stock of Factorial, but not including treasury shares or shares validly submitted for appraisal) was converted automatically into a number of shares of Series A Common Stock or, in the case of the Founders (as defined in the Business Combination Agreement), the Company’s Class B common stock, par value $0.0001 per share (the “</w:t>
      </w:r>
      <w:r>
        <w:rPr>
          <w:rFonts w:ascii="Times New Roman" w:cs="Times New Roman" w:eastAsia="Times New Roman" w:hAnsi="Times New Roman"/>
          <w:sz w:val="12"/>
          <w:szCs w:val="12"/>
          <w:u w:val="single" w:color="auto"/>
          <w:color w:val="auto"/>
        </w:rPr>
        <w:t>Class B Common Stock</w:t>
      </w:r>
      <w:r>
        <w:rPr>
          <w:rFonts w:ascii="Times New Roman" w:cs="Times New Roman" w:eastAsia="Times New Roman" w:hAnsi="Times New Roman"/>
          <w:sz w:val="12"/>
          <w:szCs w:val="12"/>
          <w:color w:val="auto"/>
        </w:rPr>
        <w:t>”) in accordance with the Conversion Ratio (as defined in the Business Combination Agreement), and (ii) each outstanding stock option of Factorial was assumed by the Company and became an option to purchase a number of shares of Series A Common Stock at an exercise price each determined by reference to the Conversion Ratio (the “</w:t>
      </w:r>
      <w:r>
        <w:rPr>
          <w:rFonts w:ascii="Times New Roman" w:cs="Times New Roman" w:eastAsia="Times New Roman" w:hAnsi="Times New Roman"/>
          <w:sz w:val="12"/>
          <w:szCs w:val="12"/>
          <w:u w:val="single" w:color="auto"/>
          <w:color w:val="auto"/>
        </w:rPr>
        <w:t>Equity Awards</w:t>
      </w:r>
      <w:r>
        <w:rPr>
          <w:rFonts w:ascii="Times New Roman" w:cs="Times New Roman" w:eastAsia="Times New Roman" w:hAnsi="Times New Roman"/>
          <w:sz w:val="12"/>
          <w:szCs w:val="12"/>
          <w:color w:val="auto"/>
        </w:rPr>
        <w:t>”) covering a number of shares of Series A Common Stock determined by reference to the Conversion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279400</wp:posOffset>
            </wp:positionV>
            <wp:extent cx="717804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174" w:name="page175"/>
    <w:bookmarkEnd w:id="174"/>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on the date hereof, certain investors purchased an aggregate of [●] shares of Series A Common Stock (the “</w:t>
      </w:r>
      <w:r>
        <w:rPr>
          <w:rFonts w:ascii="Times New Roman" w:cs="Times New Roman" w:eastAsia="Times New Roman" w:hAnsi="Times New Roman"/>
          <w:sz w:val="12"/>
          <w:szCs w:val="12"/>
          <w:b w:val="1"/>
          <w:bCs w:val="1"/>
          <w:i w:val="1"/>
          <w:iCs w:val="1"/>
          <w:color w:val="auto"/>
        </w:rPr>
        <w:t>Investor Shares</w:t>
      </w:r>
      <w:r>
        <w:rPr>
          <w:rFonts w:ascii="Times New Roman" w:cs="Times New Roman" w:eastAsia="Times New Roman" w:hAnsi="Times New Roman"/>
          <w:sz w:val="12"/>
          <w:szCs w:val="12"/>
          <w:color w:val="auto"/>
        </w:rPr>
        <w:t>”) in a transaction exempt from registration under the Securities Act pursuant to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respective Stock Purchase Agreements, each dated as of December 17, 2025, entered into by and between the Company and each of such investors (the “</w:t>
      </w:r>
      <w:r>
        <w:rPr>
          <w:rFonts w:ascii="Times New Roman" w:cs="Times New Roman" w:eastAsia="Times New Roman" w:hAnsi="Times New Roman"/>
          <w:sz w:val="12"/>
          <w:szCs w:val="12"/>
          <w:b w:val="1"/>
          <w:bCs w:val="1"/>
          <w:i w:val="1"/>
          <w:iCs w:val="1"/>
          <w:color w:val="auto"/>
        </w:rPr>
        <w:t>PIPE Investment</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on or before the date hereof, the Non-Redemption Holders acquired or retained an aggregate of [●] shares of Series A Common Stock (the “</w:t>
      </w:r>
      <w:r>
        <w:rPr>
          <w:rFonts w:ascii="Times New Roman" w:cs="Times New Roman" w:eastAsia="Times New Roman" w:hAnsi="Times New Roman"/>
          <w:sz w:val="12"/>
          <w:szCs w:val="12"/>
          <w:b w:val="1"/>
          <w:bCs w:val="1"/>
          <w:i w:val="1"/>
          <w:iCs w:val="1"/>
          <w:color w:val="auto"/>
        </w:rPr>
        <w:t>Non-Redemption Shares</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i w:val="1"/>
          <w:iCs w:val="1"/>
          <w:color w:val="auto"/>
        </w:rPr>
        <w:t>Non-Redemption Investment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pursuant to Section 6.7 of the Original RRA, the provisions, covenants and conditions set forth therein may be amended or modified upon the written consent of the Company and the Holders (as defined in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Original RRA) of at least a majority-in-interest of the Registrable Securities (as defined in the Original RRA) at the time in question; and</w:t>
      </w:r>
    </w:p>
    <w:p>
      <w:pPr>
        <w:spacing w:after="0" w:line="10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Company, the Sponsor, DirectorCo, and Cantor desire to amend and restate the Original RRA in its entirety and enter into this Agreement, pursuant to which the Company shall grant the Holders certain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registration rights with respect to certain securities of the Company, as set forth in this Agreement.</w:t>
      </w:r>
    </w:p>
    <w:p>
      <w:pPr>
        <w:spacing w:after="0" w:line="10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NOW</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THEREFORE</w:t>
      </w:r>
      <w:r>
        <w:rPr>
          <w:rFonts w:ascii="Times New Roman" w:cs="Times New Roman" w:eastAsia="Times New Roman" w:hAnsi="Times New Roman"/>
          <w:sz w:val="12"/>
          <w:szCs w:val="12"/>
          <w:color w:val="auto"/>
        </w:rPr>
        <w:t>, in consideration of the representations, covenants and agreements contained herein, and certain other good and valuable consideration, the receipt and sufficiency of which are hereby acknowledged,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parties hereto, intending to be legally bound, hereby agree as follows: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DEFINITIONS</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1.1          </w:t>
      </w:r>
      <w:r>
        <w:rPr>
          <w:rFonts w:ascii="Times New Roman" w:cs="Times New Roman" w:eastAsia="Times New Roman" w:hAnsi="Times New Roman"/>
          <w:sz w:val="12"/>
          <w:szCs w:val="12"/>
          <w:u w:val="single" w:color="auto"/>
          <w:color w:val="auto"/>
        </w:rPr>
        <w:t>  Definitions</w:t>
      </w:r>
      <w:r>
        <w:rPr>
          <w:rFonts w:ascii="Times New Roman" w:cs="Times New Roman" w:eastAsia="Times New Roman" w:hAnsi="Times New Roman"/>
          <w:sz w:val="12"/>
          <w:szCs w:val="12"/>
          <w:color w:val="auto"/>
        </w:rPr>
        <w:t xml:space="preserve">. The terms defined in this </w:t>
      </w:r>
      <w:r>
        <w:rPr>
          <w:rFonts w:ascii="Times New Roman" w:cs="Times New Roman" w:eastAsia="Times New Roman" w:hAnsi="Times New Roman"/>
          <w:sz w:val="12"/>
          <w:szCs w:val="12"/>
          <w:u w:val="single" w:color="auto"/>
          <w:color w:val="auto"/>
        </w:rPr>
        <w:t>Article I</w:t>
      </w:r>
      <w:r>
        <w:rPr>
          <w:rFonts w:ascii="Times New Roman" w:cs="Times New Roman" w:eastAsia="Times New Roman" w:hAnsi="Times New Roman"/>
          <w:sz w:val="12"/>
          <w:szCs w:val="12"/>
          <w:color w:val="auto"/>
        </w:rPr>
        <w:t xml:space="preserve"> shall, for all purposes of this Agreement, have the respective meanings set forth below:</w:t>
      </w:r>
    </w:p>
    <w:p>
      <w:pPr>
        <w:spacing w:after="0" w:line="15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Adverse Disclosure</w:t>
      </w:r>
      <w:r>
        <w:rPr>
          <w:rFonts w:ascii="Times New Roman" w:cs="Times New Roman" w:eastAsia="Times New Roman" w:hAnsi="Times New Roman"/>
          <w:sz w:val="12"/>
          <w:szCs w:val="12"/>
          <w:color w:val="auto"/>
        </w:rPr>
        <w:t>” shall mean any public disclosure of material non-public information, which disclosure, in the good faith judgment of the Chief Executive Officer or the Chief Financial Officer of the Company or the Board, in each case, after consultation with counsel to the Company, (a) would be required to be made in any Registration Statement or Prospectus in order for the applicable Registration Statement or Prospectus not to contain any untrue statement of a material fact or omit to state a material fact required to be stated therein or necessary to make the statements contained therein (in the case of any prospectus and any preliminary prospectus, in the light of the circumstances under which they were made) not misleading, (b) would not be required to be made at such time if the Registration Statement were not being filed, declared effective or used, as the case may be, and (c) the Company has a bona fide business purpose for not making such information public.</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shall have the meaning given in the Preamble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Block Trade</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Section 2.4.1</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Board</w:t>
      </w:r>
      <w:r>
        <w:rPr>
          <w:rFonts w:ascii="Times New Roman" w:cs="Times New Roman" w:eastAsia="Times New Roman" w:hAnsi="Times New Roman"/>
          <w:sz w:val="12"/>
          <w:szCs w:val="12"/>
          <w:color w:val="auto"/>
        </w:rPr>
        <w:t>” shall mean the Board of Directors of the Company.</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Business Combination Agreement</w:t>
      </w:r>
      <w:r>
        <w:rPr>
          <w:rFonts w:ascii="Times New Roman" w:cs="Times New Roman" w:eastAsia="Times New Roman" w:hAnsi="Times New Roman"/>
          <w:sz w:val="12"/>
          <w:szCs w:val="12"/>
          <w:color w:val="auto"/>
        </w:rPr>
        <w:t>” shall have the meaning given in the Recitals hereto.</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Business Day</w:t>
      </w:r>
      <w:r>
        <w:rPr>
          <w:rFonts w:ascii="Times New Roman" w:cs="Times New Roman" w:eastAsia="Times New Roman" w:hAnsi="Times New Roman"/>
          <w:sz w:val="12"/>
          <w:szCs w:val="12"/>
          <w:color w:val="auto"/>
        </w:rPr>
        <w:t>” shall mean any day other than a Saturday, Sunday or any other day on which commercial banks are required or authorized to close in the State of New York.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Cantor</w:t>
      </w:r>
      <w:r>
        <w:rPr>
          <w:rFonts w:ascii="Times New Roman" w:cs="Times New Roman" w:eastAsia="Times New Roman" w:hAnsi="Times New Roman"/>
          <w:sz w:val="12"/>
          <w:szCs w:val="12"/>
          <w:color w:val="auto"/>
        </w:rPr>
        <w:t>” shall have the meaning given in the Preamble hereto.</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Cartesian Existing Investors</w:t>
      </w:r>
      <w:r>
        <w:rPr>
          <w:rFonts w:ascii="Times New Roman" w:cs="Times New Roman" w:eastAsia="Times New Roman" w:hAnsi="Times New Roman"/>
          <w:sz w:val="12"/>
          <w:szCs w:val="12"/>
          <w:color w:val="auto"/>
        </w:rPr>
        <w:t>” shall have the meaning given in the Preamble hereto.</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Series A Common Stock</w:t>
      </w:r>
      <w:r>
        <w:rPr>
          <w:rFonts w:ascii="Times New Roman" w:cs="Times New Roman" w:eastAsia="Times New Roman" w:hAnsi="Times New Roman"/>
          <w:sz w:val="12"/>
          <w:szCs w:val="12"/>
          <w:color w:val="auto"/>
        </w:rPr>
        <w:t>” shall have the meaning given in the Recitals hereto.</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Closing</w:t>
      </w:r>
      <w:r>
        <w:rPr>
          <w:rFonts w:ascii="Times New Roman" w:cs="Times New Roman" w:eastAsia="Times New Roman" w:hAnsi="Times New Roman"/>
          <w:sz w:val="12"/>
          <w:szCs w:val="12"/>
          <w:color w:val="auto"/>
        </w:rPr>
        <w:t>” shall have the meaning given in the Business Combination Agreement.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Closing Date</w:t>
      </w:r>
      <w:r>
        <w:rPr>
          <w:rFonts w:ascii="Times New Roman" w:cs="Times New Roman" w:eastAsia="Times New Roman" w:hAnsi="Times New Roman"/>
          <w:sz w:val="12"/>
          <w:szCs w:val="12"/>
          <w:color w:val="auto"/>
        </w:rPr>
        <w:t>” shall have the meaning given in the Business Combination Agreement.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Commission</w:t>
      </w:r>
      <w:r>
        <w:rPr>
          <w:rFonts w:ascii="Times New Roman" w:cs="Times New Roman" w:eastAsia="Times New Roman" w:hAnsi="Times New Roman"/>
          <w:sz w:val="12"/>
          <w:szCs w:val="12"/>
          <w:color w:val="auto"/>
        </w:rPr>
        <w:t>” shall mean the U.S. Securities and Exchange Commission.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Company</w:t>
      </w:r>
      <w:r>
        <w:rPr>
          <w:rFonts w:ascii="Times New Roman" w:cs="Times New Roman" w:eastAsia="Times New Roman" w:hAnsi="Times New Roman"/>
          <w:sz w:val="11"/>
          <w:szCs w:val="11"/>
          <w:color w:val="auto"/>
        </w:rPr>
        <w:t>” shall have the meaning given in the Preamble hereto and includes the Company’s successors by recapitalization, merger, consolidation, spin-off, reorganization or similar transaction.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Demanding Holder</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Section 2.1.4</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DirectorCo</w:t>
      </w:r>
      <w:r>
        <w:rPr>
          <w:rFonts w:ascii="Times New Roman" w:cs="Times New Roman" w:eastAsia="Times New Roman" w:hAnsi="Times New Roman"/>
          <w:sz w:val="12"/>
          <w:szCs w:val="12"/>
          <w:color w:val="auto"/>
        </w:rPr>
        <w:t>” shall have the meaning given in the Preamble hereto.</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Domestication</w:t>
      </w:r>
      <w:r>
        <w:rPr>
          <w:rFonts w:ascii="Times New Roman" w:cs="Times New Roman" w:eastAsia="Times New Roman" w:hAnsi="Times New Roman"/>
          <w:sz w:val="12"/>
          <w:szCs w:val="12"/>
          <w:color w:val="auto"/>
        </w:rPr>
        <w:t>” shall have the meaning given in the Recitals hereto.</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Equity Awards</w:t>
      </w:r>
      <w:r>
        <w:rPr>
          <w:rFonts w:ascii="Times New Roman" w:cs="Times New Roman" w:eastAsia="Times New Roman" w:hAnsi="Times New Roman"/>
          <w:sz w:val="12"/>
          <w:szCs w:val="12"/>
          <w:color w:val="auto"/>
        </w:rPr>
        <w:t>” shall have the meaning given in the Recitals hereto.</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shall mean the Securities Exchange Act of 1934, as it may be amended from time to time, and the rules and regulations of the Commission promulgated thereunder.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Factorial</w:t>
      </w:r>
      <w:r>
        <w:rPr>
          <w:rFonts w:ascii="Times New Roman" w:cs="Times New Roman" w:eastAsia="Times New Roman" w:hAnsi="Times New Roman"/>
          <w:sz w:val="12"/>
          <w:szCs w:val="12"/>
          <w:color w:val="auto"/>
        </w:rPr>
        <w:t>” shall have the meaning given in the Preamble hereto.</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Factorial Holders</w:t>
      </w:r>
      <w:r>
        <w:rPr>
          <w:rFonts w:ascii="Times New Roman" w:cs="Times New Roman" w:eastAsia="Times New Roman" w:hAnsi="Times New Roman"/>
          <w:sz w:val="12"/>
          <w:szCs w:val="12"/>
          <w:color w:val="auto"/>
        </w:rPr>
        <w:t>” shall have the meaning given in the Preamble hereto.</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Form S-1 Shelf</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Section 2.1.1</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Form S-3 Shelf</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Section 2.1.1</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Holder Information</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Section 4.1.2</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Holders</w:t>
      </w:r>
      <w:r>
        <w:rPr>
          <w:rFonts w:ascii="Times New Roman" w:cs="Times New Roman" w:eastAsia="Times New Roman" w:hAnsi="Times New Roman"/>
          <w:sz w:val="12"/>
          <w:szCs w:val="12"/>
          <w:color w:val="auto"/>
        </w:rPr>
        <w:t>” shall have the meaning given in the Preamble hereto, for so long as such person or entity holds any Registrable Securities.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Investor Shares</w:t>
      </w:r>
      <w:r>
        <w:rPr>
          <w:rFonts w:ascii="Times New Roman" w:cs="Times New Roman" w:eastAsia="Times New Roman" w:hAnsi="Times New Roman"/>
          <w:sz w:val="12"/>
          <w:szCs w:val="12"/>
          <w:color w:val="auto"/>
        </w:rPr>
        <w:t>” shall have the meaning given in the Recitals hereto.</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Lock-Up Period</w:t>
      </w:r>
      <w:r>
        <w:rPr>
          <w:rFonts w:ascii="Times New Roman" w:cs="Times New Roman" w:eastAsia="Times New Roman" w:hAnsi="Times New Roman"/>
          <w:sz w:val="12"/>
          <w:szCs w:val="12"/>
          <w:color w:val="auto"/>
        </w:rPr>
        <w:t>” shall mean, with respect to the Factorial Holders and the Sponsor, the lock-up period specified in the Company’s Bylaws.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Maximum Number of Securities</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Section 2.1.5</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Merger</w:t>
      </w:r>
      <w:r>
        <w:rPr>
          <w:rFonts w:ascii="Times New Roman" w:cs="Times New Roman" w:eastAsia="Times New Roman" w:hAnsi="Times New Roman"/>
          <w:sz w:val="12"/>
          <w:szCs w:val="12"/>
          <w:color w:val="auto"/>
        </w:rPr>
        <w:t>” shall have the meaning given in the Recitals hereto.</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Merger Sub</w:t>
      </w:r>
      <w:r>
        <w:rPr>
          <w:rFonts w:ascii="Times New Roman" w:cs="Times New Roman" w:eastAsia="Times New Roman" w:hAnsi="Times New Roman"/>
          <w:sz w:val="12"/>
          <w:szCs w:val="12"/>
          <w:color w:val="auto"/>
        </w:rPr>
        <w:t>” shall have the meaning given in the Recitals hereto.</w:t>
      </w:r>
    </w:p>
    <w:p>
      <w:pPr>
        <w:spacing w:after="0" w:line="29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739"/>
          </w:cols>
          <w:pgMar w:left="720" w:top="651" w:right="1440" w:bottom="1440" w:gutter="0" w:footer="0" w:header="0"/>
        </w:sectPr>
      </w:pPr>
    </w:p>
    <w:bookmarkStart w:id="176" w:name="page177"/>
    <w:bookmarkEnd w:id="176"/>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Minimum Takedown Threshold</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Section 2.1.4</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Misstatement</w:t>
      </w:r>
      <w:r>
        <w:rPr>
          <w:rFonts w:ascii="Times New Roman" w:cs="Times New Roman" w:eastAsia="Times New Roman" w:hAnsi="Times New Roman"/>
          <w:sz w:val="12"/>
          <w:szCs w:val="12"/>
          <w:color w:val="auto"/>
        </w:rPr>
        <w:t>”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Non-Redemption Investment</w:t>
      </w:r>
      <w:r>
        <w:rPr>
          <w:rFonts w:ascii="Times New Roman" w:cs="Times New Roman" w:eastAsia="Times New Roman" w:hAnsi="Times New Roman"/>
          <w:sz w:val="12"/>
          <w:szCs w:val="12"/>
          <w:color w:val="auto"/>
        </w:rPr>
        <w:t>” shall have the meaning given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Original RRA</w:t>
      </w:r>
      <w:r>
        <w:rPr>
          <w:rFonts w:ascii="Times New Roman" w:cs="Times New Roman" w:eastAsia="Times New Roman" w:hAnsi="Times New Roman"/>
          <w:sz w:val="12"/>
          <w:szCs w:val="12"/>
          <w:color w:val="auto"/>
        </w:rPr>
        <w:t>” shall have the meaning given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Other Coordinated Offering</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Section 2.4.1</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Permitted Transferees</w:t>
      </w:r>
      <w:r>
        <w:rPr>
          <w:rFonts w:ascii="Times New Roman" w:cs="Times New Roman" w:eastAsia="Times New Roman" w:hAnsi="Times New Roman"/>
          <w:sz w:val="12"/>
          <w:szCs w:val="12"/>
          <w:color w:val="auto"/>
        </w:rPr>
        <w:t>” shall mean persons to whom a holder of Registrable Securities is permitted to transfer such Registrable Securities prior to the expiration of the applicable Lock-Up Period.</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Piggyback Registration</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Section 2.2.1</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PIPE Investment</w:t>
      </w:r>
      <w:r>
        <w:rPr>
          <w:rFonts w:ascii="Times New Roman" w:cs="Times New Roman" w:eastAsia="Times New Roman" w:hAnsi="Times New Roman"/>
          <w:sz w:val="12"/>
          <w:szCs w:val="12"/>
          <w:color w:val="auto"/>
        </w:rPr>
        <w:t>” shall have the meaning given in the Recitals hereto.</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Prospectus</w:t>
      </w:r>
      <w:r>
        <w:rPr>
          <w:rFonts w:ascii="Times New Roman" w:cs="Times New Roman" w:eastAsia="Times New Roman" w:hAnsi="Times New Roman"/>
          <w:sz w:val="12"/>
          <w:szCs w:val="12"/>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11"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Registrable Security</w:t>
      </w:r>
      <w:r>
        <w:rPr>
          <w:rFonts w:ascii="Times New Roman" w:cs="Times New Roman" w:eastAsia="Times New Roman" w:hAnsi="Times New Roman"/>
          <w:sz w:val="12"/>
          <w:szCs w:val="12"/>
          <w:color w:val="auto"/>
        </w:rPr>
        <w:t xml:space="preserve">” shall mean (a) any outstanding shares of Series A Common Stock held by a Holder following the Closing that are issued in connection with the transactions contemplated by the Business Combination Agreement, the Non-Redemption Investment, and the PIPE Investment, including, for the avoidance of doubt, any shares of Series A Common Stock (i) issued in connection with the Domestication, (ii) issued as Aggregate Merger Consideration (as defined in the Business Combination Agreement) and (iii) that are Investor Shares; (b) any shares of Series A Common Stock that may be acquired by a Holder upon the exercise, conversion or redemption of any other security of the Company or other right to acquire Series A Common Stock held by a Holder following the Closing that are issued or distributable in connection with the transactions contemplated by the Business Combination Agreement, including, for the avoidance of doubt, the shares of Series A Common Stock issued or issuable upon the exercise of any Warrants (as defined in the Business Combination Agreement) or Equity Awards of the Company held by a Holder immediately following the Closing; (c) any outstanding shares of Series A Common Stock and shares of Series A Common Stock issued or issuable upon the exercise of any other equity security of the Company acquired by a Holder following the date hereof to the extent that such securities are “restricted securities” (as defined in Rule 144) or are otherwise held by an “affiliate” (as defined in Rule 144) of the Company; and (d) any other equity security of the Company or any of its subsidiaries issued or issuable with respect to any securities referenced in clause (a), (b) or (c) above by way of a stock dividend or stock split or in connection with a recapitalization, merger, consolidation, spin-off, reorganization or similar transaction;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as to any particular Registrable Security, such securities shall cease to be Registrable Securities upon the earliest to occur of: (A) a Registration Statement with respect to the sale of such securities shall have become effective under the Securities Act and such securities shall have been sold, transferred, disposed of or exchanged in accordance with such Registration Statement by the applicable Holder; (B)(i) such securities shall have been otherwise transferred (other than to a Permitted Transferee), (ii) new certificates for such securities not bearing (or book entry positions not subject to) a legend restricting further transfer shall have been delivered by the Company and (iii) subsequent public distribution of such securities shall not require registration under the Securities Act; (C) such securities shall have ceased to be outstanding; (D) such securities may be sold without registration pursuant to Rule 144 or any successor rule promulgated under the Securities Act (but with no volume or other restrictions or limitations including as to manner or timing of sale); and (E) such securities have been sold to, or through, a broker, dealer or underwriter in a public distribution or other public securities transaction.</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77" w:name="page178"/>
    <w:bookmarkEnd w:id="177"/>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Registration</w:t>
      </w:r>
      <w:r>
        <w:rPr>
          <w:rFonts w:ascii="Times New Roman" w:cs="Times New Roman" w:eastAsia="Times New Roman" w:hAnsi="Times New Roman"/>
          <w:sz w:val="12"/>
          <w:szCs w:val="12"/>
          <w:color w:val="auto"/>
        </w:rPr>
        <w:t>” shall mean a registration, including any related Shelf Takedown, effected by preparing and filing a registration statement, Prospectus or similar document in compliance with the requirements of the Securities Act, and the applicable rules and regulations promulgated thereunder, and such registration statement becoming effective.</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Registration Expenses</w:t>
      </w:r>
      <w:r>
        <w:rPr>
          <w:rFonts w:ascii="Times New Roman" w:cs="Times New Roman" w:eastAsia="Times New Roman" w:hAnsi="Times New Roman"/>
          <w:sz w:val="12"/>
          <w:szCs w:val="12"/>
          <w:color w:val="auto"/>
        </w:rPr>
        <w:t>” shall mean the documented, out-of-pocket expenses of a Registration, including, without limitation, the following:</w:t>
      </w:r>
    </w:p>
    <w:p>
      <w:pPr>
        <w:spacing w:after="0" w:line="150"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(A)            all registration, listing and filing fees, including fees with respect to filings required to be made with the Financial Industry Regulatory Authority, Inc. and any national securities exchange on which the Series A Common Stock is then listed;</w:t>
      </w:r>
    </w:p>
    <w:p>
      <w:pPr>
        <w:spacing w:after="0" w:line="111"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(B)            fees and expenses of compliance with securities or blue sky laws (including reasonable and documented fees and disbursements of outside counsel for the Underwriters in connection with blue sky qualifications of Registrable Securities);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(C)            printing, messenger, telephone and delivery expenses;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(D)            reasonable fees and disbursements of counsel for the Company;</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(E)            reasonable fees and disbursements of all independent registered public accountants of the Company incurred specifically in connection with such Registration; and</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(F)            in an Underwritten Offering or Other Coordinated Offering, reasonable fees and expenses of one (1) legal counsel selected by the majority-in-interest of the Demanding Holders, up to $[•] in the aggregate.</w:t>
      </w:r>
    </w:p>
    <w:p>
      <w:pPr>
        <w:spacing w:after="0" w:line="150"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Registration Statement</w:t>
      </w:r>
      <w:r>
        <w:rPr>
          <w:rFonts w:ascii="Times New Roman" w:cs="Times New Roman" w:eastAsia="Times New Roman" w:hAnsi="Times New Roman"/>
          <w:sz w:val="12"/>
          <w:szCs w:val="12"/>
          <w:color w:val="auto"/>
        </w:rPr>
        <w:t>” shall mean any registration statement that covers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Requesting Holders</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Section 2.1.5</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Securities Act</w:t>
      </w:r>
      <w:r>
        <w:rPr>
          <w:rFonts w:ascii="Times New Roman" w:cs="Times New Roman" w:eastAsia="Times New Roman" w:hAnsi="Times New Roman"/>
          <w:sz w:val="12"/>
          <w:szCs w:val="12"/>
          <w:color w:val="auto"/>
        </w:rPr>
        <w:t>” shall mean the Securities Act of 1933, as amended from time to time, and the rules and regulations of the Commission promulgated thereunder.</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Shelf</w:t>
      </w:r>
      <w:r>
        <w:rPr>
          <w:rFonts w:ascii="Times New Roman" w:cs="Times New Roman" w:eastAsia="Times New Roman" w:hAnsi="Times New Roman"/>
          <w:sz w:val="12"/>
          <w:szCs w:val="12"/>
          <w:color w:val="auto"/>
        </w:rPr>
        <w:t>” shall mean the Form S-1 Shelf, the Form S-3 Shelf or any Subsequent Shelf Registration Statement, as the case may be.</w:t>
      </w:r>
    </w:p>
    <w:p>
      <w:pPr>
        <w:spacing w:after="0" w:line="150"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Shelf Registration</w:t>
      </w:r>
      <w:r>
        <w:rPr>
          <w:rFonts w:ascii="Times New Roman" w:cs="Times New Roman" w:eastAsia="Times New Roman" w:hAnsi="Times New Roman"/>
          <w:sz w:val="12"/>
          <w:szCs w:val="12"/>
          <w:color w:val="auto"/>
        </w:rPr>
        <w:t>” shall mean a registration of securities pursuant to a registration statement filed with the Commission in accordance with and pursuant to Rule 415 promulgated under the Securities Act (or any successor rule then in effect).</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Shelf Takedown</w:t>
      </w:r>
      <w:r>
        <w:rPr>
          <w:rFonts w:ascii="Times New Roman" w:cs="Times New Roman" w:eastAsia="Times New Roman" w:hAnsi="Times New Roman"/>
          <w:sz w:val="12"/>
          <w:szCs w:val="12"/>
          <w:color w:val="auto"/>
        </w:rPr>
        <w:t>” shall mean any proposed transfer or sale using a Registration Statement, including a Piggyback Registration.</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78" w:name="page179"/>
    <w:bookmarkEnd w:id="178"/>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Sponsor</w:t>
      </w:r>
      <w:r>
        <w:rPr>
          <w:rFonts w:ascii="Times New Roman" w:cs="Times New Roman" w:eastAsia="Times New Roman" w:hAnsi="Times New Roman"/>
          <w:sz w:val="12"/>
          <w:szCs w:val="12"/>
          <w:color w:val="auto"/>
        </w:rPr>
        <w:t>” shall have the meaning given in the Preamble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Subsequent Shelf Registration Statement</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Section 2.1.2</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Transfer</w:t>
      </w:r>
      <w:r>
        <w:rPr>
          <w:rFonts w:ascii="Times New Roman" w:cs="Times New Roman" w:eastAsia="Times New Roman" w:hAnsi="Times New Roman"/>
          <w:sz w:val="12"/>
          <w:szCs w:val="12"/>
          <w:color w:val="auto"/>
        </w:rPr>
        <w:t>” shall mean the (a) sale or assignment of, offer to sell, contract or agreement to sell, gift, hypothecate, place a lien on, pledge, lend, assign,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and the rules and regulations of the Commission promulgated thereunder, with respect to, any security, (b)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Subject Shares, whether any such transaction or arrangement (or instrument provided for thereunder) would be settled by delivery of Subject Shares or other securities, in cash or otherwise, or (c) public announcement of any intention to effect any transaction specified in clause (a) or (b).</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Underwriter</w:t>
      </w:r>
      <w:r>
        <w:rPr>
          <w:rFonts w:ascii="Times New Roman" w:cs="Times New Roman" w:eastAsia="Times New Roman" w:hAnsi="Times New Roman"/>
          <w:sz w:val="12"/>
          <w:szCs w:val="12"/>
          <w:color w:val="auto"/>
        </w:rPr>
        <w:t>” shall mean a securities dealer who purchases any Registrable Securities as principal in an Underwritten Offering and not as part of such dealer’s market-making activities.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Underwritten Offering</w:t>
      </w:r>
      <w:r>
        <w:rPr>
          <w:rFonts w:ascii="Times New Roman" w:cs="Times New Roman" w:eastAsia="Times New Roman" w:hAnsi="Times New Roman"/>
          <w:sz w:val="12"/>
          <w:szCs w:val="12"/>
          <w:color w:val="auto"/>
        </w:rPr>
        <w:t>” shall mean a Registration in which securities of the Company are sold to an Underwriter in a firm commitment underwriting for distribution to the public.</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Withdrawal Notice</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Section 2.1.6</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REGISTRATIONS AND OFFERINGS</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2.1          </w:t>
      </w:r>
      <w:r>
        <w:rPr>
          <w:rFonts w:ascii="Times New Roman" w:cs="Times New Roman" w:eastAsia="Times New Roman" w:hAnsi="Times New Roman"/>
          <w:sz w:val="12"/>
          <w:szCs w:val="12"/>
          <w:u w:val="single" w:color="auto"/>
          <w:color w:val="auto"/>
        </w:rPr>
        <w:t>  Shelf Registration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2.1.1          </w:t>
      </w:r>
      <w:r>
        <w:rPr>
          <w:rFonts w:ascii="Times New Roman" w:cs="Times New Roman" w:eastAsia="Times New Roman" w:hAnsi="Times New Roman"/>
          <w:sz w:val="12"/>
          <w:szCs w:val="12"/>
          <w:u w:val="single" w:color="auto"/>
          <w:color w:val="auto"/>
        </w:rPr>
        <w:t>  Filing</w:t>
      </w:r>
      <w:r>
        <w:rPr>
          <w:rFonts w:ascii="Times New Roman" w:cs="Times New Roman" w:eastAsia="Times New Roman" w:hAnsi="Times New Roman"/>
          <w:sz w:val="12"/>
          <w:szCs w:val="12"/>
          <w:color w:val="auto"/>
        </w:rPr>
        <w:t>. Within thirty (30) calendar days following the Closing Date (the “</w:t>
      </w:r>
      <w:r>
        <w:rPr>
          <w:rFonts w:ascii="Times New Roman" w:cs="Times New Roman" w:eastAsia="Times New Roman" w:hAnsi="Times New Roman"/>
          <w:sz w:val="12"/>
          <w:szCs w:val="12"/>
          <w:u w:val="single" w:color="auto"/>
          <w:color w:val="auto"/>
        </w:rPr>
        <w:t>Filing Deadline</w:t>
      </w:r>
      <w:r>
        <w:rPr>
          <w:rFonts w:ascii="Times New Roman" w:cs="Times New Roman" w:eastAsia="Times New Roman" w:hAnsi="Times New Roman"/>
          <w:sz w:val="12"/>
          <w:szCs w:val="12"/>
          <w:color w:val="auto"/>
        </w:rPr>
        <w:t>”), the Company shall submit to or file with the Commission a Registration Statement for a Shelf Registration on Form S-1 (the “</w:t>
      </w:r>
      <w:r>
        <w:rPr>
          <w:rFonts w:ascii="Times New Roman" w:cs="Times New Roman" w:eastAsia="Times New Roman" w:hAnsi="Times New Roman"/>
          <w:sz w:val="12"/>
          <w:szCs w:val="12"/>
          <w:u w:val="single" w:color="auto"/>
          <w:color w:val="auto"/>
        </w:rPr>
        <w:t>Form S-1 Shelf</w:t>
      </w:r>
      <w:r>
        <w:rPr>
          <w:rFonts w:ascii="Times New Roman" w:cs="Times New Roman" w:eastAsia="Times New Roman" w:hAnsi="Times New Roman"/>
          <w:sz w:val="12"/>
          <w:szCs w:val="12"/>
          <w:color w:val="auto"/>
        </w:rPr>
        <w:t>”) or a Registration Statement for a Shelf Registration on Form S-3 (the “</w:t>
      </w:r>
      <w:r>
        <w:rPr>
          <w:rFonts w:ascii="Times New Roman" w:cs="Times New Roman" w:eastAsia="Times New Roman" w:hAnsi="Times New Roman"/>
          <w:sz w:val="12"/>
          <w:szCs w:val="12"/>
          <w:u w:val="single" w:color="auto"/>
          <w:color w:val="auto"/>
        </w:rPr>
        <w:t>Form S-3 Shelf</w:t>
      </w:r>
      <w:r>
        <w:rPr>
          <w:rFonts w:ascii="Times New Roman" w:cs="Times New Roman" w:eastAsia="Times New Roman" w:hAnsi="Times New Roman"/>
          <w:sz w:val="12"/>
          <w:szCs w:val="12"/>
          <w:color w:val="auto"/>
        </w:rPr>
        <w:t>”), if the Company is then eligible to use a Form S-3 Shelf, in each case, covering the resale of all the Registrable Securities (determined as of two (2) Business Days prior to such submission or filing) on a delayed or continuous basis as permitted by Rule 415 under the Securities Act (or any successor or similar provision adopted by the Commission then in effect) and shall use its commercially reasonable efforts to have such Shelf declared effective as soon as practicable after the filing thereof, but no later than the earlier of (i) the 60th calendar day (or 90th calendar</w:t>
      </w:r>
    </w:p>
    <w:p>
      <w:pPr>
        <w:jc w:val="both"/>
        <w:spacing w:after="0" w:line="241" w:lineRule="auto"/>
        <w:rPr>
          <w:sz w:val="20"/>
          <w:szCs w:val="20"/>
          <w:color w:val="auto"/>
        </w:rPr>
      </w:pPr>
      <w:r>
        <w:rPr>
          <w:rFonts w:ascii="Times New Roman" w:cs="Times New Roman" w:eastAsia="Times New Roman" w:hAnsi="Times New Roman"/>
          <w:sz w:val="12"/>
          <w:szCs w:val="12"/>
          <w:color w:val="auto"/>
        </w:rPr>
        <w:t>day if the Commission notifies the Company that it will “review” the Registration Statement) following the earlier of (A) the filing of the Registration Statement and (B) the Filing Deadline, and (ii) the 10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Business Day after the date the Company is notified (orally or in writing, whichever is earlier) by the Commission that the Registration Statement will not be “reviewed” or will not be subject to further review by the Commission (such deadline the “</w:t>
      </w:r>
      <w:r>
        <w:rPr>
          <w:rFonts w:ascii="Times New Roman" w:cs="Times New Roman" w:eastAsia="Times New Roman" w:hAnsi="Times New Roman"/>
          <w:sz w:val="12"/>
          <w:szCs w:val="12"/>
          <w:u w:val="single" w:color="auto"/>
          <w:color w:val="auto"/>
        </w:rPr>
        <w:t>Effectiveness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Deadline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that if the Filing Deadline or Effectiveness Deadline falls on a Saturday, Sunday or other day that the Commission is closed for business, the Filing Deadline or Effectiveness Deadline, as the case may be, shall be extended to the next Business Day on which the Commission is open for business; </w:t>
      </w:r>
      <w:r>
        <w:rPr>
          <w:rFonts w:ascii="Times New Roman" w:cs="Times New Roman" w:eastAsia="Times New Roman" w:hAnsi="Times New Roman"/>
          <w:sz w:val="12"/>
          <w:szCs w:val="12"/>
          <w:u w:val="single" w:color="auto"/>
          <w:color w:val="auto"/>
        </w:rPr>
        <w:t>provided further</w:t>
      </w:r>
      <w:r>
        <w:rPr>
          <w:rFonts w:ascii="Times New Roman" w:cs="Times New Roman" w:eastAsia="Times New Roman" w:hAnsi="Times New Roman"/>
          <w:sz w:val="12"/>
          <w:szCs w:val="12"/>
          <w:color w:val="auto"/>
        </w:rPr>
        <w:t>, that if the Commission is closed for operations due to a government shutdown, the Filing Deadline or the Effectiveness Deadline, as the case may be, shall be extended by the same number of Business Days on which the Commission remains closed. Such Shelf shall provide for the resale of the Registrable Securities included therein pursuant to any method or combination of methods legally available (the “</w:t>
      </w:r>
      <w:r>
        <w:rPr>
          <w:rFonts w:ascii="Times New Roman" w:cs="Times New Roman" w:eastAsia="Times New Roman" w:hAnsi="Times New Roman"/>
          <w:sz w:val="12"/>
          <w:szCs w:val="12"/>
          <w:u w:val="single" w:color="auto"/>
          <w:color w:val="auto"/>
        </w:rPr>
        <w:t>Plan of Distribution</w:t>
      </w:r>
      <w:r>
        <w:rPr>
          <w:rFonts w:ascii="Times New Roman" w:cs="Times New Roman" w:eastAsia="Times New Roman" w:hAnsi="Times New Roman"/>
          <w:sz w:val="12"/>
          <w:szCs w:val="12"/>
          <w:color w:val="auto"/>
        </w:rPr>
        <w:t xml:space="preserve">”) to, and requested by, any Holder named therein. The Company shall maintain a Shelf in accordance with the terms hereof, and shall prepare and file with the Commission such amendments, including post-effective amendments, and supplements as may be necessary to keep a Shelf continuously effective, available for use to permit the Holders named therein to sell their Registrable Securities included therein and in compliance with the provisions of the Securities Act until such time as there are no longer any Registrable Securities. In the event the Company files a Form S-1 Shelf, the Company shall use its commercially reasonable efforts to convert the Form S-1 Shelf (and any Subsequent Shelf Registration Statement) to a Form S-3 Shelf as soon as practicable after the Company is eligible to use Form S-3. The Company’s obligation under this </w:t>
      </w:r>
      <w:r>
        <w:rPr>
          <w:rFonts w:ascii="Times New Roman" w:cs="Times New Roman" w:eastAsia="Times New Roman" w:hAnsi="Times New Roman"/>
          <w:sz w:val="12"/>
          <w:szCs w:val="12"/>
          <w:u w:val="single" w:color="auto"/>
          <w:color w:val="auto"/>
        </w:rPr>
        <w:t>Section 2.1.1</w:t>
      </w:r>
      <w:r>
        <w:rPr>
          <w:rFonts w:ascii="Times New Roman" w:cs="Times New Roman" w:eastAsia="Times New Roman" w:hAnsi="Times New Roman"/>
          <w:sz w:val="12"/>
          <w:szCs w:val="12"/>
          <w:color w:val="auto"/>
        </w:rPr>
        <w:t xml:space="preserve">, shall, for the avoidance of doubt, be subject to </w:t>
      </w:r>
      <w:r>
        <w:rPr>
          <w:rFonts w:ascii="Times New Roman" w:cs="Times New Roman" w:eastAsia="Times New Roman" w:hAnsi="Times New Roman"/>
          <w:sz w:val="12"/>
          <w:szCs w:val="12"/>
          <w:u w:val="single" w:color="auto"/>
          <w:color w:val="auto"/>
        </w:rPr>
        <w:t>Section 3.4</w:t>
      </w:r>
      <w:r>
        <w:rPr>
          <w:rFonts w:ascii="Times New Roman" w:cs="Times New Roman" w:eastAsia="Times New Roman" w:hAnsi="Times New Roman"/>
          <w:sz w:val="12"/>
          <w:szCs w:val="12"/>
          <w:color w:val="auto"/>
        </w:rPr>
        <w:t>.</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79" w:name="page180"/>
    <w:bookmarkEnd w:id="179"/>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2.1.2          </w:t>
      </w:r>
      <w:r>
        <w:rPr>
          <w:rFonts w:ascii="Times New Roman" w:cs="Times New Roman" w:eastAsia="Times New Roman" w:hAnsi="Times New Roman"/>
          <w:sz w:val="12"/>
          <w:szCs w:val="12"/>
          <w:u w:val="single" w:color="auto"/>
          <w:color w:val="auto"/>
        </w:rPr>
        <w:t>  Subsequent Shelf Registration</w:t>
      </w:r>
      <w:r>
        <w:rPr>
          <w:rFonts w:ascii="Times New Roman" w:cs="Times New Roman" w:eastAsia="Times New Roman" w:hAnsi="Times New Roman"/>
          <w:sz w:val="12"/>
          <w:szCs w:val="12"/>
          <w:color w:val="auto"/>
        </w:rPr>
        <w:t xml:space="preserve">. If any Shelf ceases to be effective under the Securities Act for any reason at any time while Registrable Securities are still outstanding, the Company shall, subject to </w:t>
      </w:r>
      <w:r>
        <w:rPr>
          <w:rFonts w:ascii="Times New Roman" w:cs="Times New Roman" w:eastAsia="Times New Roman" w:hAnsi="Times New Roman"/>
          <w:sz w:val="12"/>
          <w:szCs w:val="12"/>
          <w:u w:val="single" w:color="auto"/>
          <w:color w:val="auto"/>
        </w:rPr>
        <w:t>Section 3.4</w:t>
      </w:r>
      <w:r>
        <w:rPr>
          <w:rFonts w:ascii="Times New Roman" w:cs="Times New Roman" w:eastAsia="Times New Roman" w:hAnsi="Times New Roman"/>
          <w:sz w:val="12"/>
          <w:szCs w:val="12"/>
          <w:color w:val="auto"/>
        </w:rPr>
        <w:t>, use its commercially reasonable efforts to as promptly as is reasonably practicable cause such Shelf to again become effective under the Securities Act (including using its commercially reasonable efforts to obtain the prompt withdrawal of any order suspending the effectiveness of such Shelf), and shall use its commercially reasonable efforts to as promptly as is reasonably practicable amend such Shelf in a manner reasonably expected to result in the withdrawal of any order suspending the effectiveness of such Shelf or file an additional registration statement as a Shelf Registration (a “</w:t>
      </w:r>
      <w:r>
        <w:rPr>
          <w:rFonts w:ascii="Times New Roman" w:cs="Times New Roman" w:eastAsia="Times New Roman" w:hAnsi="Times New Roman"/>
          <w:sz w:val="12"/>
          <w:szCs w:val="12"/>
          <w:u w:val="single" w:color="auto"/>
          <w:color w:val="auto"/>
        </w:rPr>
        <w:t>Subsequent Shelf Registration Statement</w:t>
      </w:r>
      <w:r>
        <w:rPr>
          <w:rFonts w:ascii="Times New Roman" w:cs="Times New Roman" w:eastAsia="Times New Roman" w:hAnsi="Times New Roman"/>
          <w:sz w:val="12"/>
          <w:szCs w:val="12"/>
          <w:color w:val="auto"/>
        </w:rPr>
        <w:t xml:space="preserve">”) registering the resale of all Registrable Securities (determined as of two (2) Business Days prior to such filing), and pursuant to the Plan of Distribution. If a Subsequent Shelf Registration Statement is filed, the Company shall use its commercially reasonable efforts to (i) cause such Subsequent Shelf Registration Statement to become effective under the Securities Act as promptly as is reasonably practicable after the filing thereof (it being agreed that the Subsequent Shelf Registration Statement shall be an automatic shelf registration statement (as defined in Rule 405 promulgated under the Securities Act) if the Company is a well-known seasoned issuer (as defined in Rule 405 promulgated under the Securities Act) at the most recent applicable eligibility determination date) and (ii) keep such Subsequent Shelf Registration Statement continuously effective, available for use to permit the Holders named therein to sell their Registrable Securities included therein and in compliance with the provisions of the Securities Act until such time as there are no longer any Registrable Securities. Any such Subsequent Shelf Registration Statement shall be on Form S-3 to the extent that the Company is eligible to use such form. Otherwise, such Subsequent Shelf Registration Statement shall be on another appropriate form. The Company’s obligation under this </w:t>
      </w:r>
      <w:r>
        <w:rPr>
          <w:rFonts w:ascii="Times New Roman" w:cs="Times New Roman" w:eastAsia="Times New Roman" w:hAnsi="Times New Roman"/>
          <w:sz w:val="12"/>
          <w:szCs w:val="12"/>
          <w:u w:val="single" w:color="auto"/>
          <w:color w:val="auto"/>
        </w:rPr>
        <w:t>Section 2.1.2</w:t>
      </w:r>
      <w:r>
        <w:rPr>
          <w:rFonts w:ascii="Times New Roman" w:cs="Times New Roman" w:eastAsia="Times New Roman" w:hAnsi="Times New Roman"/>
          <w:sz w:val="12"/>
          <w:szCs w:val="12"/>
          <w:color w:val="auto"/>
        </w:rPr>
        <w:t xml:space="preserve">, shall, for the avoidance of doubt, be subject to </w:t>
      </w:r>
      <w:r>
        <w:rPr>
          <w:rFonts w:ascii="Times New Roman" w:cs="Times New Roman" w:eastAsia="Times New Roman" w:hAnsi="Times New Roman"/>
          <w:sz w:val="12"/>
          <w:szCs w:val="12"/>
          <w:u w:val="single" w:color="auto"/>
          <w:color w:val="auto"/>
        </w:rPr>
        <w:t>Section 3.4</w:t>
      </w:r>
      <w:r>
        <w:rPr>
          <w:rFonts w:ascii="Times New Roman" w:cs="Times New Roman" w:eastAsia="Times New Roman" w:hAnsi="Times New Roman"/>
          <w:sz w:val="12"/>
          <w:szCs w:val="12"/>
          <w:color w:val="auto"/>
        </w:rPr>
        <w:t>.</w:t>
      </w:r>
    </w:p>
    <w:p>
      <w:pPr>
        <w:spacing w:after="0" w:line="129"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2.1.3          </w:t>
      </w:r>
      <w:r>
        <w:rPr>
          <w:rFonts w:ascii="Times New Roman" w:cs="Times New Roman" w:eastAsia="Times New Roman" w:hAnsi="Times New Roman"/>
          <w:sz w:val="12"/>
          <w:szCs w:val="12"/>
          <w:u w:val="single" w:color="auto"/>
          <w:color w:val="auto"/>
        </w:rPr>
        <w:t>  Additional Registration Statement(s)</w:t>
      </w:r>
      <w:r>
        <w:rPr>
          <w:rFonts w:ascii="Times New Roman" w:cs="Times New Roman" w:eastAsia="Times New Roman" w:hAnsi="Times New Roman"/>
          <w:sz w:val="12"/>
          <w:szCs w:val="12"/>
          <w:color w:val="auto"/>
        </w:rPr>
        <w:t xml:space="preserve">. Subject to </w:t>
      </w:r>
      <w:r>
        <w:rPr>
          <w:rFonts w:ascii="Times New Roman" w:cs="Times New Roman" w:eastAsia="Times New Roman" w:hAnsi="Times New Roman"/>
          <w:sz w:val="12"/>
          <w:szCs w:val="12"/>
          <w:u w:val="single" w:color="auto"/>
          <w:color w:val="auto"/>
        </w:rPr>
        <w:t>Section 3.4</w:t>
      </w:r>
      <w:r>
        <w:rPr>
          <w:rFonts w:ascii="Times New Roman" w:cs="Times New Roman" w:eastAsia="Times New Roman" w:hAnsi="Times New Roman"/>
          <w:sz w:val="12"/>
          <w:szCs w:val="12"/>
          <w:color w:val="auto"/>
        </w:rPr>
        <w:t xml:space="preserve">, in the event that any Holder holds Registrable Securities that are not registered for resale on a delayed or continuous basis, the Company, upon written request of such Holder at any time beginning 30 days prior to the expiration of the Lock-Up Period (if applicable), shall promptly use its commercially reasonable efforts to cause the resale of such Registrable Securities to be covered by filing a Subsequent Shelf Registration Statement and cause the same to become effective as soon as practicable after such filing and such Subsequent Shelf Registration Statement shall be subject to the terms hereof;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Company shall only be required to cause such additional Registrable Securities to be so covered twice per calendar year for each of (i) the Sponsor and the Cartesian Existing Investors, on the one hand, and (ii) the Factorial Holders, on the other hand.</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80" w:name="page181"/>
    <w:bookmarkEnd w:id="180"/>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2.1.4            Requests for Underwritten Offerings. Subject to Section 3.4, at any time and from time to time and beginning 30 days prior to the expiration of the Lock-Up Period (if applicable), the Sponsor (inclusive of its affiliated Non-Redemption Holders) or a Factorial Holder (any such Holder being in such case, a “</w:t>
      </w:r>
      <w:r>
        <w:rPr>
          <w:rFonts w:ascii="Times New Roman" w:cs="Times New Roman" w:eastAsia="Times New Roman" w:hAnsi="Times New Roman"/>
          <w:sz w:val="12"/>
          <w:szCs w:val="12"/>
          <w:u w:val="single" w:color="auto"/>
          <w:color w:val="auto"/>
        </w:rPr>
        <w:t>Demanding Holder</w:t>
      </w:r>
      <w:r>
        <w:rPr>
          <w:rFonts w:ascii="Times New Roman" w:cs="Times New Roman" w:eastAsia="Times New Roman" w:hAnsi="Times New Roman"/>
          <w:sz w:val="12"/>
          <w:szCs w:val="12"/>
          <w:color w:val="auto"/>
        </w:rPr>
        <w:t>”) may request to sell all or any portion of its Registrable Securities in an Underwritten Offering that is registered pursuant to the Shelf; provided that the Company shall only be obligated to effect an Underwritten Offering following the expiration of the Lock-Up Period (if applicable) if such offering shall include Registrable Securities proposed to be sold by the Demanding Holder, either individually or together with other Demanding Holders, with a total offering price reasonably expected to exceed, in the aggregate, $[•] million (the “</w:t>
      </w:r>
      <w:r>
        <w:rPr>
          <w:rFonts w:ascii="Times New Roman" w:cs="Times New Roman" w:eastAsia="Times New Roman" w:hAnsi="Times New Roman"/>
          <w:sz w:val="12"/>
          <w:szCs w:val="12"/>
          <w:u w:val="single" w:color="auto"/>
          <w:color w:val="auto"/>
        </w:rPr>
        <w:t>Minimum Takedown Threshold</w:t>
      </w:r>
      <w:r>
        <w:rPr>
          <w:rFonts w:ascii="Times New Roman" w:cs="Times New Roman" w:eastAsia="Times New Roman" w:hAnsi="Times New Roman"/>
          <w:sz w:val="12"/>
          <w:szCs w:val="12"/>
          <w:color w:val="auto"/>
        </w:rPr>
        <w:t>”). All requests for Underwritten Offerings shall be made by giving written notice to the Company, which shall specify the approximate number of Registrable Securities proposed to be sold in the Underwritten Offering. Subject to Section 2.4.4, the initial Demanding Holder shall have the right to select the Underwriters for such offering (which shall consist of one or more reputable nationally recognized investment banks), subject to the Company’s prior approval (which shall not be unreasonably withheld, conditioned or delayed). The (i) Sponsor and (ii) Factorial Holders, may each demand not more than [•] Underwritten Offerings pursuant to this Section 2.1.4 in any [•] month period, for an aggregate of not more than [•] Underwritten Offerings pursuant to this Section 2.1.4 in any [•] month period. Notwithstanding anything to the contrary in this Agreement, the Company may effect any Underwritten Offering pursuant to any then effective Registration Statement, including a Form S-3, that is then available for such offering.</w:t>
      </w:r>
    </w:p>
    <w:p>
      <w:pPr>
        <w:spacing w:after="0" w:line="126" w:lineRule="exact"/>
        <w:rPr>
          <w:sz w:val="20"/>
          <w:szCs w:val="20"/>
          <w:color w:val="auto"/>
        </w:rPr>
      </w:pPr>
    </w:p>
    <w:p>
      <w:pPr>
        <w:jc w:val="both"/>
        <w:ind w:firstLine="864"/>
        <w:spacing w:after="0" w:line="252" w:lineRule="auto"/>
        <w:rPr>
          <w:sz w:val="20"/>
          <w:szCs w:val="20"/>
          <w:color w:val="auto"/>
        </w:rPr>
      </w:pPr>
      <w:r>
        <w:rPr>
          <w:rFonts w:ascii="Times New Roman" w:cs="Times New Roman" w:eastAsia="Times New Roman" w:hAnsi="Times New Roman"/>
          <w:sz w:val="12"/>
          <w:szCs w:val="12"/>
          <w:color w:val="auto"/>
        </w:rPr>
        <w:t>2.1.5          </w:t>
      </w:r>
      <w:r>
        <w:rPr>
          <w:rFonts w:ascii="Times New Roman" w:cs="Times New Roman" w:eastAsia="Times New Roman" w:hAnsi="Times New Roman"/>
          <w:sz w:val="12"/>
          <w:szCs w:val="12"/>
          <w:u w:val="single" w:color="auto"/>
          <w:color w:val="auto"/>
        </w:rPr>
        <w:t>  Reduction of Underwritten Offering</w:t>
      </w:r>
      <w:r>
        <w:rPr>
          <w:rFonts w:ascii="Times New Roman" w:cs="Times New Roman" w:eastAsia="Times New Roman" w:hAnsi="Times New Roman"/>
          <w:sz w:val="12"/>
          <w:szCs w:val="12"/>
          <w:color w:val="auto"/>
        </w:rPr>
        <w:t>. If the managing Underwriter or Underwriters in an Underwritten Offering, in good faith, advises the Company, the Demanding Holders and the Holders requesting piggy-back rights pursuant to this Agreement with respect to such Underwritten Offering (such Holders, the “</w:t>
      </w:r>
      <w:r>
        <w:rPr>
          <w:rFonts w:ascii="Times New Roman" w:cs="Times New Roman" w:eastAsia="Times New Roman" w:hAnsi="Times New Roman"/>
          <w:sz w:val="12"/>
          <w:szCs w:val="12"/>
          <w:u w:val="single" w:color="auto"/>
          <w:color w:val="auto"/>
        </w:rPr>
        <w:t>Requesting Holders</w:t>
      </w:r>
      <w:r>
        <w:rPr>
          <w:rFonts w:ascii="Times New Roman" w:cs="Times New Roman" w:eastAsia="Times New Roman" w:hAnsi="Times New Roman"/>
          <w:sz w:val="12"/>
          <w:szCs w:val="12"/>
          <w:color w:val="auto"/>
        </w:rPr>
        <w:t>”) (if any) in writing that the dollar amount or number of Registrable Securities that the Demanding Holders and the Requesting Holders (if any) desire to sell, taken together with all other shares of Series A Common Stock or other equity securities that the Company desires to sell and all other shares of Series A Common Stock or other equity securities, if any, that have been requested to be sold in such Underwritten Offering pursuant to separate written contractual piggy-back registration rights held by any other stockholders,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 w:cs="Times New Roman" w:eastAsia="Times New Roman" w:hAnsi="Times New Roman"/>
          <w:sz w:val="12"/>
          <w:szCs w:val="12"/>
          <w:u w:val="single" w:color="auto"/>
          <w:color w:val="auto"/>
        </w:rPr>
        <w:t>Maximum Number of Securities</w:t>
      </w:r>
      <w:r>
        <w:rPr>
          <w:rFonts w:ascii="Times New Roman" w:cs="Times New Roman" w:eastAsia="Times New Roman" w:hAnsi="Times New Roman"/>
          <w:sz w:val="12"/>
          <w:szCs w:val="12"/>
          <w:color w:val="auto"/>
        </w:rPr>
        <w:t>”), then the Company shall include in such Underwritten Offering, before including any shares of Series A Common Stock or other equity securities proposed to be sold by Company or by other holders of Series A Common Stock or other equity securities, (i) first, the Registrable Securities of the Demanding Holders that can be sold without exceeding the Maximum Number of Securities (pro rata based on the respective number of Registrable Securities that each Demanding Holder has requested be included in such Underwritten Offering and the aggregate number of Registrable Securities that all of the Demanding Holders have requested be included in such Underwritten Offering), (ii) second, to the extent that the Maximum Number of Securities has not been reached under the foregoing clause (i), the Registrable Securities of the Requesting Holders (if any) (pro rata based on the respective number of Registrable Securities that each Requesting Holder (if any) has requested be included in such Underwritten Offering and the aggregate number of Registrable Securities that all of the Requesting Holders have requested be included in such Underwritten Offering) that can be sold without exceeding the Maximum Number of Securities, (iii) third, to the extent that the Maximum Number of Securities has not been reached under the foregoing clauses (i) and (ii), the shares of Series A Common Stock or other equity securities that the Company desires to sell, which can be sold without exceeding the Maximum Number of Securities, and (iv) fourth, to the extent that the Maximum Number of Securities has not been reached under the foregoing clauses (i), (ii) and (iii), the shares of Series A Common Stock or other equity securities of persons other than Holders of Registrable Securities that the Company is obligated to register in a Registration pursuant to separate written contractual arrangements with such persons that can be sold without exceeding the Maximum Number of Securities.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81" w:name="page182"/>
    <w:bookmarkEnd w:id="181"/>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2.1.6          </w:t>
      </w:r>
      <w:r>
        <w:rPr>
          <w:rFonts w:ascii="Times New Roman" w:cs="Times New Roman" w:eastAsia="Times New Roman" w:hAnsi="Times New Roman"/>
          <w:sz w:val="12"/>
          <w:szCs w:val="12"/>
          <w:u w:val="single" w:color="auto"/>
          <w:color w:val="auto"/>
        </w:rPr>
        <w:t>  Withdrawal</w:t>
      </w:r>
      <w:r>
        <w:rPr>
          <w:rFonts w:ascii="Times New Roman" w:cs="Times New Roman" w:eastAsia="Times New Roman" w:hAnsi="Times New Roman"/>
          <w:sz w:val="12"/>
          <w:szCs w:val="12"/>
          <w:color w:val="auto"/>
        </w:rPr>
        <w:t>. Prior to the filing of the applicable “red herring” prospectus or prospectus supplement used for marketing such Underwritten Offering, a majority-in-interest of the Demanding Holders initiating an Underwritten Offering shall have the right to withdraw from such Underwritten Offering for any or no reason whatsoever upon written notification (a “</w:t>
      </w:r>
      <w:r>
        <w:rPr>
          <w:rFonts w:ascii="Times New Roman" w:cs="Times New Roman" w:eastAsia="Times New Roman" w:hAnsi="Times New Roman"/>
          <w:sz w:val="12"/>
          <w:szCs w:val="12"/>
          <w:u w:val="single" w:color="auto"/>
          <w:color w:val="auto"/>
        </w:rPr>
        <w:t>Withdrawal Notice</w:t>
      </w:r>
      <w:r>
        <w:rPr>
          <w:rFonts w:ascii="Times New Roman" w:cs="Times New Roman" w:eastAsia="Times New Roman" w:hAnsi="Times New Roman"/>
          <w:sz w:val="12"/>
          <w:szCs w:val="12"/>
          <w:color w:val="auto"/>
        </w:rPr>
        <w:t xml:space="preserve">”) to the Company and the Underwriter or Underwriters (if any) of their intention to withdraw from such Underwritten Offering;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Sponsor or a Factorial Holder may elect to have the Company continue an Underwritten Offering if the Minimum Takedown Threshold would still be satisfied by the Registrable Securities proposed to be sold in the Underwritten Offering by the Sponsor, the Factorial Holders or any of their respective Permitted Transferees, as applicable. If withdrawn, a demand for an Underwritten Offering shall constitute a demand for an Underwritten Offering by the withdrawing Demanding Holder for purposes of </w:t>
      </w:r>
      <w:r>
        <w:rPr>
          <w:rFonts w:ascii="Times New Roman" w:cs="Times New Roman" w:eastAsia="Times New Roman" w:hAnsi="Times New Roman"/>
          <w:sz w:val="12"/>
          <w:szCs w:val="12"/>
          <w:u w:val="single" w:color="auto"/>
          <w:color w:val="auto"/>
        </w:rPr>
        <w:t>Section 2.1.4</w:t>
      </w:r>
      <w:r>
        <w:rPr>
          <w:rFonts w:ascii="Times New Roman" w:cs="Times New Roman" w:eastAsia="Times New Roman" w:hAnsi="Times New Roman"/>
          <w:sz w:val="12"/>
          <w:szCs w:val="12"/>
          <w:color w:val="auto"/>
        </w:rPr>
        <w:t xml:space="preserve">, unless such Demanding Holder reimburses the Company for all Registration Expenses with respect to such Underwritten Offering (or, if there is more than one Demanding Holder, a pro rata portion of such Registration Expenses based on the respective number of Registrable Securities that each Demanding Holder has requested be included in such Underwritten Offering);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if the Sponsor or a Factorial Holder elects to continue an Underwritten Offering pursuant to the proviso in the immediately preceding sentence, such Underwritten Offering shall instead count as an Underwritten Offering demanded by the Sponsor or such Factorial Holder, as applicable, for purposes of </w:t>
      </w:r>
      <w:r>
        <w:rPr>
          <w:rFonts w:ascii="Times New Roman" w:cs="Times New Roman" w:eastAsia="Times New Roman" w:hAnsi="Times New Roman"/>
          <w:sz w:val="12"/>
          <w:szCs w:val="12"/>
          <w:u w:val="single" w:color="auto"/>
          <w:color w:val="auto"/>
        </w:rPr>
        <w:t>Section 2.1.4</w:t>
      </w:r>
      <w:r>
        <w:rPr>
          <w:rFonts w:ascii="Times New Roman" w:cs="Times New Roman" w:eastAsia="Times New Roman" w:hAnsi="Times New Roman"/>
          <w:sz w:val="12"/>
          <w:szCs w:val="12"/>
          <w:color w:val="auto"/>
        </w:rPr>
        <w:t xml:space="preserve">. Following the receipt of any Withdrawal Notice, the Company shall promptly forward such Withdrawal Notice to any other Holders that had elected to participate in such Underwritten Offering. Notwithstanding anything to the contrary in this Agreement, the Company shall be responsible for the Registration Expenses incurred in connection with an Underwritten Offering prior to its withdrawal under this </w:t>
      </w:r>
      <w:r>
        <w:rPr>
          <w:rFonts w:ascii="Times New Roman" w:cs="Times New Roman" w:eastAsia="Times New Roman" w:hAnsi="Times New Roman"/>
          <w:sz w:val="12"/>
          <w:szCs w:val="12"/>
          <w:u w:val="single" w:color="auto"/>
          <w:color w:val="auto"/>
        </w:rPr>
        <w:t>Section 2.1.6</w:t>
      </w:r>
      <w:r>
        <w:rPr>
          <w:rFonts w:ascii="Times New Roman" w:cs="Times New Roman" w:eastAsia="Times New Roman" w:hAnsi="Times New Roman"/>
          <w:sz w:val="12"/>
          <w:szCs w:val="12"/>
          <w:color w:val="auto"/>
        </w:rPr>
        <w:t xml:space="preserve">, other than if a Demanding Holder elects to pay such Registration Expenses pursuant to the second sentence of this </w:t>
      </w:r>
      <w:r>
        <w:rPr>
          <w:rFonts w:ascii="Times New Roman" w:cs="Times New Roman" w:eastAsia="Times New Roman" w:hAnsi="Times New Roman"/>
          <w:sz w:val="12"/>
          <w:szCs w:val="12"/>
          <w:u w:val="single" w:color="auto"/>
          <w:color w:val="auto"/>
        </w:rPr>
        <w:t>Section 2.1.6</w:t>
      </w:r>
      <w:r>
        <w:rPr>
          <w:rFonts w:ascii="Times New Roman" w:cs="Times New Roman" w:eastAsia="Times New Roman" w:hAnsi="Times New Roman"/>
          <w:sz w:val="12"/>
          <w:szCs w:val="12"/>
          <w:color w:val="auto"/>
        </w:rPr>
        <w:t>.</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2.2          </w:t>
      </w:r>
      <w:r>
        <w:rPr>
          <w:rFonts w:ascii="Times New Roman" w:cs="Times New Roman" w:eastAsia="Times New Roman" w:hAnsi="Times New Roman"/>
          <w:sz w:val="12"/>
          <w:szCs w:val="12"/>
          <w:u w:val="single" w:color="auto"/>
          <w:color w:val="auto"/>
        </w:rPr>
        <w:t>  Piggyback Registration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2" w:lineRule="auto"/>
        <w:rPr>
          <w:sz w:val="20"/>
          <w:szCs w:val="20"/>
          <w:color w:val="auto"/>
        </w:rPr>
      </w:pPr>
      <w:r>
        <w:rPr>
          <w:rFonts w:ascii="Times New Roman" w:cs="Times New Roman" w:eastAsia="Times New Roman" w:hAnsi="Times New Roman"/>
          <w:sz w:val="12"/>
          <w:szCs w:val="12"/>
          <w:color w:val="auto"/>
        </w:rPr>
        <w:t>2.2.1          </w:t>
      </w:r>
      <w:r>
        <w:rPr>
          <w:rFonts w:ascii="Times New Roman" w:cs="Times New Roman" w:eastAsia="Times New Roman" w:hAnsi="Times New Roman"/>
          <w:sz w:val="12"/>
          <w:szCs w:val="12"/>
          <w:u w:val="single" w:color="auto"/>
          <w:color w:val="auto"/>
        </w:rPr>
        <w:t>  Piggyback Rights</w:t>
      </w:r>
      <w:r>
        <w:rPr>
          <w:rFonts w:ascii="Times New Roman" w:cs="Times New Roman" w:eastAsia="Times New Roman" w:hAnsi="Times New Roman"/>
          <w:sz w:val="12"/>
          <w:szCs w:val="12"/>
          <w:color w:val="auto"/>
        </w:rPr>
        <w:t xml:space="preserve">. Subject to </w:t>
      </w:r>
      <w:r>
        <w:rPr>
          <w:rFonts w:ascii="Times New Roman" w:cs="Times New Roman" w:eastAsia="Times New Roman" w:hAnsi="Times New Roman"/>
          <w:sz w:val="12"/>
          <w:szCs w:val="12"/>
          <w:u w:val="single" w:color="auto"/>
          <w:color w:val="auto"/>
        </w:rPr>
        <w:t>Section 2.4.3</w:t>
      </w:r>
      <w:r>
        <w:rPr>
          <w:rFonts w:ascii="Times New Roman" w:cs="Times New Roman" w:eastAsia="Times New Roman" w:hAnsi="Times New Roman"/>
          <w:sz w:val="12"/>
          <w:szCs w:val="12"/>
          <w:color w:val="auto"/>
        </w:rPr>
        <w:t xml:space="preserve">, if any Holder proposes to conduct a registered offering of, or if the Company proposes to file a resale Registration Statement under the Securities Act with respect to the Registration of, equity securities, or securities or other obligations exercisable or exchangeable for, or convertible into equity securities, (including, without limitation, an Underwritten Offering pursuant to </w:t>
      </w:r>
      <w:r>
        <w:rPr>
          <w:rFonts w:ascii="Times New Roman" w:cs="Times New Roman" w:eastAsia="Times New Roman" w:hAnsi="Times New Roman"/>
          <w:sz w:val="12"/>
          <w:szCs w:val="12"/>
          <w:u w:val="single" w:color="auto"/>
          <w:color w:val="auto"/>
        </w:rPr>
        <w:t>Section 2.1</w:t>
      </w:r>
      <w:r>
        <w:rPr>
          <w:rFonts w:ascii="Times New Roman" w:cs="Times New Roman" w:eastAsia="Times New Roman" w:hAnsi="Times New Roman"/>
          <w:sz w:val="12"/>
          <w:szCs w:val="12"/>
          <w:color w:val="auto"/>
        </w:rPr>
        <w:t>, if such Underwritten Offering is for the resale of Registrable Securities by any Holder), other than a Registration Statement (or any registered offering with respect thereto) (i) filed in connection with any employee stock option or other benefit plan, (ii) pursuant to a Registration Statement on Form S-4 (or similar form that relates to a transaction subject to Rule 145 under the Securities Act or any successor rule thereto), (iii) for an offering of debt that is convertible into equity securities of the Company, (iv) for a dividend reinvestment plan, (v) for an exchange offer or offering of securities solely to the Company’s existing securityholders, (vi) for a rights offering, (vii) for an equity line of credit or an at-the-market offering of securities, (viii) a Block Trade, (ix) by the Company for any primary offering of the Company’s securities, or (x) an Other Coordinated Offering, then the Company shall give written notice of such proposed offering to all of the Holders of Registrable Securities as soon as practicable but not less than ten (10) days before the anticipated filing date of such Registration Statement or, in the case of an Underwritten Offering pursuant to a Shelf Registration, the applicable “red herring” prospectus or prospectus supplement used for marketing such offering,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include in such registered offering such number of Registrable Securities as such Holders may request in writing within five (5) days after receipt of such written notice (such registered offering, a “</w:t>
      </w:r>
      <w:r>
        <w:rPr>
          <w:rFonts w:ascii="Times New Roman" w:cs="Times New Roman" w:eastAsia="Times New Roman" w:hAnsi="Times New Roman"/>
          <w:sz w:val="12"/>
          <w:szCs w:val="12"/>
          <w:u w:val="single" w:color="auto"/>
          <w:color w:val="auto"/>
        </w:rPr>
        <w:t>Piggyback Registration</w:t>
      </w:r>
      <w:r>
        <w:rPr>
          <w:rFonts w:ascii="Times New Roman" w:cs="Times New Roman" w:eastAsia="Times New Roman" w:hAnsi="Times New Roman"/>
          <w:sz w:val="12"/>
          <w:szCs w:val="12"/>
          <w:color w:val="auto"/>
        </w:rPr>
        <w:t xml:space="preserve">”); provided, in the case of an “overnight” or “bought” offering, such requests must be made by the Holders within two (2) Business Days after delivery of any such notice by the Company; provided further that if the Company has been advised in writing by the managing Underwriter(s) that the inclusion of Registrable Securities for sale for the benefit of the Holders will have an adverse effect on the price, timing, or distribution of the Series A Common Stock in an Underwritten Offering, then (1) if no Registrable Securities can be included in the Underwritten Offering in the opinion of the managing Underwriter(s), the Company shall not be required to offer such opportunity to such Holders or (2) if any Registrable Securities can be included in the Underwritten Offering in the opinion of the managing Underwriter(s), then the amount of Registrable Securities to be offered for the accounts of Holders shall be determined based on the provisions of </w:t>
      </w:r>
      <w:r>
        <w:rPr>
          <w:rFonts w:ascii="Times New Roman" w:cs="Times New Roman" w:eastAsia="Times New Roman" w:hAnsi="Times New Roman"/>
          <w:sz w:val="12"/>
          <w:szCs w:val="12"/>
          <w:u w:val="single" w:color="auto"/>
          <w:color w:val="auto"/>
        </w:rPr>
        <w:t>Section 2.2.2</w:t>
      </w:r>
      <w:r>
        <w:rPr>
          <w:rFonts w:ascii="Times New Roman" w:cs="Times New Roman" w:eastAsia="Times New Roman" w:hAnsi="Times New Roman"/>
          <w:sz w:val="12"/>
          <w:szCs w:val="12"/>
          <w:color w:val="auto"/>
        </w:rPr>
        <w:t xml:space="preserve">. Subject to the foregoing proviso and to </w:t>
      </w:r>
      <w:r>
        <w:rPr>
          <w:rFonts w:ascii="Times New Roman" w:cs="Times New Roman" w:eastAsia="Times New Roman" w:hAnsi="Times New Roman"/>
          <w:sz w:val="12"/>
          <w:szCs w:val="12"/>
          <w:u w:val="single" w:color="auto"/>
          <w:color w:val="auto"/>
        </w:rPr>
        <w:t>Section 2.2.2</w:t>
      </w:r>
      <w:r>
        <w:rPr>
          <w:rFonts w:ascii="Times New Roman" w:cs="Times New Roman" w:eastAsia="Times New Roman" w:hAnsi="Times New Roman"/>
          <w:sz w:val="12"/>
          <w:szCs w:val="12"/>
          <w:color w:val="auto"/>
        </w:rPr>
        <w:t xml:space="preserve">, the Company shall, in good faith, cause such Registrable Securities to be included in such Piggyback Registration and, if applicable, shall use its commercially reasonable efforts to cause the managing Underwriter or Underwriters of such Piggyback Registration to permit the Registrable Securities requested by the Holders pursuant to this </w:t>
      </w:r>
      <w:r>
        <w:rPr>
          <w:rFonts w:ascii="Times New Roman" w:cs="Times New Roman" w:eastAsia="Times New Roman" w:hAnsi="Times New Roman"/>
          <w:sz w:val="12"/>
          <w:szCs w:val="12"/>
          <w:u w:val="single" w:color="auto"/>
          <w:color w:val="auto"/>
        </w:rPr>
        <w:t>Section 2.2.1</w:t>
      </w:r>
      <w:r>
        <w:rPr>
          <w:rFonts w:ascii="Times New Roman" w:cs="Times New Roman" w:eastAsia="Times New Roman" w:hAnsi="Times New Roman"/>
          <w:sz w:val="12"/>
          <w:szCs w:val="12"/>
          <w:color w:val="auto"/>
        </w:rPr>
        <w:t xml:space="preserve"> to be included therein on the same terms and conditions as any similar securities of the Company included in such registered offering and to permit the sale or other disposition of such Registrable Securities in accordance with the intended method(s) of distribution thereof. The inclusion of any Holder’s Registrable Securities in a Piggyback Registration shall be subject to such Holder agreement to enter into an underwriting agreement in customary form with the Underwriter(s) selected for such Underwritten Offering.</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82" w:name="page183"/>
    <w:bookmarkEnd w:id="182"/>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2.2.2          </w:t>
      </w:r>
      <w:r>
        <w:rPr>
          <w:rFonts w:ascii="Times New Roman" w:cs="Times New Roman" w:eastAsia="Times New Roman" w:hAnsi="Times New Roman"/>
          <w:sz w:val="12"/>
          <w:szCs w:val="12"/>
          <w:u w:val="single" w:color="auto"/>
          <w:color w:val="auto"/>
        </w:rPr>
        <w:t>  Reduction of Piggyback Registration</w:t>
      </w:r>
      <w:r>
        <w:rPr>
          <w:rFonts w:ascii="Times New Roman" w:cs="Times New Roman" w:eastAsia="Times New Roman" w:hAnsi="Times New Roman"/>
          <w:sz w:val="12"/>
          <w:szCs w:val="12"/>
          <w:color w:val="auto"/>
        </w:rPr>
        <w:t xml:space="preserve">. If the managing Underwriter or Underwriters in an Underwritten Offering that is to be a Piggyback Registration, in good faith, advises the Company and the Holders of Registrable Securities participating in the Piggyback Registration in writing that the dollar amount or number of shares of Series A Common Stock or other equity securities that the Company desires to sell, taken together with (i) the shares of Series A Common Stock or other equity securities, if any, as to which Registration or a registered offering has been demanded pursuant to separate written contractual arrangements with persons or entities other than the Holders of Registrable Securities hereunder, (ii) the Registrable Securities as to which registration has been requested pursuant to </w:t>
      </w:r>
      <w:r>
        <w:rPr>
          <w:rFonts w:ascii="Times New Roman" w:cs="Times New Roman" w:eastAsia="Times New Roman" w:hAnsi="Times New Roman"/>
          <w:sz w:val="12"/>
          <w:szCs w:val="12"/>
          <w:u w:val="single" w:color="auto"/>
          <w:color w:val="auto"/>
        </w:rPr>
        <w:t>Section 2.2</w:t>
      </w:r>
      <w:r>
        <w:rPr>
          <w:rFonts w:ascii="Times New Roman" w:cs="Times New Roman" w:eastAsia="Times New Roman" w:hAnsi="Times New Roman"/>
          <w:sz w:val="12"/>
          <w:szCs w:val="12"/>
          <w:color w:val="auto"/>
        </w:rPr>
        <w:t xml:space="preserve"> hereof, and (iii) the shares of Series A Common Stock or other equity securities, if any, as to which Registration or a registered offering has been requested pursuant to separate written contractual piggy-back registration rights of persons or entities other than the Holders of Registrable Securities hereunder, exceeds the Maximum Number of Securities, then:</w:t>
      </w:r>
    </w:p>
    <w:p>
      <w:pPr>
        <w:spacing w:after="0" w:line="125" w:lineRule="exact"/>
        <w:rPr>
          <w:sz w:val="20"/>
          <w:szCs w:val="20"/>
          <w:color w:val="auto"/>
        </w:rPr>
      </w:pPr>
    </w:p>
    <w:p>
      <w:pPr>
        <w:jc w:val="both"/>
        <w:ind w:left="8" w:firstLine="1296"/>
        <w:spacing w:after="0" w:line="253" w:lineRule="auto"/>
        <w:rPr>
          <w:sz w:val="20"/>
          <w:szCs w:val="20"/>
          <w:color w:val="auto"/>
        </w:rPr>
      </w:pPr>
      <w:r>
        <w:rPr>
          <w:rFonts w:ascii="Times New Roman" w:cs="Times New Roman" w:eastAsia="Times New Roman" w:hAnsi="Times New Roman"/>
          <w:sz w:val="12"/>
          <w:szCs w:val="12"/>
          <w:color w:val="auto"/>
        </w:rPr>
        <w:t xml:space="preserve">(a)            if the Registration or registered offering is pursuant to a demand by persons or entities other than the Holders of Registrable Securities, then the Company shall include in any such Registration or registered offering (A) first, the shares of Series A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2"/>
          <w:szCs w:val="12"/>
          <w:u w:val="single" w:color="auto"/>
          <w:color w:val="auto"/>
        </w:rPr>
        <w:t>Section 2.2.1</w:t>
      </w:r>
      <w:r>
        <w:rPr>
          <w:rFonts w:ascii="Times New Roman" w:cs="Times New Roman" w:eastAsia="Times New Roman" w:hAnsi="Times New Roman"/>
          <w:sz w:val="12"/>
          <w:szCs w:val="12"/>
          <w:color w:val="auto"/>
        </w:rPr>
        <w:t>, pro rata, based on the respective number of Registrable Securities that each Holder has requested be included in such Underwritten Offering and the aggregate number of Registrable Securities that the Holders have requested to be included in such Underwritten Offering, which can be sold without exceeding the Maximum Number of Securities; (C) third, to the extent that the Maximum Number of Securities has not been reached under the foregoing clauses (A) and (B), the shares of Series A Common Stock or other equity securities that the Company desires to sell, which can be sold without exceeding the Maximum Number of Securities; and</w:t>
      </w:r>
    </w:p>
    <w:p>
      <w:pPr>
        <w:spacing w:after="0" w:line="2" w:lineRule="exact"/>
        <w:rPr>
          <w:sz w:val="20"/>
          <w:szCs w:val="20"/>
          <w:color w:val="auto"/>
        </w:rPr>
      </w:pPr>
    </w:p>
    <w:p>
      <w:pPr>
        <w:jc w:val="both"/>
        <w:ind w:left="8" w:hanging="8"/>
        <w:spacing w:after="0" w:line="255" w:lineRule="auto"/>
        <w:tabs>
          <w:tab w:leader="none" w:pos="208"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fourth, to the extent that the Maximum Number of Securities has not been reached under the foregoing clauses (A), (B) and (C), the shares of Series A Common Stock or other equity securities, if any, as to which Registration or a registered offering has been requested pursuant to separate written contractual piggy-back registration rights of persons or entities other than the Holders of Registrable Securities hereunder, which can be sold without exceeding the Maximum Number of Securities; and</w:t>
      </w:r>
    </w:p>
    <w:p>
      <w:pPr>
        <w:spacing w:after="0" w:line="125" w:lineRule="exact"/>
        <w:rPr>
          <w:sz w:val="20"/>
          <w:szCs w:val="20"/>
          <w:color w:val="auto"/>
        </w:rPr>
      </w:pPr>
    </w:p>
    <w:p>
      <w:pPr>
        <w:ind w:left="8" w:firstLine="1296"/>
        <w:spacing w:after="0" w:line="279" w:lineRule="auto"/>
        <w:rPr>
          <w:sz w:val="20"/>
          <w:szCs w:val="20"/>
          <w:color w:val="auto"/>
        </w:rPr>
      </w:pPr>
      <w:r>
        <w:rPr>
          <w:rFonts w:ascii="Times New Roman" w:cs="Times New Roman" w:eastAsia="Times New Roman" w:hAnsi="Times New Roman"/>
          <w:sz w:val="12"/>
          <w:szCs w:val="12"/>
          <w:color w:val="auto"/>
        </w:rPr>
        <w:t xml:space="preserve">(b)            if the Registration or registered offering and Underwritten Offering is pursuant to a request by Holder(s) of Registrable Securities pursuant to </w:t>
      </w:r>
      <w:r>
        <w:rPr>
          <w:rFonts w:ascii="Times New Roman" w:cs="Times New Roman" w:eastAsia="Times New Roman" w:hAnsi="Times New Roman"/>
          <w:sz w:val="12"/>
          <w:szCs w:val="12"/>
          <w:u w:val="single" w:color="auto"/>
          <w:color w:val="auto"/>
        </w:rPr>
        <w:t>Section 2.1</w:t>
      </w:r>
      <w:r>
        <w:rPr>
          <w:rFonts w:ascii="Times New Roman" w:cs="Times New Roman" w:eastAsia="Times New Roman" w:hAnsi="Times New Roman"/>
          <w:sz w:val="12"/>
          <w:szCs w:val="12"/>
          <w:color w:val="auto"/>
        </w:rPr>
        <w:t xml:space="preserve"> hereof, then the Company shall include in any such Registration or registered offering securities in the priority set forth in </w:t>
      </w:r>
      <w:r>
        <w:rPr>
          <w:rFonts w:ascii="Times New Roman" w:cs="Times New Roman" w:eastAsia="Times New Roman" w:hAnsi="Times New Roman"/>
          <w:sz w:val="12"/>
          <w:szCs w:val="12"/>
          <w:u w:val="single" w:color="auto"/>
          <w:color w:val="auto"/>
        </w:rPr>
        <w:t>Section 2.1.5</w:t>
      </w:r>
      <w:r>
        <w:rPr>
          <w:rFonts w:ascii="Times New Roman" w:cs="Times New Roman" w:eastAsia="Times New Roman" w:hAnsi="Times New Roman"/>
          <w:sz w:val="12"/>
          <w:szCs w:val="12"/>
          <w:color w:val="auto"/>
        </w:rPr>
        <w:t>.</w:t>
      </w:r>
    </w:p>
    <w:p>
      <w:pPr>
        <w:spacing w:after="0" w:line="25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83" w:name="page184"/>
    <w:bookmarkEnd w:id="183"/>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2.2.3          </w:t>
      </w:r>
      <w:r>
        <w:rPr>
          <w:rFonts w:ascii="Times New Roman" w:cs="Times New Roman" w:eastAsia="Times New Roman" w:hAnsi="Times New Roman"/>
          <w:sz w:val="12"/>
          <w:szCs w:val="12"/>
          <w:u w:val="single" w:color="auto"/>
          <w:color w:val="auto"/>
        </w:rPr>
        <w:t>  Piggyback Registration Withdrawal</w:t>
      </w:r>
      <w:r>
        <w:rPr>
          <w:rFonts w:ascii="Times New Roman" w:cs="Times New Roman" w:eastAsia="Times New Roman" w:hAnsi="Times New Roman"/>
          <w:sz w:val="12"/>
          <w:szCs w:val="12"/>
          <w:color w:val="auto"/>
        </w:rPr>
        <w:t xml:space="preserve">. Any Holder of Registrable Securities (other than a Demanding Holder, whose right to withdraw from an Underwritten Offering, and related obligations, shall be governed by </w:t>
      </w:r>
      <w:r>
        <w:rPr>
          <w:rFonts w:ascii="Times New Roman" w:cs="Times New Roman" w:eastAsia="Times New Roman" w:hAnsi="Times New Roman"/>
          <w:sz w:val="12"/>
          <w:szCs w:val="12"/>
          <w:u w:val="single" w:color="auto"/>
          <w:color w:val="auto"/>
        </w:rPr>
        <w:t>Section 2.1.6</w:t>
      </w:r>
      <w:r>
        <w:rPr>
          <w:rFonts w:ascii="Times New Roman" w:cs="Times New Roman" w:eastAsia="Times New Roman" w:hAnsi="Times New Roman"/>
          <w:sz w:val="12"/>
          <w:szCs w:val="12"/>
          <w:color w:val="auto"/>
        </w:rPr>
        <w:t xml:space="preserve">)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or, in the case of a Piggyback Registration pursuant to a Shelf Registration, the filing of the applicable “red herring” prospectus or prospectus supplement with respect to such Piggyback Registration used for marketing such transaction. The Company (whether on its own good faith determination or as the result of a request for withdrawal by persons or entities pursuant to separate written contractual obligations) may withdraw a Registration Statement filed with the Commission in connection with a Piggyback Registration (which, in no circumstance, shall include a Shelf) at any time prior to the effectiveness of such Registration Statement. Notwithstanding anything to the contrary in this Agreement (other than </w:t>
      </w:r>
      <w:r>
        <w:rPr>
          <w:rFonts w:ascii="Times New Roman" w:cs="Times New Roman" w:eastAsia="Times New Roman" w:hAnsi="Times New Roman"/>
          <w:sz w:val="12"/>
          <w:szCs w:val="12"/>
          <w:u w:val="single" w:color="auto"/>
          <w:color w:val="auto"/>
        </w:rPr>
        <w:t>Section 2.1.6</w:t>
      </w:r>
      <w:r>
        <w:rPr>
          <w:rFonts w:ascii="Times New Roman" w:cs="Times New Roman" w:eastAsia="Times New Roman" w:hAnsi="Times New Roman"/>
          <w:sz w:val="12"/>
          <w:szCs w:val="12"/>
          <w:color w:val="auto"/>
        </w:rPr>
        <w:t xml:space="preserve">), the Company shall be responsible for the Registration Expenses incurred in connection with the Piggyback Registration prior to its withdrawal under this </w:t>
      </w:r>
      <w:r>
        <w:rPr>
          <w:rFonts w:ascii="Times New Roman" w:cs="Times New Roman" w:eastAsia="Times New Roman" w:hAnsi="Times New Roman"/>
          <w:sz w:val="12"/>
          <w:szCs w:val="12"/>
          <w:u w:val="single" w:color="auto"/>
          <w:color w:val="auto"/>
        </w:rPr>
        <w:t>Section 2.2.3</w:t>
      </w:r>
      <w:r>
        <w:rPr>
          <w:rFonts w:ascii="Times New Roman" w:cs="Times New Roman" w:eastAsia="Times New Roman" w:hAnsi="Times New Roman"/>
          <w:sz w:val="12"/>
          <w:szCs w:val="12"/>
          <w:color w:val="auto"/>
        </w:rPr>
        <w:t>.</w:t>
      </w:r>
    </w:p>
    <w:p>
      <w:pPr>
        <w:spacing w:after="0" w:line="126"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2.2.4          </w:t>
      </w:r>
      <w:r>
        <w:rPr>
          <w:rFonts w:ascii="Times New Roman" w:cs="Times New Roman" w:eastAsia="Times New Roman" w:hAnsi="Times New Roman"/>
          <w:sz w:val="12"/>
          <w:szCs w:val="12"/>
          <w:u w:val="single" w:color="auto"/>
          <w:color w:val="auto"/>
        </w:rPr>
        <w:t>  Unlimited Piggyback Registration Rights</w:t>
      </w:r>
      <w:r>
        <w:rPr>
          <w:rFonts w:ascii="Times New Roman" w:cs="Times New Roman" w:eastAsia="Times New Roman" w:hAnsi="Times New Roman"/>
          <w:sz w:val="12"/>
          <w:szCs w:val="12"/>
          <w:color w:val="auto"/>
        </w:rPr>
        <w:t xml:space="preserve">. For purposes of clarity, subject to </w:t>
      </w:r>
      <w:r>
        <w:rPr>
          <w:rFonts w:ascii="Times New Roman" w:cs="Times New Roman" w:eastAsia="Times New Roman" w:hAnsi="Times New Roman"/>
          <w:sz w:val="12"/>
          <w:szCs w:val="12"/>
          <w:u w:val="single" w:color="auto"/>
          <w:color w:val="auto"/>
        </w:rPr>
        <w:t>Section 2.1.6</w:t>
      </w:r>
      <w:r>
        <w:rPr>
          <w:rFonts w:ascii="Times New Roman" w:cs="Times New Roman" w:eastAsia="Times New Roman" w:hAnsi="Times New Roman"/>
          <w:sz w:val="12"/>
          <w:szCs w:val="12"/>
          <w:color w:val="auto"/>
        </w:rPr>
        <w:t xml:space="preserve">, any Piggyback Registration effected pursuant to </w:t>
      </w:r>
      <w:r>
        <w:rPr>
          <w:rFonts w:ascii="Times New Roman" w:cs="Times New Roman" w:eastAsia="Times New Roman" w:hAnsi="Times New Roman"/>
          <w:sz w:val="12"/>
          <w:szCs w:val="12"/>
          <w:u w:val="single" w:color="auto"/>
          <w:color w:val="auto"/>
        </w:rPr>
        <w:t>Section 2.2</w:t>
      </w:r>
      <w:r>
        <w:rPr>
          <w:rFonts w:ascii="Times New Roman" w:cs="Times New Roman" w:eastAsia="Times New Roman" w:hAnsi="Times New Roman"/>
          <w:sz w:val="12"/>
          <w:szCs w:val="12"/>
          <w:color w:val="auto"/>
        </w:rPr>
        <w:t xml:space="preserve"> hereof shall not be counted as a demand for an Underwritten Offering under </w:t>
      </w:r>
      <w:r>
        <w:rPr>
          <w:rFonts w:ascii="Times New Roman" w:cs="Times New Roman" w:eastAsia="Times New Roman" w:hAnsi="Times New Roman"/>
          <w:sz w:val="12"/>
          <w:szCs w:val="12"/>
          <w:u w:val="single" w:color="auto"/>
          <w:color w:val="auto"/>
        </w:rPr>
        <w:t>Section 2.1.4</w:t>
      </w:r>
      <w:r>
        <w:rPr>
          <w:rFonts w:ascii="Times New Roman" w:cs="Times New Roman" w:eastAsia="Times New Roman" w:hAnsi="Times New Roman"/>
          <w:sz w:val="12"/>
          <w:szCs w:val="12"/>
          <w:color w:val="auto"/>
        </w:rPr>
        <w:t xml:space="preserve"> hereof.</w:t>
      </w:r>
    </w:p>
    <w:p>
      <w:pPr>
        <w:spacing w:after="0" w:line="11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2.3          </w:t>
      </w:r>
      <w:r>
        <w:rPr>
          <w:rFonts w:ascii="Times New Roman" w:cs="Times New Roman" w:eastAsia="Times New Roman" w:hAnsi="Times New Roman"/>
          <w:sz w:val="12"/>
          <w:szCs w:val="12"/>
          <w:u w:val="single" w:color="auto"/>
          <w:color w:val="auto"/>
        </w:rPr>
        <w:t>  Market Stand-off</w:t>
      </w:r>
      <w:r>
        <w:rPr>
          <w:rFonts w:ascii="Times New Roman" w:cs="Times New Roman" w:eastAsia="Times New Roman" w:hAnsi="Times New Roman"/>
          <w:sz w:val="12"/>
          <w:szCs w:val="12"/>
          <w:color w:val="auto"/>
        </w:rPr>
        <w:t>. In connection with any Underwritten Offering of equity securities of the Company (other than a Block Trade or Other Coordinated Offering), if requested by the managing Underwriters, each Holder that is (a) an executive officer, (b) a director, (c) Holder in excess of five percent (5%) of the outstanding Series A Common Stock (and for which it is customary for such a Holder to agree to a lock-up), or (d) a Demanding Holder or Requesting Holder any of whose Registrable Securities are included in the Underwritten Offering agrees that it shall not Transfer any shares of Series A Common Stock or other equity securities of the Company (other than those included in such offering pursuant to this Agreement), without the prior written consent of the Company, during the ninety (90)-day period (or such shorter time agreed to by the managing Underwriters) beginning on the date of pricing of such offering, except as expressly permitted by such lock-up agreement or in the event the managing Underwriters otherwise agree by written consent. Each such Holder agrees to execute a customary lock-up agreement in favor of the Underwriters to such effect (in each case on substantially the same terms and conditions as all such Holders).</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2.4          </w:t>
      </w:r>
      <w:r>
        <w:rPr>
          <w:rFonts w:ascii="Times New Roman" w:cs="Times New Roman" w:eastAsia="Times New Roman" w:hAnsi="Times New Roman"/>
          <w:sz w:val="12"/>
          <w:szCs w:val="12"/>
          <w:u w:val="single" w:color="auto"/>
          <w:color w:val="auto"/>
        </w:rPr>
        <w:t>  Block Trades; Other Coordinated Offerings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 xml:space="preserve">2.4.1            Notwithstanding any other provision of this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but subject to </w:t>
      </w:r>
      <w:r>
        <w:rPr>
          <w:rFonts w:ascii="Times New Roman" w:cs="Times New Roman" w:eastAsia="Times New Roman" w:hAnsi="Times New Roman"/>
          <w:sz w:val="12"/>
          <w:szCs w:val="12"/>
          <w:u w:val="single" w:color="auto"/>
          <w:color w:val="auto"/>
        </w:rPr>
        <w:t>Section 3.4</w:t>
      </w:r>
      <w:r>
        <w:rPr>
          <w:rFonts w:ascii="Times New Roman" w:cs="Times New Roman" w:eastAsia="Times New Roman" w:hAnsi="Times New Roman"/>
          <w:sz w:val="12"/>
          <w:szCs w:val="12"/>
          <w:color w:val="auto"/>
        </w:rPr>
        <w:t>, at any time and from time to time when an effective Shelf is on file with the Commission, at any time and from time to time following the expiration of the Lock-Up Period (if applicable), if a Demanding Holder wishes to engage in (a) an underwritten registered offering not involving a “roadshow”, an offer commonly known as a “block trade” (a “</w:t>
      </w:r>
      <w:r>
        <w:rPr>
          <w:rFonts w:ascii="Times New Roman" w:cs="Times New Roman" w:eastAsia="Times New Roman" w:hAnsi="Times New Roman"/>
          <w:sz w:val="12"/>
          <w:szCs w:val="12"/>
          <w:u w:val="single" w:color="auto"/>
          <w:color w:val="auto"/>
        </w:rPr>
        <w:t>Block</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Trade</w:t>
      </w:r>
      <w:r>
        <w:rPr>
          <w:rFonts w:ascii="Times New Roman" w:cs="Times New Roman" w:eastAsia="Times New Roman" w:hAnsi="Times New Roman"/>
          <w:sz w:val="12"/>
          <w:szCs w:val="12"/>
          <w:color w:val="auto"/>
        </w:rPr>
        <w:t>”), or (b) an “at the market” or similar registered offering through a broker, sales agent or distribution agent, whether as agent or principal (an “</w:t>
      </w:r>
      <w:r>
        <w:rPr>
          <w:rFonts w:ascii="Times New Roman" w:cs="Times New Roman" w:eastAsia="Times New Roman" w:hAnsi="Times New Roman"/>
          <w:sz w:val="12"/>
          <w:szCs w:val="12"/>
          <w:u w:val="single" w:color="auto"/>
          <w:color w:val="auto"/>
        </w:rPr>
        <w:t>Other Coordinated Offering</w:t>
      </w:r>
      <w:r>
        <w:rPr>
          <w:rFonts w:ascii="Times New Roman" w:cs="Times New Roman" w:eastAsia="Times New Roman" w:hAnsi="Times New Roman"/>
          <w:sz w:val="12"/>
          <w:szCs w:val="12"/>
          <w:color w:val="auto"/>
        </w:rPr>
        <w:t xml:space="preserve">”), in each case, (x) with a total offering price reasonably expected to exceed $[•] million in the aggregate or (y) with respect to all remaining Registrable Securities held by the Demanding Holder, then such Demanding Holder shall notify the Company of the Block Trade or Other Coordinated Offering at least five (5) Business Days prior to the day such offering is to commence and the Company shall use its commercially reasonable efforts to facilitate such Block Trade or Other Coordinated Offering;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Demanding Holders representing a majority of the Registrable Securities wishing to engage in the Block Trade or Other Coordinated Offering shall use commercially reasonable efforts to work with the Company and any Underwriters, brokers, sales agents or placement agents prior to making such request in order to facilitate preparation of the registration statement, prospectus and other offering documentation related to the Block Trade or Other Coordinated Offering.</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84" w:name="page185"/>
    <w:bookmarkEnd w:id="184"/>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2.4.2            Prior to the filing of the applicable “red herring” prospectus or prospectus supplement used in connection with a Block Trade or Other Coordinated Offering, a majority-in-interest of the Demanding Holders initiating such Block Trade or Other Coordinated Offering shall have the right to submit a Withdrawal Notice to the Company, the Underwriter or Underwriters (if any) and any brokers, sales agents or placement agents (if any) of their intention to withdraw from such Block Trade or Other Coordinated Offering. Notwithstanding anything to the contrary in this Agreement, the Company shall be responsible for the Registration Expenses incurred in connection with a Block Trade or Other Coordinated Offering prior to its withdrawal under this </w:t>
      </w:r>
      <w:r>
        <w:rPr>
          <w:rFonts w:ascii="Times New Roman" w:cs="Times New Roman" w:eastAsia="Times New Roman" w:hAnsi="Times New Roman"/>
          <w:sz w:val="12"/>
          <w:szCs w:val="12"/>
          <w:u w:val="single" w:color="auto"/>
          <w:color w:val="auto"/>
        </w:rPr>
        <w:t>Section 2.4.2</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 xml:space="preserve">2.4.3            Notwithstanding anything to the contrary in this Agreement, </w:t>
      </w:r>
      <w:r>
        <w:rPr>
          <w:rFonts w:ascii="Times New Roman" w:cs="Times New Roman" w:eastAsia="Times New Roman" w:hAnsi="Times New Roman"/>
          <w:sz w:val="12"/>
          <w:szCs w:val="12"/>
          <w:u w:val="single" w:color="auto"/>
          <w:color w:val="auto"/>
        </w:rPr>
        <w:t>Section 2.2</w:t>
      </w:r>
      <w:r>
        <w:rPr>
          <w:rFonts w:ascii="Times New Roman" w:cs="Times New Roman" w:eastAsia="Times New Roman" w:hAnsi="Times New Roman"/>
          <w:sz w:val="12"/>
          <w:szCs w:val="12"/>
          <w:color w:val="auto"/>
        </w:rPr>
        <w:t xml:space="preserve"> shall not apply to a Block Trade or Other Coordinated Offering initiated by a Demanding Holder pursuant to this Agreement.</w:t>
      </w:r>
    </w:p>
    <w:p>
      <w:pPr>
        <w:spacing w:after="0" w:line="150"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2.4.4            The Demanding Holder in a Block Trade or Other Coordinated Offering shall have the right to select the Underwriters and any brokers, sales agents or placement agents (if any) for such Block Trade or Other Coordinated Offering (in each case, which shall consist of one or more reputable nationally recognized investment banks).</w:t>
      </w:r>
    </w:p>
    <w:p>
      <w:pPr>
        <w:spacing w:after="0" w:line="111"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2.4.5            The (i) Sponsor and (ii) Factorial Holders, may each demand no more than [•] Block Trades or Other Coordinated Offerings pursuant to this </w:t>
      </w:r>
      <w:r>
        <w:rPr>
          <w:rFonts w:ascii="Times New Roman" w:cs="Times New Roman" w:eastAsia="Times New Roman" w:hAnsi="Times New Roman"/>
          <w:sz w:val="12"/>
          <w:szCs w:val="12"/>
          <w:u w:val="single" w:color="auto"/>
          <w:color w:val="auto"/>
        </w:rPr>
        <w:t>Section 2.4</w:t>
      </w:r>
      <w:r>
        <w:rPr>
          <w:rFonts w:ascii="Times New Roman" w:cs="Times New Roman" w:eastAsia="Times New Roman" w:hAnsi="Times New Roman"/>
          <w:sz w:val="12"/>
          <w:szCs w:val="12"/>
          <w:color w:val="auto"/>
        </w:rPr>
        <w:t xml:space="preserve"> in any [•] month period. For the avoidance of doubt, any Block Trade or Other Coordinated Offering effected pursuant to this </w:t>
      </w:r>
      <w:r>
        <w:rPr>
          <w:rFonts w:ascii="Times New Roman" w:cs="Times New Roman" w:eastAsia="Times New Roman" w:hAnsi="Times New Roman"/>
          <w:sz w:val="12"/>
          <w:szCs w:val="12"/>
          <w:u w:val="single" w:color="auto"/>
          <w:color w:val="auto"/>
        </w:rPr>
        <w:t>Section 2.4</w:t>
      </w:r>
      <w:r>
        <w:rPr>
          <w:rFonts w:ascii="Times New Roman" w:cs="Times New Roman" w:eastAsia="Times New Roman" w:hAnsi="Times New Roman"/>
          <w:sz w:val="12"/>
          <w:szCs w:val="12"/>
          <w:color w:val="auto"/>
        </w:rPr>
        <w:t xml:space="preserve"> shall be counted as a demand for an Underwritten Offering pursuant to </w:t>
      </w:r>
      <w:r>
        <w:rPr>
          <w:rFonts w:ascii="Times New Roman" w:cs="Times New Roman" w:eastAsia="Times New Roman" w:hAnsi="Times New Roman"/>
          <w:sz w:val="12"/>
          <w:szCs w:val="12"/>
          <w:u w:val="single" w:color="auto"/>
          <w:color w:val="auto"/>
        </w:rPr>
        <w:t>Section 2.1.4</w:t>
      </w:r>
      <w:r>
        <w:rPr>
          <w:rFonts w:ascii="Times New Roman" w:cs="Times New Roman" w:eastAsia="Times New Roman" w:hAnsi="Times New Roman"/>
          <w:sz w:val="12"/>
          <w:szCs w:val="12"/>
          <w:color w:val="auto"/>
        </w:rPr>
        <w:t xml:space="preserve"> hereof.</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COMPANY PROCEDURES</w:t>
      </w:r>
    </w:p>
    <w:p>
      <w:pPr>
        <w:spacing w:after="0" w:line="13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3.1          </w:t>
      </w:r>
      <w:r>
        <w:rPr>
          <w:rFonts w:ascii="Times New Roman" w:cs="Times New Roman" w:eastAsia="Times New Roman" w:hAnsi="Times New Roman"/>
          <w:sz w:val="12"/>
          <w:szCs w:val="12"/>
          <w:u w:val="single" w:color="auto"/>
          <w:color w:val="auto"/>
        </w:rPr>
        <w:t>  General Procedures</w:t>
      </w:r>
      <w:r>
        <w:rPr>
          <w:rFonts w:ascii="Times New Roman" w:cs="Times New Roman" w:eastAsia="Times New Roman" w:hAnsi="Times New Roman"/>
          <w:sz w:val="12"/>
          <w:szCs w:val="12"/>
          <w:color w:val="auto"/>
        </w:rPr>
        <w:t>. If at any time the Company is required to effect the Registration of Registrable Securities hereunder, the Company shall use its commercially reasonable efforts to effect such Registration to permit the sale of such Registrable Securities in accordance with the intended plan of distribution thereof, and pursuant thereto the Company shall:</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3.1.1            prepare and file with the Commission as soon as reasonably practicable a Registration Statement with respect to such Registrable Securities and use its commercially reasonable efforts to cause such Registration Statement to become effective and remain effective until all Registrable Securities covered by such Registration Statement are sold in accordance with the intended plan of distribution set forth in such Registration Statement or have ceased to be Registrable Securities;</w:t>
      </w:r>
    </w:p>
    <w:p>
      <w:pPr>
        <w:spacing w:after="0" w:line="119" w:lineRule="exact"/>
        <w:rPr>
          <w:sz w:val="20"/>
          <w:szCs w:val="20"/>
          <w:color w:val="auto"/>
        </w:rPr>
      </w:pPr>
    </w:p>
    <w:p>
      <w:pPr>
        <w:jc w:val="both"/>
        <w:ind w:right="20" w:firstLine="864"/>
        <w:spacing w:after="0" w:line="260" w:lineRule="auto"/>
        <w:rPr>
          <w:sz w:val="20"/>
          <w:szCs w:val="20"/>
          <w:color w:val="auto"/>
        </w:rPr>
      </w:pPr>
      <w:r>
        <w:rPr>
          <w:rFonts w:ascii="Times New Roman" w:cs="Times New Roman" w:eastAsia="Times New Roman" w:hAnsi="Times New Roman"/>
          <w:sz w:val="12"/>
          <w:szCs w:val="12"/>
          <w:color w:val="auto"/>
        </w:rPr>
        <w:t>3.1.2            prepare and file with the Commission such amendments and post-effective amendments to the Registration Statement, and such supplements to the Prospectus, as may be reasonably requested by any Holder that holds at least five percent (5%) of the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 or have ceased to be Registrable Securities;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85" w:name="page186"/>
    <w:bookmarkEnd w:id="185"/>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 xml:space="preserve">3.1.3            in connection with the filing of a Registration Statement or Prospectus, or any amendment or supplement thereto, upon the reasonable request of a Holder, furnish without charge to the Underwriters, if any, and the Holders of Registrable Securities included in such Registration, and such Holders’ legal counsel, (i) excerpts of such Registration Statement naming such Holders or Underwriters, and the section entitled “Plan of Distribution”, “Underwriting” or similar sections, (ii) each amendment and supplement to such Registration Statement (in each case including all exhibits thereto and documents incorporated by reference therein), (iii) the Prospectus included in such Registration Statement (including each preliminary Prospectus), and (iv) such other documents as the Underwriters and the Holders of Registrable Securities included in such Registration or the legal counsel for any such Holders may reasonably request in order to facilitate the disposition of the Registrable Securities owned by such Holders;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in no event shall the Company be required to delay or postpone the filing of such Registration Statement as a result of or in connection with a Holder’s review; and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the Company shall have no obligation to furnish any documents publicly filed or furnished with the Commission pursuant to the Electronic Data Gathering, Analysis and Retrieval System (“</w:t>
      </w:r>
      <w:r>
        <w:rPr>
          <w:rFonts w:ascii="Times New Roman" w:cs="Times New Roman" w:eastAsia="Times New Roman" w:hAnsi="Times New Roman"/>
          <w:sz w:val="12"/>
          <w:szCs w:val="12"/>
          <w:u w:val="single" w:color="auto"/>
          <w:color w:val="auto"/>
        </w:rPr>
        <w:t>EDGAR</w:t>
      </w:r>
      <w:r>
        <w:rPr>
          <w:rFonts w:ascii="Times New Roman" w:cs="Times New Roman" w:eastAsia="Times New Roman" w:hAnsi="Times New Roman"/>
          <w:sz w:val="12"/>
          <w:szCs w:val="12"/>
          <w:color w:val="auto"/>
        </w:rPr>
        <w:t>”);</w:t>
      </w:r>
    </w:p>
    <w:p>
      <w:pPr>
        <w:spacing w:after="0" w:line="126"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 xml:space="preserve">3.1.4            prior to any public offering of Registrable Securities, use its commercially reasonable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(or provide evidence satisfactory to such Holders that the Registrable Securities are exempt from such registration or qualification)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Company shall not be required to qualify generally to do business or as a dealer in securities in any jurisdiction where it would not otherwise be required to qualify or take any action to which it would be subject to general service of process or taxation in any such jurisdiction where it is not then otherwise so subject;</w:t>
      </w:r>
    </w:p>
    <w:p>
      <w:pPr>
        <w:spacing w:after="0" w:line="1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3.1.5            cause all such Registrable Securities to be listed on each national securities exchange on which similar securities issued by the Company are then listed;</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3.1.6            provide a transfer agent and registrar for all such Registrable Securities no later than the effective date of such Registration Statement;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commercially reasonable efforts to prevent the issuance of any stop order or to obtain its withdrawal if such stop order should be issued;</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 xml:space="preserve">3.1.8            notify the selling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Times New Roman" w:cs="Times New Roman" w:eastAsia="Times New Roman" w:hAnsi="Times New Roman"/>
          <w:sz w:val="12"/>
          <w:szCs w:val="12"/>
          <w:u w:val="single" w:color="auto"/>
          <w:color w:val="auto"/>
        </w:rPr>
        <w:t>Section 3.4</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 xml:space="preserve">3.1.9            in the event of an Underwritten Offering, a Block Trade, an Other Coordinated Offering, or sale by a broker, placement agent or sales agent pursuant to such Registration, in each of the following cases to the extent customary for a transaction of its type, permit a representative of the Holders, the Underwriters or other financial institutions facilitating such Underwritten Offering, Block Trade, Other Coordinated Offering or other sale pursuant to such Registration, if any, and any attorney, consultant or accountant retained by such Holders or Underwriter to participate, at each such person’s or entity’s own expense, in the preparation of the Registration Statement, and cause the Company’s officers, directors and employees to supply all information reasonably requested by any such representative, Underwriter, financial institution, attorney, consultant or accountant in connection with the Registration;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such representatives, Underwriters or financial institutions agree to confidentiality arrangements in form and substance reasonably satisfactory to the Company, prior to the release or disclosure of any such information;</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86" w:name="page187"/>
    <w:bookmarkEnd w:id="186"/>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3.1.10            obtain a “cold comfort” letter (including a bring-down letter dated as of the date the Registrable Securities are delivered for sale pursuant to such Registration) from the Company’s independent registered public accountants in the event of an Underwritten Offering [(other than a Block Trade or Other Coordinated Offering)] pursuant to such Registration (subject to such placement agent or sales agent providing such certification or representation reasonably requested by the Company’s independent registered public accountants and the Company’s counsel) in customary form and covering such matters of the type customarily covered by “cold comfort” letters for a transaction of its type as the managing Underwriter may reasonably request, and reasonably satisfactory to a majority-in-interest of the participating Holders;</w:t>
      </w:r>
    </w:p>
    <w:p>
      <w:pPr>
        <w:spacing w:after="0" w:line="122"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3.1.11            in the event of an Underwritten Offering [(other than a Block Trade or Other Coordinated Offering)] pursuant to such Registration, on the date the Registrable Securities are delivered for sale pursuant to such Registration, to the extent customary for a transaction of its type, obtain an opinion and negative assurance letter, dated such date, of counsel representing the Company for the purposes of such Registration, addressed to the participating Holders, the broker, placement agents or sales agent, if any, and the Underwriters, if any, covering such legal matters with respect to the Registration in respect of which such opinion is being given as the participating Holders, broker, placement agent, sales agent or Underwriter may reasonably request and as are customarily included in such opinions and negative assurance letters;</w:t>
      </w:r>
    </w:p>
    <w:p>
      <w:pPr>
        <w:spacing w:after="0" w:line="122"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3.1.12            in the event of any Underwritten Offering [(other than a Block Trade or Other Coordinated Offering)], enter into and perform its obligations under an underwriting or other purchase or sales agreement, in usual and customary form, with the managing Underwriter of such offering or sale;</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3.1.13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Rule 158 thereunder (or any successor rule then in effect), which requirement will be deemed satisfied if the Company timely files Forms 10-K, 10-Q, and 8-K as may be required to be filed under the Exchange Act and otherwise complies with Rule 158 under the Securities Act;</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 xml:space="preserve">3.1.14            with respect to an Underwritten Offering pursuant to </w:t>
      </w:r>
      <w:r>
        <w:rPr>
          <w:rFonts w:ascii="Times New Roman" w:cs="Times New Roman" w:eastAsia="Times New Roman" w:hAnsi="Times New Roman"/>
          <w:sz w:val="12"/>
          <w:szCs w:val="12"/>
          <w:u w:val="single" w:color="auto"/>
          <w:color w:val="auto"/>
        </w:rPr>
        <w:t>Section 2.1.4</w:t>
      </w:r>
      <w:r>
        <w:rPr>
          <w:rFonts w:ascii="Times New Roman" w:cs="Times New Roman" w:eastAsia="Times New Roman" w:hAnsi="Times New Roman"/>
          <w:sz w:val="12"/>
          <w:szCs w:val="12"/>
          <w:color w:val="auto"/>
        </w:rPr>
        <w:t>, use its commercially reasonable efforts to make available senior executives of the Company to participate in customary “road show” presentations that may be reasonably requested by the Underwriter in such Underwritten Offering; and</w:t>
      </w:r>
    </w:p>
    <w:p>
      <w:pPr>
        <w:spacing w:after="0" w:line="111"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3.1.15            otherwise, in good faith, cooperate reasonably with, and take such customary actions as may reasonably be requested by the participating Holders, consistent with the terms of this Agreement, in connection with such Registration.</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87" w:name="page188"/>
    <w:bookmarkEnd w:id="187"/>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Notwithstanding the foregoing, the Company shall not be required to provide any documents or information to an Underwriter, broker, sales agent or placement agent if such Underwriter, broker, sales agent or placement agent has not then been named with respect to the applicable Underwritten Offering or other offering involving a registration as an Underwriter, broker, sales agent or placement agent, as applicable.</w:t>
      </w:r>
    </w:p>
    <w:p>
      <w:pPr>
        <w:spacing w:after="0" w:line="111"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3.2          </w:t>
      </w:r>
      <w:r>
        <w:rPr>
          <w:rFonts w:ascii="Times New Roman" w:cs="Times New Roman" w:eastAsia="Times New Roman" w:hAnsi="Times New Roman"/>
          <w:sz w:val="12"/>
          <w:szCs w:val="12"/>
          <w:u w:val="single" w:color="auto"/>
          <w:color w:val="auto"/>
        </w:rPr>
        <w:t>  Registration Expenses</w:t>
      </w:r>
      <w:r>
        <w:rPr>
          <w:rFonts w:ascii="Times New Roman" w:cs="Times New Roman" w:eastAsia="Times New Roman" w:hAnsi="Times New Roman"/>
          <w:sz w:val="12"/>
          <w:szCs w:val="12"/>
          <w:color w:val="auto"/>
        </w:rPr>
        <w:t>.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fees and expenses of any legal counsel representing the Holders.</w:t>
      </w:r>
    </w:p>
    <w:p>
      <w:pPr>
        <w:spacing w:after="0" w:line="119"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1"/>
          <w:szCs w:val="11"/>
          <w:color w:val="auto"/>
        </w:rPr>
        <w:t>3.3          </w:t>
      </w:r>
      <w:r>
        <w:rPr>
          <w:rFonts w:ascii="Times New Roman" w:cs="Times New Roman" w:eastAsia="Times New Roman" w:hAnsi="Times New Roman"/>
          <w:sz w:val="11"/>
          <w:szCs w:val="11"/>
          <w:u w:val="single" w:color="auto"/>
          <w:color w:val="auto"/>
        </w:rPr>
        <w:t>  Requirements for Participation in Registration Statement and Underwritten Offerings</w:t>
      </w:r>
      <w:r>
        <w:rPr>
          <w:rFonts w:ascii="Times New Roman" w:cs="Times New Roman" w:eastAsia="Times New Roman" w:hAnsi="Times New Roman"/>
          <w:sz w:val="11"/>
          <w:szCs w:val="11"/>
          <w:color w:val="auto"/>
        </w:rPr>
        <w:t xml:space="preserve">. Notwithstanding anything in this Agreement to the contrary, if any Holder does not provide the Company with its requested Holder Information, the Company may exclude such Holder’s Registrable Securities from the applicable Registration Statement or Prospectus if the Company determines, based on the advice of counsel, that it is necessary or advisable to include such information in the applicable Registration Statement or Prospectus and such Holder continues thereafter to withhold such information. In addition, no person or entity may participate in any Underwritten Offering or other offering for equity securities of the Company pursuant to a Registration initiated by the Company hereunder unless such person or entity (i) agrees to sell such person’s or entity’s securities on the basis provided in any underwriting, sales, distribution or placement arrangements approved by the Company and (ii) completes and executes all customary questionnaires, powers of attorney, indemnities, lock-up agreements, underwriting or other agreements and other customary documents as may be reasonably required under the terms of such underwriting, sales, distribution or placement arrangements provided that such Holder shall only be subject to the restrictions set forth in any such lock-up agreements if the directors and officers of the Company are subject to a lock-up obligation to the Underwriters managing the offering and the length of such lock-up for such Holder shall be no longer than the shortest lock-up of any such directors and officers; provided, further, that if the Company or the Underwriters managing the offering waive or shorten the Lock-Up Period for any of the Company’s officers, directors or stockholders, then (i) all Holders subject to such lock-up shall receive notice of such waiver or modification no later than two (2) Business Days following such waiver or modification, and (ii) such lock-up will be similarly waived pro rata or shortened for each such Holder. For the avoidance of doubt, the exclusion of a Holder’s Registrable Securities as a result of this </w:t>
      </w:r>
      <w:r>
        <w:rPr>
          <w:rFonts w:ascii="Times New Roman" w:cs="Times New Roman" w:eastAsia="Times New Roman" w:hAnsi="Times New Roman"/>
          <w:sz w:val="11"/>
          <w:szCs w:val="11"/>
          <w:u w:val="single" w:color="auto"/>
          <w:color w:val="auto"/>
        </w:rPr>
        <w:t>Section 3.3</w:t>
      </w:r>
      <w:r>
        <w:rPr>
          <w:rFonts w:ascii="Times New Roman" w:cs="Times New Roman" w:eastAsia="Times New Roman" w:hAnsi="Times New Roman"/>
          <w:sz w:val="11"/>
          <w:szCs w:val="11"/>
          <w:color w:val="auto"/>
        </w:rPr>
        <w:t xml:space="preserve"> shall not affect the registration of the other Registrable Securities to be included in such Registration.</w:t>
      </w:r>
    </w:p>
    <w:p>
      <w:pPr>
        <w:spacing w:after="0" w:line="11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3.4          </w:t>
      </w:r>
      <w:r>
        <w:rPr>
          <w:rFonts w:ascii="Times New Roman" w:cs="Times New Roman" w:eastAsia="Times New Roman" w:hAnsi="Times New Roman"/>
          <w:sz w:val="12"/>
          <w:szCs w:val="12"/>
          <w:u w:val="single" w:color="auto"/>
          <w:color w:val="auto"/>
        </w:rPr>
        <w:t>  Suspension of Sales; Adverse Disclosure; Restrictions on Registration Rights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3.4.1            Upon receipt of written notice from the Company that a Registration Statement or Prospectus contains a Misstatement, each of the Holders shall forthwith discontinue disposition of Registrable Securities until it has received copies of a supplemented or amended Prospectus correcting the Misstatement (it being understood that the Company hereby covenants to prepare and file such supplement or amendment as soon as reasonably practicable after the time of such notice), or until it is advised in writing by the Company that the use of the Prospectus may be resumed.</w:t>
      </w:r>
    </w:p>
    <w:p>
      <w:pPr>
        <w:spacing w:after="0" w:line="119"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1"/>
          <w:szCs w:val="11"/>
          <w:color w:val="auto"/>
        </w:rPr>
        <w:t xml:space="preserve">3.4.2            Subject to </w:t>
      </w:r>
      <w:r>
        <w:rPr>
          <w:rFonts w:ascii="Times New Roman" w:cs="Times New Roman" w:eastAsia="Times New Roman" w:hAnsi="Times New Roman"/>
          <w:sz w:val="11"/>
          <w:szCs w:val="11"/>
          <w:u w:val="single" w:color="auto"/>
          <w:color w:val="auto"/>
        </w:rPr>
        <w:t>Section 3.4.4</w:t>
      </w:r>
      <w:r>
        <w:rPr>
          <w:rFonts w:ascii="Times New Roman" w:cs="Times New Roman" w:eastAsia="Times New Roman" w:hAnsi="Times New Roman"/>
          <w:sz w:val="11"/>
          <w:szCs w:val="11"/>
          <w:color w:val="auto"/>
        </w:rPr>
        <w:t>, if the filing, initial effectiveness or continued use of a Registration Statement in respect of any Registration at any time would (a) require the Company to make an Adverse Disclosure,</w:t>
      </w:r>
    </w:p>
    <w:p>
      <w:pPr>
        <w:spacing w:after="0" w:line="28" w:lineRule="exact"/>
        <w:rPr>
          <w:sz w:val="20"/>
          <w:szCs w:val="20"/>
          <w:color w:val="auto"/>
        </w:rPr>
      </w:pPr>
    </w:p>
    <w:p>
      <w:pPr>
        <w:jc w:val="both"/>
        <w:ind w:left="8" w:hanging="8"/>
        <w:spacing w:after="0" w:line="252" w:lineRule="auto"/>
        <w:tabs>
          <w:tab w:leader="none" w:pos="189"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require the inclusion in such Registration Statement of financial statements that are unavailable to the Company, or (c) in the good faith judgment of the majority of the Board such Registration, be seriously detrimental to the Company and the majority of the Board concludes as a result that it is essential to defer such filing, initial effectiveness or continued use at such time, the Company may, upon giving prompt written notice of such action to the Holders (which notice shall not specify the nature of the event giving rise to such delay or suspension), delay the filing or initial effectiveness of, or suspend use of, such Registration Statement for the shortest period of time determined in good faith by the Company to be necessary for such purpose. In the event the Company exercises its rights under this </w:t>
      </w:r>
      <w:r>
        <w:rPr>
          <w:rFonts w:ascii="Times New Roman" w:cs="Times New Roman" w:eastAsia="Times New Roman" w:hAnsi="Times New Roman"/>
          <w:sz w:val="12"/>
          <w:szCs w:val="12"/>
          <w:u w:val="single" w:color="auto"/>
          <w:color w:val="auto"/>
        </w:rPr>
        <w:t>Section 3.4.2</w:t>
      </w:r>
      <w:r>
        <w:rPr>
          <w:rFonts w:ascii="Times New Roman" w:cs="Times New Roman" w:eastAsia="Times New Roman" w:hAnsi="Times New Roman"/>
          <w:sz w:val="12"/>
          <w:szCs w:val="12"/>
          <w:color w:val="auto"/>
        </w:rPr>
        <w:t>, the Holders agree to suspend, immediately upon their receipt of the notice referred to above, their use of the Prospectus relating to any Registration in connection with any sale or offer to sell Registrable Securities until such Holder receives written notice from the Company that such sales or offers of Registrable Securities may be resumed, and in each case maintain the confidentiality of such notice and its contents.</w:t>
      </w:r>
    </w:p>
    <w:p>
      <w:pPr>
        <w:spacing w:after="0" w:line="27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88" w:name="page189"/>
    <w:bookmarkEnd w:id="188"/>
    <w:p>
      <w:pPr>
        <w:ind w:left="8" w:firstLine="864"/>
        <w:spacing w:after="0" w:line="259" w:lineRule="auto"/>
        <w:rPr>
          <w:sz w:val="20"/>
          <w:szCs w:val="20"/>
          <w:color w:val="auto"/>
        </w:rPr>
      </w:pPr>
      <w:r>
        <w:rPr>
          <w:rFonts w:ascii="Times New Roman" w:cs="Times New Roman" w:eastAsia="Times New Roman" w:hAnsi="Times New Roman"/>
          <w:sz w:val="12"/>
          <w:szCs w:val="12"/>
          <w:color w:val="auto"/>
        </w:rPr>
        <w:t xml:space="preserve">3.4.3            Subject to </w:t>
      </w:r>
      <w:r>
        <w:rPr>
          <w:rFonts w:ascii="Times New Roman" w:cs="Times New Roman" w:eastAsia="Times New Roman" w:hAnsi="Times New Roman"/>
          <w:sz w:val="12"/>
          <w:szCs w:val="12"/>
          <w:u w:val="single" w:color="auto"/>
          <w:color w:val="auto"/>
        </w:rPr>
        <w:t>Section 3.4.4</w:t>
      </w:r>
      <w:r>
        <w:rPr>
          <w:rFonts w:ascii="Times New Roman" w:cs="Times New Roman" w:eastAsia="Times New Roman" w:hAnsi="Times New Roman"/>
          <w:sz w:val="12"/>
          <w:szCs w:val="12"/>
          <w:color w:val="auto"/>
        </w:rPr>
        <w:t>, (a) during the period starting with the date thirty (30) days prior to the Company’s good faith estimate of the date of the filing of, and ending on a date ninety (90) days after the effective date of, a Company-initiated Registration and provided that the Company continues to actively employ, in good faith, all commercially reasonable efforts to maintain the effectiveness of the applicable Shelf Registration, or</w:t>
      </w:r>
    </w:p>
    <w:p>
      <w:pPr>
        <w:spacing w:after="0" w:line="1" w:lineRule="exact"/>
        <w:rPr>
          <w:sz w:val="20"/>
          <w:szCs w:val="20"/>
          <w:color w:val="auto"/>
        </w:rPr>
      </w:pPr>
    </w:p>
    <w:p>
      <w:pPr>
        <w:ind w:left="8" w:hanging="8"/>
        <w:spacing w:after="0" w:line="260" w:lineRule="auto"/>
        <w:tabs>
          <w:tab w:leader="none" w:pos="180"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pursuant to </w:t>
      </w:r>
      <w:r>
        <w:rPr>
          <w:rFonts w:ascii="Times New Roman" w:cs="Times New Roman" w:eastAsia="Times New Roman" w:hAnsi="Times New Roman"/>
          <w:sz w:val="12"/>
          <w:szCs w:val="12"/>
          <w:u w:val="single" w:color="auto"/>
          <w:color w:val="auto"/>
        </w:rPr>
        <w:t>Section 2.1.4</w:t>
      </w:r>
      <w:r>
        <w:rPr>
          <w:rFonts w:ascii="Times New Roman" w:cs="Times New Roman" w:eastAsia="Times New Roman" w:hAnsi="Times New Roman"/>
          <w:sz w:val="12"/>
          <w:szCs w:val="12"/>
          <w:color w:val="auto"/>
        </w:rPr>
        <w:t xml:space="preserve">, Holders have requested an Underwritten Offering and the Company and Holders are unable to obtain the commitment of underwriters to firmly underwrite such offering, the Company may, upon giving prompt written notice of such action to the Holders, delay any other registered offering pursuant to </w:t>
      </w:r>
      <w:r>
        <w:rPr>
          <w:rFonts w:ascii="Times New Roman" w:cs="Times New Roman" w:eastAsia="Times New Roman" w:hAnsi="Times New Roman"/>
          <w:sz w:val="12"/>
          <w:szCs w:val="12"/>
          <w:u w:val="single" w:color="auto"/>
          <w:color w:val="auto"/>
        </w:rPr>
        <w:t>Section 2.1.4</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2.4</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 xml:space="preserve">3.4.4            The right to delay or suspend any filing, initial effectiveness or continued use of a Registration Statement pursuant to </w:t>
      </w:r>
      <w:r>
        <w:rPr>
          <w:rFonts w:ascii="Times New Roman" w:cs="Times New Roman" w:eastAsia="Times New Roman" w:hAnsi="Times New Roman"/>
          <w:sz w:val="12"/>
          <w:szCs w:val="12"/>
          <w:u w:val="single" w:color="auto"/>
          <w:color w:val="auto"/>
        </w:rPr>
        <w:t>Section 3.4.2</w:t>
      </w:r>
      <w:r>
        <w:rPr>
          <w:rFonts w:ascii="Times New Roman" w:cs="Times New Roman" w:eastAsia="Times New Roman" w:hAnsi="Times New Roman"/>
          <w:sz w:val="12"/>
          <w:szCs w:val="12"/>
          <w:color w:val="auto"/>
        </w:rPr>
        <w:t xml:space="preserve"> or a registered offering pursuant to </w:t>
      </w:r>
      <w:r>
        <w:rPr>
          <w:rFonts w:ascii="Times New Roman" w:cs="Times New Roman" w:eastAsia="Times New Roman" w:hAnsi="Times New Roman"/>
          <w:sz w:val="12"/>
          <w:szCs w:val="12"/>
          <w:u w:val="single" w:color="auto"/>
          <w:color w:val="auto"/>
        </w:rPr>
        <w:t>Section 3.4.3</w:t>
      </w:r>
      <w:r>
        <w:rPr>
          <w:rFonts w:ascii="Times New Roman" w:cs="Times New Roman" w:eastAsia="Times New Roman" w:hAnsi="Times New Roman"/>
          <w:sz w:val="12"/>
          <w:szCs w:val="12"/>
          <w:color w:val="auto"/>
        </w:rPr>
        <w:t xml:space="preserve"> shall be exercised by the Company, in the aggregate, on not more than two (2) occasions for not more than ninety (90) consecutive calendar days on each occasion or not more than one-hundred-twenty (120) total calendar days, in each case, during any twelve (12)-month period.</w:t>
      </w:r>
    </w:p>
    <w:p>
      <w:pPr>
        <w:spacing w:after="0" w:line="119" w:lineRule="exact"/>
        <w:rPr>
          <w:sz w:val="20"/>
          <w:szCs w:val="20"/>
          <w:color w:val="auto"/>
        </w:rPr>
      </w:pPr>
    </w:p>
    <w:p>
      <w:pPr>
        <w:jc w:val="both"/>
        <w:ind w:left="8" w:firstLine="432"/>
        <w:spacing w:after="0" w:line="256" w:lineRule="auto"/>
        <w:rPr>
          <w:sz w:val="20"/>
          <w:szCs w:val="20"/>
          <w:color w:val="auto"/>
        </w:rPr>
      </w:pPr>
      <w:r>
        <w:rPr>
          <w:rFonts w:ascii="Times New Roman" w:cs="Times New Roman" w:eastAsia="Times New Roman" w:hAnsi="Times New Roman"/>
          <w:sz w:val="12"/>
          <w:szCs w:val="12"/>
          <w:color w:val="auto"/>
        </w:rPr>
        <w:t>3.5          </w:t>
      </w:r>
      <w:r>
        <w:rPr>
          <w:rFonts w:ascii="Times New Roman" w:cs="Times New Roman" w:eastAsia="Times New Roman" w:hAnsi="Times New Roman"/>
          <w:sz w:val="12"/>
          <w:szCs w:val="12"/>
          <w:u w:val="single" w:color="auto"/>
          <w:color w:val="auto"/>
        </w:rPr>
        <w:t>  Reporting Obligations</w:t>
      </w:r>
      <w:r>
        <w:rPr>
          <w:rFonts w:ascii="Times New Roman" w:cs="Times New Roman" w:eastAsia="Times New Roman" w:hAnsi="Times New Roman"/>
          <w:sz w:val="12"/>
          <w:szCs w:val="12"/>
          <w:color w:val="auto"/>
        </w:rPr>
        <w:t xml:space="preserve">.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any documents publicly filed or furnished with the Commission pursuant to EDGAR shall be deemed to have been furnished or delivered to the Holders pursuant to this </w:t>
      </w:r>
      <w:r>
        <w:rPr>
          <w:rFonts w:ascii="Times New Roman" w:cs="Times New Roman" w:eastAsia="Times New Roman" w:hAnsi="Times New Roman"/>
          <w:sz w:val="12"/>
          <w:szCs w:val="12"/>
          <w:u w:val="single" w:color="auto"/>
          <w:color w:val="auto"/>
        </w:rPr>
        <w:t>Section 3.5</w:t>
      </w:r>
      <w:r>
        <w:rPr>
          <w:rFonts w:ascii="Times New Roman" w:cs="Times New Roman" w:eastAsia="Times New Roman" w:hAnsi="Times New Roman"/>
          <w:sz w:val="12"/>
          <w:szCs w:val="12"/>
          <w:color w:val="auto"/>
        </w:rPr>
        <w:t>. The Company further covenants that it shall take such further action as any Holder may reasonably request, all to the extent required from time to time to enable such Holder to sell shares of Series A Common Stock held by such Holder without registration under the Securities Act within the limitation of the exemptions provided by Rule 144 promulgated under the Securities Act (or any successor rule then in effect). Upon the request of any Holder, the Company shall deliver to such Holder a written certification of a duly authorized officer as to whether it has complied with such requirements.</w:t>
      </w:r>
    </w:p>
    <w:p>
      <w:pPr>
        <w:spacing w:after="0" w:line="12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3.6          </w:t>
      </w:r>
      <w:r>
        <w:rPr>
          <w:rFonts w:ascii="Times New Roman" w:cs="Times New Roman" w:eastAsia="Times New Roman" w:hAnsi="Times New Roman"/>
          <w:sz w:val="12"/>
          <w:szCs w:val="12"/>
          <w:u w:val="single" w:color="auto"/>
          <w:color w:val="auto"/>
        </w:rPr>
        <w:t>  Restrictive Legend Removal</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3.6.1            At any time and from time to time in connection with a bona fide sale of Registrable Securities effected in compliance with the requirements of Rule 144 under the Securities Act or through any broker-dealer sale transactions described in the plan of distribution set forth within any prospectus and pursuant to the Registration Statement of which such prospectus forms a part, the Company shall use its commercially reasonable efforts, subject to the receipt of customary documentation required from the holder of the applicable Registrable Securities and broker in connection therewith and compliance with applicable laws, (i) promptly instruct its transfer agent to remove any restrictive legends applicable to the Registrable Securities being sold and (ii) cause its legal counsel to deliver the necessary legal opinions, if any, to the transfer agent in connection with the instruction under subclause (i). The Company shall be responsible for the fees of its transfer agent, its legal counsel (including for purposes of giving the opinion referenced herein) and all DTC fees associated with such issuance and the Holder shall be responsible for its fees or costs associated with such removal of such restrictive legends (including its legal fees or costs of its legal counsel).</w:t>
      </w:r>
    </w:p>
    <w:p>
      <w:pPr>
        <w:spacing w:after="0" w:line="2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89" w:name="page190"/>
    <w:bookmarkEnd w:id="189"/>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3.6.2            With a view to making available to each Holder of Registrable Securities the benefits of Rule 144 that permit the Holder to sell securities of the Company to the public without registration, the Company agrees, for so long as any Holder holds Registrable Securities, to:</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(a)            use commercially reasonable efforts to make and keep public information available, as those terms are understood and defined in Rule 144; and</w:t>
      </w:r>
    </w:p>
    <w:p>
      <w:pPr>
        <w:spacing w:after="0" w:line="150" w:lineRule="exact"/>
        <w:rPr>
          <w:sz w:val="20"/>
          <w:szCs w:val="20"/>
          <w:color w:val="auto"/>
        </w:rPr>
      </w:pPr>
    </w:p>
    <w:p>
      <w:pPr>
        <w:jc w:val="both"/>
        <w:ind w:right="20" w:firstLine="1296"/>
        <w:spacing w:after="0" w:line="279" w:lineRule="auto"/>
        <w:rPr>
          <w:sz w:val="20"/>
          <w:szCs w:val="20"/>
          <w:color w:val="auto"/>
        </w:rPr>
      </w:pPr>
      <w:r>
        <w:rPr>
          <w:rFonts w:ascii="Times New Roman" w:cs="Times New Roman" w:eastAsia="Times New Roman" w:hAnsi="Times New Roman"/>
          <w:sz w:val="12"/>
          <w:szCs w:val="12"/>
          <w:color w:val="auto"/>
        </w:rPr>
        <w:t>(b)            use commercially reasonable efforts to file with the Commission in a timely manner all reports and other documents required of the Company under the Securities Act and the Exchange Act so long as the Company remains subject to such requirements and the filing of such reports and other documents as may be required pursuant to the applicable provisions of Rule 144.</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IV</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INDEMNIFICATION AND CONTRIBUTION</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4.1          </w:t>
      </w:r>
      <w:r>
        <w:rPr>
          <w:rFonts w:ascii="Times New Roman" w:cs="Times New Roman" w:eastAsia="Times New Roman" w:hAnsi="Times New Roman"/>
          <w:sz w:val="12"/>
          <w:szCs w:val="12"/>
          <w:u w:val="single" w:color="auto"/>
          <w:color w:val="auto"/>
        </w:rPr>
        <w:t>  Indemnification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4.1.1            The Company agrees to indemnify, to the extent permitted by law, each Holder of Registrable Securities, its officers, directors and agents and each person or entity who controls such Holder (within the meaning of the Securities Act), against all losses, claims, damages, liabilities and out-of-pocket expenses (including, without limitation, reasonable and documented outside attorneys’ fees) resulting from any untrue or alleged untrue statement of material fact contained in or incorporated by reference in any Registration Statement, Prospectus or preliminary Prospectus or any amendment thereof or supplement thereto or any omission or alleged omission of a material fact required to be stated therein or necessary to make the statements therein not misleading (in the case of a Prospectus, in light of the circumstances in which they were made), except insofar as the same are caused by or contained in any information or affidavit so furnished in writing to the Company by such Holder expressly for use therein.</w:t>
      </w:r>
    </w:p>
    <w:p>
      <w:pPr>
        <w:spacing w:after="0" w:line="125"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4.1.2            In connection with any Registration Statement in which a Holder of Registrable Securities is participating, such Holder shall furnish (or cause to be furnished) to the Company in writing such information and affidavits as the Company reasonably requests for use in connection with any such Registration Statement or Prospectus (the “</w:t>
      </w:r>
      <w:r>
        <w:rPr>
          <w:rFonts w:ascii="Times New Roman" w:cs="Times New Roman" w:eastAsia="Times New Roman" w:hAnsi="Times New Roman"/>
          <w:sz w:val="12"/>
          <w:szCs w:val="12"/>
          <w:u w:val="single" w:color="auto"/>
          <w:color w:val="auto"/>
        </w:rPr>
        <w:t>Holder Information</w:t>
      </w:r>
      <w:r>
        <w:rPr>
          <w:rFonts w:ascii="Times New Roman" w:cs="Times New Roman" w:eastAsia="Times New Roman" w:hAnsi="Times New Roman"/>
          <w:sz w:val="12"/>
          <w:szCs w:val="12"/>
          <w:color w:val="auto"/>
        </w:rPr>
        <w:t xml:space="preserve">”) and, to the extent permitted by law, shall indemnify the Company, its directors, officers and agents and each person or entity who controls the Company (within the meaning of the Securities Act) against all losses, claims, damages, liabilities and reasonable and documented out-of-pocket expenses (including, without limitation, reasonable and documented outside attorneys’ fees) resulting from any untrue or alleged untrue statement of material fact contained or incorporated by reference in any Registration Statement, Prospectus or preliminary Prospectus or any amendment thereof or supplement thereto or any omission or alleged omission of a material fact required to be stated therein or necessary to make the statements therein not misleading (in the case of a Prospectus, in light of the circumstances in which they were made), but only to the extent that such untrue statement is contained in (or not contained in, in the case of an omission) any information or affidavit so furnished in writing by or on behalf of such Holder expressly for use therein;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or entity who controls such Underwriters (within the meaning of the Securities Act) to the same extent as provided in the foregoing with respect to indemnification of the Company.</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90" w:name="page191"/>
    <w:bookmarkEnd w:id="190"/>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4.1.3            Any person or entity entitled to indemnification herein shall (i) give prompt written notice to the indemnifying party of any claim with respect to which it seeks indemnification (provided that the failure to give prompt notice shall not impair any person’s or entity’s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(plus one local counsel if necessary in the reasonable judgment of the indemnified party)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includes a statement or admission of fault and culpability on the part of such indemnified party or which settlement does not include as an unconditional term thereof the giving by the claimant or plaintiff to such indemnified party of a release from all liability in respect to such claim or litigation.</w:t>
      </w:r>
    </w:p>
    <w:p>
      <w:pPr>
        <w:spacing w:after="0" w:line="126"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4.1.4            The indemnification provided for under this Agreement shall remain in full force and effect regardless of any investigation made by or on behalf of the indemnified party or any officer, director or controlling person or entity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19"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 xml:space="preserve">4.1.5            If the indemnification provided under </w:t>
      </w:r>
      <w:r>
        <w:rPr>
          <w:rFonts w:ascii="Times New Roman" w:cs="Times New Roman" w:eastAsia="Times New Roman" w:hAnsi="Times New Roman"/>
          <w:sz w:val="12"/>
          <w:szCs w:val="12"/>
          <w:u w:val="single" w:color="auto"/>
          <w:color w:val="auto"/>
        </w:rPr>
        <w:t>Section 4.1</w:t>
      </w:r>
      <w:r>
        <w:rPr>
          <w:rFonts w:ascii="Times New Roman" w:cs="Times New Roman" w:eastAsia="Times New Roman" w:hAnsi="Times New Roman"/>
          <w:sz w:val="12"/>
          <w:szCs w:val="12"/>
          <w:color w:val="auto"/>
        </w:rPr>
        <w:t xml:space="preserve"> from the indemnifying party is unavailable or insufficient to hold harmless an indemnified party in respect of any losses, claims, damages, liabilities and documented out-of-pocket expenses referred to herein, then the indemnifying party, in lieu of indemnifying the indemnified party, shall contribute to the amount paid or payable by the indemnified party as a result of such losses, claims, damages, liabilities and documented out-of-pocket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the liability of any Holder under this </w:t>
      </w:r>
      <w:r>
        <w:rPr>
          <w:rFonts w:ascii="Times New Roman" w:cs="Times New Roman" w:eastAsia="Times New Roman" w:hAnsi="Times New Roman"/>
          <w:sz w:val="12"/>
          <w:szCs w:val="12"/>
          <w:u w:val="single" w:color="auto"/>
          <w:color w:val="auto"/>
        </w:rPr>
        <w:t>Section 4.1.5</w:t>
      </w:r>
      <w:r>
        <w:rPr>
          <w:rFonts w:ascii="Times New Roman" w:cs="Times New Roman" w:eastAsia="Times New Roman" w:hAnsi="Times New Roman"/>
          <w:sz w:val="12"/>
          <w:szCs w:val="12"/>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12"/>
          <w:szCs w:val="12"/>
          <w:u w:val="single" w:color="auto"/>
          <w:color w:val="auto"/>
        </w:rPr>
        <w:t>Sections 4.1.1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4.1.2</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4.1.3</w:t>
      </w:r>
      <w:r>
        <w:rPr>
          <w:rFonts w:ascii="Times New Roman" w:cs="Times New Roman" w:eastAsia="Times New Roman" w:hAnsi="Times New Roman"/>
          <w:sz w:val="12"/>
          <w:szCs w:val="12"/>
          <w:color w:val="auto"/>
        </w:rPr>
        <w:t xml:space="preserve"> above, any legal or other fees, charges or out-of-pocket expenses reasonably incurred by such party in connection with any investigation or proceeding. The parties hereto agree that it would not be just and equitable if contribution pursuant to this </w:t>
      </w:r>
      <w:r>
        <w:rPr>
          <w:rFonts w:ascii="Times New Roman" w:cs="Times New Roman" w:eastAsia="Times New Roman" w:hAnsi="Times New Roman"/>
          <w:sz w:val="12"/>
          <w:szCs w:val="12"/>
          <w:u w:val="single" w:color="auto"/>
          <w:color w:val="auto"/>
        </w:rPr>
        <w:t>Section 4.1.5</w:t>
      </w:r>
      <w:r>
        <w:rPr>
          <w:rFonts w:ascii="Times New Roman" w:cs="Times New Roman" w:eastAsia="Times New Roman" w:hAnsi="Times New Roman"/>
          <w:sz w:val="12"/>
          <w:szCs w:val="12"/>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2"/>
          <w:szCs w:val="12"/>
          <w:u w:val="single" w:color="auto"/>
          <w:color w:val="auto"/>
        </w:rPr>
        <w:t>Section 4.1.5</w:t>
      </w:r>
      <w:r>
        <w:rPr>
          <w:rFonts w:ascii="Times New Roman" w:cs="Times New Roman" w:eastAsia="Times New Roman" w:hAnsi="Times New Roman"/>
          <w:sz w:val="12"/>
          <w:szCs w:val="12"/>
          <w:color w:val="auto"/>
        </w:rPr>
        <w:t xml:space="preserve">. No person or entity guilty of fraudulent misrepresentation (within the meaning of Section 11(f) of the Securities Act) shall be entitled to contribution pursuant to this </w:t>
      </w:r>
      <w:r>
        <w:rPr>
          <w:rFonts w:ascii="Times New Roman" w:cs="Times New Roman" w:eastAsia="Times New Roman" w:hAnsi="Times New Roman"/>
          <w:sz w:val="12"/>
          <w:szCs w:val="12"/>
          <w:u w:val="single" w:color="auto"/>
          <w:color w:val="auto"/>
        </w:rPr>
        <w:t>Section 4.1.5</w:t>
      </w:r>
      <w:r>
        <w:rPr>
          <w:rFonts w:ascii="Times New Roman" w:cs="Times New Roman" w:eastAsia="Times New Roman" w:hAnsi="Times New Roman"/>
          <w:sz w:val="12"/>
          <w:szCs w:val="12"/>
          <w:color w:val="auto"/>
        </w:rPr>
        <w:t xml:space="preserve"> from any person or entity who was not guilty of such fraudulent misrepresentation.</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91" w:name="page192"/>
    <w:bookmarkEnd w:id="191"/>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ARTICLE V</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MISCELLANEOUS</w:t>
      </w:r>
    </w:p>
    <w:p>
      <w:pPr>
        <w:spacing w:after="0" w:line="13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1"/>
          <w:szCs w:val="11"/>
          <w:color w:val="auto"/>
        </w:rPr>
        <w:t>5.1          </w:t>
      </w:r>
      <w:r>
        <w:rPr>
          <w:rFonts w:ascii="Times New Roman" w:cs="Times New Roman" w:eastAsia="Times New Roman" w:hAnsi="Times New Roman"/>
          <w:sz w:val="11"/>
          <w:szCs w:val="11"/>
          <w:u w:val="single" w:color="auto"/>
          <w:color w:val="auto"/>
        </w:rPr>
        <w:t>  Notices</w:t>
      </w:r>
      <w:r>
        <w:rPr>
          <w:rFonts w:ascii="Times New Roman" w:cs="Times New Roman" w:eastAsia="Times New Roman" w:hAnsi="Times New Roman"/>
          <w:sz w:val="11"/>
          <w:szCs w:val="11"/>
          <w:color w:val="auto"/>
        </w:rPr>
        <w:t>. All notices, requests, demands, claims, and other communications hereunder shall be in writing. Any notice, request, demand, claim, or other communication hereunder shall be deemed to have been duly given</w:t>
      </w:r>
    </w:p>
    <w:p>
      <w:pPr>
        <w:spacing w:after="0" w:line="28" w:lineRule="exact"/>
        <w:rPr>
          <w:sz w:val="20"/>
          <w:szCs w:val="20"/>
          <w:color w:val="auto"/>
        </w:rPr>
      </w:pPr>
    </w:p>
    <w:p>
      <w:pPr>
        <w:jc w:val="both"/>
        <w:ind w:left="8" w:hanging="8"/>
        <w:spacing w:after="0" w:line="255" w:lineRule="auto"/>
        <w:tabs>
          <w:tab w:leader="none" w:pos="152"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when delivered in person, (ii) when delivered after posting in the United States mail having been sent registered or certified mail return receipt requested, postage prepaid, (iii) when delivered by FedEx or other nationally recognized overnight delivery service, or (iv) when delivered by email, during normal business hours on a Business Day and otherwise as of the opening of the immediately following Business Day, in each case, addressed to the intended recipient at its address specified on the signature page hereof or to such electronic mail address or address as subsequently modified by written notice given in accordance with this </w:t>
      </w:r>
      <w:r>
        <w:rPr>
          <w:rFonts w:ascii="Times New Roman" w:cs="Times New Roman" w:eastAsia="Times New Roman" w:hAnsi="Times New Roman"/>
          <w:sz w:val="12"/>
          <w:szCs w:val="12"/>
          <w:u w:val="single" w:color="auto"/>
          <w:color w:val="auto"/>
        </w:rPr>
        <w:t>Section 5.1</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5.2          </w:t>
      </w:r>
      <w:r>
        <w:rPr>
          <w:rFonts w:ascii="Times New Roman" w:cs="Times New Roman" w:eastAsia="Times New Roman" w:hAnsi="Times New Roman"/>
          <w:sz w:val="12"/>
          <w:szCs w:val="12"/>
          <w:u w:val="single" w:color="auto"/>
          <w:color w:val="auto"/>
        </w:rPr>
        <w:t>  Assignment; No Third Party Beneficiaries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5.2.1            This Agreement and the rights, duties and obligations of the Company hereunder may not be assigned or delegated by the Company in whole or in part.</w:t>
      </w:r>
    </w:p>
    <w:p>
      <w:pPr>
        <w:spacing w:after="0" w:line="150" w:lineRule="exact"/>
        <w:rPr>
          <w:sz w:val="20"/>
          <w:szCs w:val="20"/>
          <w:color w:val="auto"/>
        </w:rPr>
      </w:pPr>
    </w:p>
    <w:p>
      <w:pPr>
        <w:jc w:val="both"/>
        <w:ind w:left="8" w:firstLine="864"/>
        <w:spacing w:after="0" w:line="257" w:lineRule="auto"/>
        <w:rPr>
          <w:sz w:val="20"/>
          <w:szCs w:val="20"/>
          <w:color w:val="auto"/>
        </w:rPr>
      </w:pPr>
      <w:r>
        <w:rPr>
          <w:rFonts w:ascii="Times New Roman" w:cs="Times New Roman" w:eastAsia="Times New Roman" w:hAnsi="Times New Roman"/>
          <w:sz w:val="12"/>
          <w:szCs w:val="12"/>
          <w:color w:val="auto"/>
        </w:rPr>
        <w:t xml:space="preserve">5.2.2            Subject to </w:t>
      </w:r>
      <w:r>
        <w:rPr>
          <w:rFonts w:ascii="Times New Roman" w:cs="Times New Roman" w:eastAsia="Times New Roman" w:hAnsi="Times New Roman"/>
          <w:sz w:val="12"/>
          <w:szCs w:val="12"/>
          <w:u w:val="single" w:color="auto"/>
          <w:color w:val="auto"/>
        </w:rPr>
        <w:t>Section 5.2.4</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5.2.5</w:t>
      </w:r>
      <w:r>
        <w:rPr>
          <w:rFonts w:ascii="Times New Roman" w:cs="Times New Roman" w:eastAsia="Times New Roman" w:hAnsi="Times New Roman"/>
          <w:sz w:val="12"/>
          <w:szCs w:val="12"/>
          <w:color w:val="auto"/>
        </w:rPr>
        <w:t>, this Agreement and the rights, duties and obligations of a Holder hereunder may be assigned in whole or in part to such Holder’s Permitted Transferees to which it transfers Registrable Securities; provided that with respect to the Factorial Holders, the Sponsor, and the Cartesian Existing Investors, the rights hereunder that are personal to such Holders may not be assigned or delegated in whole or in part, except that each of the Holders shall be permitted to transfer its rights hereunder to one or more affiliates or any direct or indirect partners, members or equity holders of such Holder, which, for the avoidance of doubt, shall include a transfer of its rights in connection with a distribution of any Registrable Securities held by such Holder to its members (it being understood that no such transfer shall reduce or multiply any rights of such Holder or such transferees).</w:t>
      </w:r>
    </w:p>
    <w:p>
      <w:pPr>
        <w:spacing w:after="0" w:line="125"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5.2.3            This Agreement and the provisions hereof shall be binding upon and shall inure to the benefit of each of the parties and its successors and the permitted assigns of the Holders, which shall include Permitted</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Transferees.</w:t>
      </w:r>
    </w:p>
    <w:p>
      <w:pPr>
        <w:spacing w:after="0" w:line="139"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5.2.4            This Agreement shall not confer any rights or benefits on any persons or entities that are not parties hereto, other than as expressly set forth in this Agreement.</w:t>
      </w:r>
    </w:p>
    <w:p>
      <w:pPr>
        <w:spacing w:after="0" w:line="150" w:lineRule="exact"/>
        <w:rPr>
          <w:sz w:val="20"/>
          <w:szCs w:val="20"/>
          <w:color w:val="auto"/>
        </w:rPr>
      </w:pPr>
    </w:p>
    <w:p>
      <w:pPr>
        <w:jc w:val="both"/>
        <w:ind w:left="8" w:firstLine="864"/>
        <w:spacing w:after="0" w:line="300" w:lineRule="auto"/>
        <w:rPr>
          <w:sz w:val="20"/>
          <w:szCs w:val="20"/>
          <w:color w:val="auto"/>
        </w:rPr>
      </w:pPr>
      <w:r>
        <w:rPr>
          <w:rFonts w:ascii="Times New Roman" w:cs="Times New Roman" w:eastAsia="Times New Roman" w:hAnsi="Times New Roman"/>
          <w:sz w:val="11"/>
          <w:szCs w:val="11"/>
          <w:color w:val="auto"/>
        </w:rPr>
        <w:t xml:space="preserve">5.2.5            No assignment by any party hereto of such party’s rights, duties and obligations hereunder shall be binding upon or obligate the Company unless and until the Company shall have received (i) written notice of such assignment as provided in </w:t>
      </w:r>
      <w:r>
        <w:rPr>
          <w:rFonts w:ascii="Times New Roman" w:cs="Times New Roman" w:eastAsia="Times New Roman" w:hAnsi="Times New Roman"/>
          <w:sz w:val="11"/>
          <w:szCs w:val="11"/>
          <w:u w:val="single" w:color="auto"/>
          <w:color w:val="auto"/>
        </w:rPr>
        <w:t>Section 5.1</w:t>
      </w:r>
      <w:r>
        <w:rPr>
          <w:rFonts w:ascii="Times New Roman" w:cs="Times New Roman" w:eastAsia="Times New Roman" w:hAnsi="Times New Roman"/>
          <w:sz w:val="11"/>
          <w:szCs w:val="11"/>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including the joinder in the form of </w:t>
      </w:r>
      <w:r>
        <w:rPr>
          <w:rFonts w:ascii="Times New Roman" w:cs="Times New Roman" w:eastAsia="Times New Roman" w:hAnsi="Times New Roman"/>
          <w:sz w:val="11"/>
          <w:szCs w:val="11"/>
          <w:u w:val="single" w:color="auto"/>
          <w:color w:val="auto"/>
        </w:rPr>
        <w:t>Exhibit A</w:t>
      </w:r>
      <w:r>
        <w:rPr>
          <w:rFonts w:ascii="Times New Roman" w:cs="Times New Roman" w:eastAsia="Times New Roman" w:hAnsi="Times New Roman"/>
          <w:sz w:val="11"/>
          <w:szCs w:val="11"/>
          <w:color w:val="auto"/>
        </w:rPr>
        <w:t xml:space="preserve"> attached hereto). Any transfer or assignment made other than as provided in this </w:t>
      </w:r>
      <w:r>
        <w:rPr>
          <w:rFonts w:ascii="Times New Roman" w:cs="Times New Roman" w:eastAsia="Times New Roman" w:hAnsi="Times New Roman"/>
          <w:sz w:val="11"/>
          <w:szCs w:val="11"/>
          <w:u w:val="single" w:color="auto"/>
          <w:color w:val="auto"/>
        </w:rPr>
        <w:t>Section 5.2</w:t>
      </w:r>
      <w:r>
        <w:rPr>
          <w:rFonts w:ascii="Times New Roman" w:cs="Times New Roman" w:eastAsia="Times New Roman" w:hAnsi="Times New Roman"/>
          <w:sz w:val="11"/>
          <w:szCs w:val="11"/>
          <w:color w:val="auto"/>
        </w:rPr>
        <w:t xml:space="preserve"> shall be null and void.</w:t>
      </w:r>
    </w:p>
    <w:p>
      <w:pPr>
        <w:spacing w:after="0" w:line="102"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5.3          </w:t>
      </w:r>
      <w:r>
        <w:rPr>
          <w:rFonts w:ascii="Times New Roman" w:cs="Times New Roman" w:eastAsia="Times New Roman" w:hAnsi="Times New Roman"/>
          <w:sz w:val="12"/>
          <w:szCs w:val="12"/>
          <w:u w:val="single" w:color="auto"/>
          <w:color w:val="auto"/>
        </w:rPr>
        <w:t>  Counterparts</w:t>
      </w:r>
      <w:r>
        <w:rPr>
          <w:rFonts w:ascii="Times New Roman" w:cs="Times New Roman" w:eastAsia="Times New Roman" w:hAnsi="Times New Roman"/>
          <w:sz w:val="12"/>
          <w:szCs w:val="12"/>
          <w:color w:val="auto"/>
        </w:rPr>
        <w:t>. This Agreement may be executed and delivered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25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92" w:name="page193"/>
    <w:bookmarkEnd w:id="192"/>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5.4          </w:t>
      </w:r>
      <w:r>
        <w:rPr>
          <w:rFonts w:ascii="Times New Roman" w:cs="Times New Roman" w:eastAsia="Times New Roman" w:hAnsi="Times New Roman"/>
          <w:sz w:val="12"/>
          <w:szCs w:val="12"/>
          <w:u w:val="single" w:color="auto"/>
          <w:color w:val="auto"/>
        </w:rPr>
        <w:t>  Governing Law; Venue</w:t>
      </w:r>
      <w:r>
        <w:rPr>
          <w:rFonts w:ascii="Times New Roman" w:cs="Times New Roman" w:eastAsia="Times New Roman" w:hAnsi="Times New Roman"/>
          <w:sz w:val="12"/>
          <w:szCs w:val="12"/>
          <w:color w:val="auto"/>
        </w:rPr>
        <w:t>. This Agreement, and any claim or cause of action hereunder based upon, arising out of or related to this Agreement (whether based on law, in equity, in contract, in tort or any other theory) or the negotiation, execution, performance or enforcement of this Agreement, shall be governed by, and construed in accordance with, the laws of the State of Delaware, without regard to the principles of conflicts of laws that would otherwise require the application of the law of any other state. The parties agree that all disputes, legal actions, suits and proceedings arising out of or relating to this Agreement must be brought exclusively in the Court of Chancery of the State of Delaware (or, to the extent such court does not have subject matter jurisdiction, the Superior Court of the State of Delaware), or, if it has or can acquire jurisdiction, in the United States District Court for the District of Delaware (collectively the “</w:t>
      </w:r>
      <w:r>
        <w:rPr>
          <w:rFonts w:ascii="Times New Roman" w:cs="Times New Roman" w:eastAsia="Times New Roman" w:hAnsi="Times New Roman"/>
          <w:sz w:val="12"/>
          <w:szCs w:val="12"/>
          <w:u w:val="single" w:color="auto"/>
          <w:color w:val="auto"/>
        </w:rPr>
        <w:t>Designated Courts</w:t>
      </w:r>
      <w:r>
        <w:rPr>
          <w:rFonts w:ascii="Times New Roman" w:cs="Times New Roman" w:eastAsia="Times New Roman" w:hAnsi="Times New Roman"/>
          <w:sz w:val="12"/>
          <w:szCs w:val="12"/>
          <w:color w:val="auto"/>
        </w:rPr>
        <w:t xml:space="preserve">”). Each party hereby consents and submits to the exclusive jurisdiction of the Designated Courts. No legal action, suit or proceeding with respect to this Agreement may be brought in any other forum. Each party hereby irrevocably waives all claims of immunity from jurisdiction, and any objection which such party may now or hereafter have to the laying of venue of any suit, action or proceeding in any Designated Court, including any right to object on the basis that any dispute, action, suit or proceeding brought in the Designated Courts has been brought in an improper or inconvenient forum or venue. Each of the parties also agrees that delivery of any process, summons, notice or document to a party hereof in compliance with </w:t>
      </w:r>
      <w:r>
        <w:rPr>
          <w:rFonts w:ascii="Times New Roman" w:cs="Times New Roman" w:eastAsia="Times New Roman" w:hAnsi="Times New Roman"/>
          <w:sz w:val="12"/>
          <w:szCs w:val="12"/>
          <w:u w:val="single" w:color="auto"/>
          <w:color w:val="auto"/>
        </w:rPr>
        <w:t>Section 5.1</w:t>
      </w:r>
      <w:r>
        <w:rPr>
          <w:rFonts w:ascii="Times New Roman" w:cs="Times New Roman" w:eastAsia="Times New Roman" w:hAnsi="Times New Roman"/>
          <w:sz w:val="12"/>
          <w:szCs w:val="12"/>
          <w:color w:val="auto"/>
        </w:rPr>
        <w:t xml:space="preserve"> of this Agreement shall be effective service of process for any action, suit or proceeding in a Designated Court with respect to any matters to which the parties have submitted to jurisdiction as set forth above.</w:t>
      </w:r>
    </w:p>
    <w:p>
      <w:pPr>
        <w:spacing w:after="0" w:line="12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b w:val="1"/>
          <w:bCs w:val="1"/>
          <w:color w:val="auto"/>
        </w:rPr>
        <w:t>5.5          </w:t>
      </w:r>
      <w:r>
        <w:rPr>
          <w:rFonts w:ascii="Times New Roman" w:cs="Times New Roman" w:eastAsia="Times New Roman" w:hAnsi="Times New Roman"/>
          <w:sz w:val="12"/>
          <w:szCs w:val="12"/>
          <w:b w:val="1"/>
          <w:bCs w:val="1"/>
          <w:u w:val="single" w:color="auto"/>
          <w:color w:val="auto"/>
        </w:rPr>
        <w:t>  TRIAL BY JURY</w:t>
      </w:r>
      <w:r>
        <w:rPr>
          <w:rFonts w:ascii="Times New Roman" w:cs="Times New Roman" w:eastAsia="Times New Roman" w:hAnsi="Times New Roman"/>
          <w:sz w:val="12"/>
          <w:szCs w:val="12"/>
          <w:b w:val="1"/>
          <w:bCs w:val="1"/>
          <w:color w:val="auto"/>
        </w:rPr>
        <w:t>. EACH PARTY HEREBY WAIVES ITS RESPECTIVE RIGHTS TO A TRIAL BY JURY OF ANY CLAIM OR CAUSE OF ACTION BASED UPON OR ARISING OUT OR RELATED TO THIS AGREEMENT OR THE TRANSACTIONS CONTEMPLATED HEREBY IN ANY ACTION, PROCEEDING OR OTHER LITIGATION OF ANY TYPE BROUGHT BY ANY PARTY AGAINST ANY OTHER PARTY OR ANY AFFILIATE OF ANY OTHER SUCH PARTY, WHETHER WITH RESPECT TO CONTRACT CLAIMS, TORT CLAIMS OR OTHERWISE. THE PARTIES AGREE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SEEKS, IN WHOLE OR IN PART, TO CHALLENGE THE VALIDITY OR ENFORCEABILITY OF THIS AGREEMENT OR ANY PROVISION HEREOF. THIS WAIVER SHALL APPLY TO ANY SUBSEQUENT AMENDMENTS, RENEWALS, SUPPLEMENTS OR MODIFICATIONS TO THIS AGREEMENT.</w:t>
      </w:r>
    </w:p>
    <w:p>
      <w:pPr>
        <w:spacing w:after="0" w:line="12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5.6          </w:t>
      </w:r>
      <w:r>
        <w:rPr>
          <w:rFonts w:ascii="Times New Roman" w:cs="Times New Roman" w:eastAsia="Times New Roman" w:hAnsi="Times New Roman"/>
          <w:sz w:val="12"/>
          <w:szCs w:val="12"/>
          <w:u w:val="single" w:color="auto"/>
          <w:color w:val="auto"/>
        </w:rPr>
        <w:t>  Amendments and Modifications</w:t>
      </w:r>
      <w:r>
        <w:rPr>
          <w:rFonts w:ascii="Times New Roman" w:cs="Times New Roman" w:eastAsia="Times New Roman" w:hAnsi="Times New Roman"/>
          <w:sz w:val="12"/>
          <w:szCs w:val="12"/>
          <w:color w:val="auto"/>
        </w:rPr>
        <w:t xml:space="preserve">. Upon the written consent of (a) the Company and (b) the Holders of a majority of the total Registrable Securities, compliance with any of the provisions, covenants and conditions set forth in this Agreement may be waived, or any of such provisions, covenants or conditions may be amended or modified;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notwithstanding the foregoing, any amendment hereto or waiver hereof shall also require the written consent of a Factorial Holder, for so long as such Factorial Holder and its affiliates hold, in the aggregate, Registrable Securities representing at least five percent (5%) of the outstanding shares of Series A Common Stock of the Company; and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any amendment hereto or waiver hereof that adversely affects one Holder, solely in its capacity as a holder of the shares of capital stock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93" w:name="page194"/>
    <w:bookmarkEnd w:id="193"/>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5.7          </w:t>
      </w:r>
      <w:r>
        <w:rPr>
          <w:rFonts w:ascii="Times New Roman" w:cs="Times New Roman" w:eastAsia="Times New Roman" w:hAnsi="Times New Roman"/>
          <w:sz w:val="12"/>
          <w:szCs w:val="12"/>
          <w:u w:val="single" w:color="auto"/>
          <w:color w:val="auto"/>
        </w:rPr>
        <w:t>  Other Registration Rights</w:t>
      </w:r>
      <w:r>
        <w:rPr>
          <w:rFonts w:ascii="Times New Roman" w:cs="Times New Roman" w:eastAsia="Times New Roman" w:hAnsi="Times New Roman"/>
          <w:sz w:val="12"/>
          <w:szCs w:val="12"/>
          <w:color w:val="auto"/>
        </w:rPr>
        <w:t xml:space="preserve">. Other than as provided in the (i) Private Placement Warrants Purchase Agreement, dated as of May 1, 2025, between the Company and the Sponsor, (ii) Private Placement Warrants Purchase Agreement, dated as of May 1, 2025, between the Company and Cantor, and (iii) any subscription agreement entered into by the Company and the investors party thereto in connection with a PIPE Investment, the Company represents and warrants that no person or entity, other than a Holder of Registrable Securities, has any right to require the Company to register any securities of the Company for sale or to include such securities of the Company in any Registration Statement filed by the Company for the sale of securities for its own account or for the account of any other person or entity. The Company hereby agrees and covenants that it will not grant rights to register any Series A Common Stock (or securities convertible into or exchangeable for Series A Common Stock) pursuant to the Securities Act that are more favorable, </w:t>
      </w:r>
      <w:r>
        <w:rPr>
          <w:rFonts w:ascii="Times New Roman" w:cs="Times New Roman" w:eastAsia="Times New Roman" w:hAnsi="Times New Roman"/>
          <w:sz w:val="12"/>
          <w:szCs w:val="12"/>
          <w:i w:val="1"/>
          <w:iCs w:val="1"/>
          <w:color w:val="auto"/>
        </w:rPr>
        <w:t>pari passu</w:t>
      </w:r>
      <w:r>
        <w:rPr>
          <w:rFonts w:ascii="Times New Roman" w:cs="Times New Roman" w:eastAsia="Times New Roman" w:hAnsi="Times New Roman"/>
          <w:sz w:val="12"/>
          <w:szCs w:val="12"/>
          <w:color w:val="auto"/>
        </w:rPr>
        <w:t xml:space="preserve"> or senior to those granted to the Holders hereunder without (a) the prior written consent of a Factorial Holder, for so long as such Factorial Holder and its affiliates hold, in the aggregate, Registrable Securities representing at least five percent (5%) of the outstanding shares of Series A Common Stock of the Company or (b) granting economically and legally equivalent rights to the Holders hereunder such that the Holders shall receive the benefit of such more favorable or senior terms and/or conditions.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127" w:lineRule="exact"/>
        <w:rPr>
          <w:sz w:val="20"/>
          <w:szCs w:val="20"/>
          <w:color w:val="auto"/>
        </w:rPr>
      </w:pPr>
    </w:p>
    <w:p>
      <w:pPr>
        <w:jc w:val="both"/>
        <w:ind w:firstLine="432"/>
        <w:spacing w:after="0" w:line="218" w:lineRule="auto"/>
        <w:rPr>
          <w:sz w:val="20"/>
          <w:szCs w:val="20"/>
          <w:color w:val="auto"/>
        </w:rPr>
      </w:pPr>
      <w:r>
        <w:rPr>
          <w:rFonts w:ascii="Times New Roman" w:cs="Times New Roman" w:eastAsia="Times New Roman" w:hAnsi="Times New Roman"/>
          <w:sz w:val="12"/>
          <w:szCs w:val="12"/>
          <w:color w:val="auto"/>
        </w:rPr>
        <w:t>5.8          </w:t>
      </w:r>
      <w:r>
        <w:rPr>
          <w:rFonts w:ascii="Times New Roman" w:cs="Times New Roman" w:eastAsia="Times New Roman" w:hAnsi="Times New Roman"/>
          <w:sz w:val="12"/>
          <w:szCs w:val="12"/>
          <w:u w:val="single" w:color="auto"/>
          <w:color w:val="auto"/>
        </w:rPr>
        <w:t>  Term</w:t>
      </w:r>
      <w:r>
        <w:rPr>
          <w:rFonts w:ascii="Times New Roman" w:cs="Times New Roman" w:eastAsia="Times New Roman" w:hAnsi="Times New Roman"/>
          <w:sz w:val="12"/>
          <w:szCs w:val="12"/>
          <w:color w:val="auto"/>
        </w:rPr>
        <w:t>. This Agreement shall terminate on the earlier of (a) the seventh (7</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anniversary of the date of this Agreement and (b) with respect to any Holder, on the date that such Holder no longer holds any Registrable Securities. The provisions of </w:t>
      </w:r>
      <w:r>
        <w:rPr>
          <w:rFonts w:ascii="Times New Roman" w:cs="Times New Roman" w:eastAsia="Times New Roman" w:hAnsi="Times New Roman"/>
          <w:sz w:val="12"/>
          <w:szCs w:val="12"/>
          <w:u w:val="single" w:color="auto"/>
          <w:color w:val="auto"/>
        </w:rPr>
        <w:t>Sections 3.5</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shall survive any termination.</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5.9          </w:t>
      </w:r>
      <w:r>
        <w:rPr>
          <w:rFonts w:ascii="Times New Roman" w:cs="Times New Roman" w:eastAsia="Times New Roman" w:hAnsi="Times New Roman"/>
          <w:sz w:val="11"/>
          <w:szCs w:val="11"/>
          <w:u w:val="single" w:color="auto"/>
          <w:color w:val="auto"/>
        </w:rPr>
        <w:t>  Holder Information</w:t>
      </w:r>
      <w:r>
        <w:rPr>
          <w:rFonts w:ascii="Times New Roman" w:cs="Times New Roman" w:eastAsia="Times New Roman" w:hAnsi="Times New Roman"/>
          <w:sz w:val="11"/>
          <w:szCs w:val="11"/>
          <w:color w:val="auto"/>
        </w:rPr>
        <w:t>. Each Holder agrees, if requested in writing, to represent to the Company the total number of Registrable Securities held by such Holder in order for the Company to make determinations hereunder.</w:t>
      </w:r>
    </w:p>
    <w:p>
      <w:pPr>
        <w:spacing w:after="0" w:line="16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5.10        </w:t>
      </w:r>
      <w:r>
        <w:rPr>
          <w:rFonts w:ascii="Times New Roman" w:cs="Times New Roman" w:eastAsia="Times New Roman" w:hAnsi="Times New Roman"/>
          <w:sz w:val="12"/>
          <w:szCs w:val="12"/>
          <w:u w:val="single" w:color="auto"/>
          <w:color w:val="auto"/>
        </w:rPr>
        <w:t>  Severability</w:t>
      </w:r>
      <w:r>
        <w:rPr>
          <w:rFonts w:ascii="Times New Roman" w:cs="Times New Roman" w:eastAsia="Times New Roman" w:hAnsi="Times New Roman"/>
          <w:sz w:val="12"/>
          <w:szCs w:val="12"/>
          <w:color w:val="auto"/>
        </w:rPr>
        <w:t>. It is the desire and intent of the parties that the provisions of this Agreement be enforced to the fullest extent permissible under the laws and public policies applied in each jurisdiction in which enforcement is sought. Accordingly, if any particular provision of this Agreement shall be adjudicated by a court of competent jurisdiction to be invalid, prohibited or unenforceable for any reason, such provision, as to such jurisdiction, shall be ineffective, without invalidating the remaining provisions of this Agreement or affecting the validity or enforceability of this Agreement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Agreement or affecting the validity or enforceability of such provision in any other jurisdiction.</w:t>
      </w:r>
    </w:p>
    <w:p>
      <w:pPr>
        <w:spacing w:after="0" w:line="125"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5.11        </w:t>
      </w:r>
      <w:r>
        <w:rPr>
          <w:rFonts w:ascii="Times New Roman" w:cs="Times New Roman" w:eastAsia="Times New Roman" w:hAnsi="Times New Roman"/>
          <w:sz w:val="12"/>
          <w:szCs w:val="12"/>
          <w:u w:val="single" w:color="auto"/>
          <w:color w:val="auto"/>
        </w:rPr>
        <w:t>  Entire Agreement; Restatement</w:t>
      </w:r>
      <w:r>
        <w:rPr>
          <w:rFonts w:ascii="Times New Roman" w:cs="Times New Roman" w:eastAsia="Times New Roman" w:hAnsi="Times New Roman"/>
          <w:sz w:val="12"/>
          <w:szCs w:val="12"/>
          <w:color w:val="auto"/>
        </w:rPr>
        <w:t>. This Agreement constitutes the full and entire agreement and understanding between the parties with respect to the subject matter hereof and supersedes all prior agreements and understandings relating to such subject matter. Upon the Closing, the Original RRA shall no longer be of any force or effect.</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5.12        </w:t>
      </w:r>
      <w:r>
        <w:rPr>
          <w:rFonts w:ascii="Times New Roman" w:cs="Times New Roman" w:eastAsia="Times New Roman" w:hAnsi="Times New Roman"/>
          <w:sz w:val="12"/>
          <w:szCs w:val="12"/>
          <w:u w:val="single" w:color="auto"/>
          <w:color w:val="auto"/>
        </w:rPr>
        <w:t>  Adjustments.</w:t>
      </w:r>
      <w:r>
        <w:rPr>
          <w:rFonts w:ascii="Times New Roman" w:cs="Times New Roman" w:eastAsia="Times New Roman" w:hAnsi="Times New Roman"/>
          <w:sz w:val="12"/>
          <w:szCs w:val="12"/>
          <w:color w:val="auto"/>
        </w:rPr>
        <w:t xml:space="preserve"> If, and as often as, there are any changes in the Registrable Securities by way of stock split, stock dividend, combination or reclassification, or through merger, consolidation, reorganization, recapitalization or sale, or by any other means, appropriate adjustment shall be made in the provisions of this Agreement, as may be required, so that the rights, privileges, duties and obligations hereunder shall continue with respect to the Registrable Securities as so changed.</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[SIGNATURE PAGES FOLLOW]</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2"/>
          <w:szCs w:val="12"/>
          <w:color w:val="auto"/>
        </w:rPr>
        <w:t>IN WITNESS WHEREOF, the undersigned have caused this Agreement to be executed as of the date first written above.</w:t>
      </w:r>
    </w:p>
    <w:p>
      <w:pPr>
        <w:spacing w:after="0" w:line="14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COMPANY:</w:t>
      </w:r>
    </w:p>
    <w:p>
      <w:pPr>
        <w:spacing w:after="0" w:line="1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FACTORIAL HOLDINGS, INC.</w:t>
      </w:r>
    </w:p>
    <w:p>
      <w:pPr>
        <w:spacing w:after="0" w:line="1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10795</wp:posOffset>
            </wp:positionV>
            <wp:extent cx="337185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560"/>
        <w:spacing w:after="0"/>
        <w:rPr>
          <w:sz w:val="20"/>
          <w:szCs w:val="20"/>
          <w:color w:val="auto"/>
        </w:rPr>
      </w:pPr>
      <w:r>
        <w:rPr>
          <w:rFonts w:ascii="Times New Roman" w:cs="Times New Roman" w:eastAsia="Times New Roman" w:hAnsi="Times New Roman"/>
          <w:sz w:val="12"/>
          <w:szCs w:val="12"/>
          <w:color w:val="auto"/>
        </w:rPr>
        <w:t>Name:</w:t>
      </w:r>
    </w:p>
    <w:p>
      <w:pPr>
        <w:spacing w:after="0" w:line="1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Title:</w:t>
      </w:r>
    </w:p>
    <w:p>
      <w:pPr>
        <w:spacing w:after="0" w:line="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Address for Notices:</w:t>
      </w:r>
    </w:p>
    <w:p>
      <w:pPr>
        <w:spacing w:after="0" w:line="13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SPONSOR:</w:t>
      </w:r>
    </w:p>
    <w:p>
      <w:pPr>
        <w:spacing w:after="0" w:line="1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CGC III SPONSOR LLC</w:t>
      </w:r>
    </w:p>
    <w:p>
      <w:pPr>
        <w:spacing w:after="0" w:line="1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10795</wp:posOffset>
            </wp:positionV>
            <wp:extent cx="337185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560"/>
        <w:spacing w:after="0"/>
        <w:rPr>
          <w:sz w:val="20"/>
          <w:szCs w:val="20"/>
          <w:color w:val="auto"/>
        </w:rPr>
      </w:pPr>
      <w:r>
        <w:rPr>
          <w:rFonts w:ascii="Times New Roman" w:cs="Times New Roman" w:eastAsia="Times New Roman" w:hAnsi="Times New Roman"/>
          <w:sz w:val="12"/>
          <w:szCs w:val="12"/>
          <w:color w:val="auto"/>
        </w:rPr>
        <w:t>Name:</w:t>
      </w:r>
    </w:p>
    <w:p>
      <w:pPr>
        <w:spacing w:after="0" w:line="1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Title:</w:t>
      </w:r>
    </w:p>
    <w:p>
      <w:pPr>
        <w:spacing w:after="0" w:line="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Address for Notices:</w:t>
      </w:r>
    </w:p>
    <w:p>
      <w:pPr>
        <w:spacing w:after="0" w:line="13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CARTESIAN EXISTING INVESTORS:</w:t>
      </w:r>
    </w:p>
    <w:p>
      <w:pPr>
        <w:spacing w:after="0" w:line="1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1"/>
          <w:szCs w:val="11"/>
          <w:b w:val="1"/>
          <w:bCs w:val="1"/>
          <w:color w:val="auto"/>
        </w:rPr>
        <w:t>CGC III SPONSOR DIRECTORCO LLC</w:t>
      </w:r>
    </w:p>
    <w:p>
      <w:pPr>
        <w:spacing w:after="0" w:line="1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10795</wp:posOffset>
            </wp:positionV>
            <wp:extent cx="337185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560"/>
        <w:spacing w:after="0"/>
        <w:rPr>
          <w:sz w:val="20"/>
          <w:szCs w:val="20"/>
          <w:color w:val="auto"/>
        </w:rPr>
      </w:pPr>
      <w:r>
        <w:rPr>
          <w:rFonts w:ascii="Times New Roman" w:cs="Times New Roman" w:eastAsia="Times New Roman" w:hAnsi="Times New Roman"/>
          <w:sz w:val="12"/>
          <w:szCs w:val="12"/>
          <w:color w:val="auto"/>
        </w:rPr>
        <w:t>Name:</w:t>
      </w:r>
    </w:p>
    <w:p>
      <w:pPr>
        <w:spacing w:after="0" w:line="1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Title:</w:t>
      </w:r>
    </w:p>
    <w:p>
      <w:pPr>
        <w:spacing w:after="0" w:line="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Address for Notices:</w:t>
      </w:r>
    </w:p>
    <w:p>
      <w:pPr>
        <w:spacing w:after="0" w:line="13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CANTOR FITZGERALD &amp; CO.</w:t>
      </w:r>
    </w:p>
    <w:p>
      <w:pPr>
        <w:spacing w:after="0" w:line="1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10795</wp:posOffset>
            </wp:positionV>
            <wp:extent cx="337185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560"/>
        <w:spacing w:after="0"/>
        <w:rPr>
          <w:sz w:val="20"/>
          <w:szCs w:val="20"/>
          <w:color w:val="auto"/>
        </w:rPr>
      </w:pPr>
      <w:r>
        <w:rPr>
          <w:rFonts w:ascii="Times New Roman" w:cs="Times New Roman" w:eastAsia="Times New Roman" w:hAnsi="Times New Roman"/>
          <w:sz w:val="12"/>
          <w:szCs w:val="12"/>
          <w:color w:val="auto"/>
        </w:rPr>
        <w:t>Name:</w:t>
      </w:r>
    </w:p>
    <w:p>
      <w:pPr>
        <w:spacing w:after="0" w:line="1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Title:</w:t>
      </w:r>
    </w:p>
    <w:p>
      <w:pPr>
        <w:spacing w:after="0" w:line="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Address for Notices:</w:t>
      </w:r>
    </w:p>
    <w:p>
      <w:pPr>
        <w:spacing w:after="0" w:line="13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Amended and Restated Registration Rights Agreement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297815</wp:posOffset>
            </wp:positionV>
            <wp:extent cx="717804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739"/>
          </w:cols>
          <w:pgMar w:left="720" w:top="651" w:right="1440" w:bottom="1440" w:gutter="0" w:footer="0" w:header="0"/>
        </w:sectPr>
      </w:pPr>
    </w:p>
    <w:bookmarkStart w:id="195" w:name="page196"/>
    <w:bookmarkEnd w:id="195"/>
    <w:p>
      <w:pPr>
        <w:ind w:left="4520"/>
        <w:spacing w:after="0"/>
        <w:rPr>
          <w:sz w:val="20"/>
          <w:szCs w:val="20"/>
          <w:color w:val="auto"/>
        </w:rPr>
      </w:pPr>
      <w:r>
        <w:rPr>
          <w:rFonts w:ascii="Times New Roman" w:cs="Times New Roman" w:eastAsia="Times New Roman" w:hAnsi="Times New Roman"/>
          <w:sz w:val="12"/>
          <w:szCs w:val="12"/>
          <w:b w:val="1"/>
          <w:bCs w:val="1"/>
          <w:color w:val="auto"/>
        </w:rPr>
        <w:t>FACTORIAL HOLDERS:</w:t>
      </w:r>
    </w:p>
    <w:p>
      <w:pPr>
        <w:spacing w:after="0" w:line="15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2"/>
          <w:szCs w:val="12"/>
          <w:b w:val="1"/>
          <w:bCs w:val="1"/>
          <w:color w:val="auto"/>
        </w:rPr>
        <w:t>[Entity Factorial Holders]</w:t>
      </w:r>
    </w:p>
    <w:p>
      <w:pPr>
        <w:spacing w:after="0" w:line="15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2"/>
          <w:szCs w:val="12"/>
          <w:color w:val="auto"/>
        </w:rPr>
        <w:t>By:</w:t>
      </w:r>
    </w:p>
    <w:p>
      <w:pPr>
        <w:spacing w:after="0" w:line="1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3077210</wp:posOffset>
            </wp:positionH>
            <wp:positionV relativeFrom="paragraph">
              <wp:posOffset>-86995</wp:posOffset>
            </wp:positionV>
            <wp:extent cx="337185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4840"/>
        <w:spacing w:after="0"/>
        <w:rPr>
          <w:sz w:val="20"/>
          <w:szCs w:val="20"/>
          <w:color w:val="auto"/>
        </w:rPr>
      </w:pPr>
      <w:r>
        <w:rPr>
          <w:rFonts w:ascii="Times New Roman" w:cs="Times New Roman" w:eastAsia="Times New Roman" w:hAnsi="Times New Roman"/>
          <w:sz w:val="12"/>
          <w:szCs w:val="12"/>
          <w:color w:val="auto"/>
        </w:rPr>
        <w:t>Title:</w:t>
      </w:r>
    </w:p>
    <w:p>
      <w:pPr>
        <w:spacing w:after="0" w:line="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2"/>
          <w:szCs w:val="12"/>
          <w:color w:val="auto"/>
        </w:rPr>
        <w:t>Address for Notices:</w:t>
      </w:r>
    </w:p>
    <w:p>
      <w:pPr>
        <w:spacing w:after="0" w:line="28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2"/>
          <w:szCs w:val="12"/>
          <w:b w:val="1"/>
          <w:bCs w:val="1"/>
          <w:color w:val="auto"/>
        </w:rPr>
        <w:t>[Individual Factorial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2865755</wp:posOffset>
            </wp:positionH>
            <wp:positionV relativeFrom="paragraph">
              <wp:posOffset>-83185</wp:posOffset>
            </wp:positionV>
            <wp:extent cx="3583305"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583305" cy="5715"/>
                    </a:xfrm>
                    <a:prstGeom prst="rect">
                      <a:avLst/>
                    </a:prstGeom>
                    <a:noFill/>
                  </pic:spPr>
                </pic:pic>
              </a:graphicData>
            </a:graphic>
          </wp:anchor>
        </w:drawing>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2"/>
          <w:szCs w:val="12"/>
          <w:color w:val="auto"/>
        </w:rPr>
        <w:t>Address for Notices:</w:t>
      </w:r>
    </w:p>
    <w:p>
      <w:pPr>
        <w:spacing w:after="0" w:line="1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2"/>
          <w:szCs w:val="12"/>
          <w:b w:val="1"/>
          <w:bCs w:val="1"/>
          <w:color w:val="auto"/>
        </w:rPr>
        <w:t>NON-REDEMPTION HOLDERS:</w:t>
      </w:r>
    </w:p>
    <w:p>
      <w:pPr>
        <w:spacing w:after="0" w:line="15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2"/>
          <w:szCs w:val="12"/>
          <w:b w:val="1"/>
          <w:bCs w:val="1"/>
          <w:color w:val="auto"/>
        </w:rPr>
        <w:t>[Entity Non-Redemption Holders]</w:t>
      </w:r>
    </w:p>
    <w:p>
      <w:pPr>
        <w:spacing w:after="0" w:line="15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3077210</wp:posOffset>
            </wp:positionH>
            <wp:positionV relativeFrom="paragraph">
              <wp:posOffset>10795</wp:posOffset>
            </wp:positionV>
            <wp:extent cx="337185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4840"/>
        <w:spacing w:after="0"/>
        <w:rPr>
          <w:sz w:val="20"/>
          <w:szCs w:val="20"/>
          <w:color w:val="auto"/>
        </w:rPr>
      </w:pPr>
      <w:r>
        <w:rPr>
          <w:rFonts w:ascii="Times New Roman" w:cs="Times New Roman" w:eastAsia="Times New Roman" w:hAnsi="Times New Roman"/>
          <w:sz w:val="12"/>
          <w:szCs w:val="12"/>
          <w:color w:val="auto"/>
        </w:rPr>
        <w:t>Name:</w:t>
      </w:r>
    </w:p>
    <w:p>
      <w:pPr>
        <w:spacing w:after="0" w:line="1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2"/>
          <w:szCs w:val="12"/>
          <w:color w:val="auto"/>
        </w:rPr>
        <w:t>Title:</w:t>
      </w:r>
    </w:p>
    <w:p>
      <w:pPr>
        <w:spacing w:after="0" w:line="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2"/>
          <w:szCs w:val="12"/>
          <w:color w:val="auto"/>
        </w:rPr>
        <w:t>Address for Notices:</w:t>
      </w:r>
    </w:p>
    <w:p>
      <w:pPr>
        <w:spacing w:after="0" w:line="28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1"/>
          <w:szCs w:val="11"/>
          <w:b w:val="1"/>
          <w:bCs w:val="1"/>
          <w:color w:val="auto"/>
        </w:rPr>
        <w:t>[Individual Non-Redemption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2865755</wp:posOffset>
            </wp:positionH>
            <wp:positionV relativeFrom="paragraph">
              <wp:posOffset>-76200</wp:posOffset>
            </wp:positionV>
            <wp:extent cx="358330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583305" cy="5715"/>
                    </a:xfrm>
                    <a:prstGeom prst="rect">
                      <a:avLst/>
                    </a:prstGeom>
                    <a:noFill/>
                  </pic:spPr>
                </pic:pic>
              </a:graphicData>
            </a:graphic>
          </wp:anchor>
        </w:drawing>
      </w:r>
    </w:p>
    <w:p>
      <w:pPr>
        <w:spacing w:after="0" w:line="1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2"/>
          <w:szCs w:val="12"/>
          <w:color w:val="auto"/>
        </w:rPr>
        <w:t>Address for Notices: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i w:val="1"/>
          <w:iCs w:val="1"/>
          <w:color w:val="auto"/>
        </w:rPr>
        <w:t>Signature Page to Amended and Restated Registration Rights Agreement</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304800</wp:posOffset>
            </wp:positionV>
            <wp:extent cx="717804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196" w:name="page197"/>
    <w:bookmarkEnd w:id="196"/>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Schedule 1</w:t>
      </w:r>
    </w:p>
    <w:p>
      <w:pPr>
        <w:spacing w:after="0" w:line="150" w:lineRule="exact"/>
        <w:rPr>
          <w:sz w:val="20"/>
          <w:szCs w:val="20"/>
          <w:color w:val="auto"/>
        </w:rPr>
      </w:pPr>
    </w:p>
    <w:p>
      <w:pPr>
        <w:jc w:val="right"/>
        <w:ind w:right="4059"/>
        <w:spacing w:after="0"/>
        <w:rPr>
          <w:sz w:val="20"/>
          <w:szCs w:val="20"/>
          <w:color w:val="auto"/>
        </w:rPr>
      </w:pPr>
      <w:r>
        <w:rPr>
          <w:rFonts w:ascii="Times New Roman" w:cs="Times New Roman" w:eastAsia="Times New Roman" w:hAnsi="Times New Roman"/>
          <w:sz w:val="12"/>
          <w:szCs w:val="12"/>
          <w:b w:val="1"/>
          <w:bCs w:val="1"/>
          <w:color w:val="auto"/>
        </w:rPr>
        <w:t>Factorial Holders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299085</wp:posOffset>
            </wp:positionV>
            <wp:extent cx="717804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7" w:right="1440" w:bottom="1440" w:gutter="0" w:footer="0" w:header="0"/>
        </w:sectPr>
      </w:pPr>
    </w:p>
    <w:bookmarkStart w:id="197" w:name="page198"/>
    <w:bookmarkEnd w:id="197"/>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Schedule 2</w:t>
      </w:r>
    </w:p>
    <w:p>
      <w:pPr>
        <w:spacing w:after="0" w:line="150" w:lineRule="exact"/>
        <w:rPr>
          <w:sz w:val="20"/>
          <w:szCs w:val="20"/>
          <w:color w:val="auto"/>
        </w:rPr>
      </w:pPr>
    </w:p>
    <w:p>
      <w:pPr>
        <w:jc w:val="right"/>
        <w:ind w:right="3859"/>
        <w:spacing w:after="0"/>
        <w:rPr>
          <w:sz w:val="20"/>
          <w:szCs w:val="20"/>
          <w:color w:val="auto"/>
        </w:rPr>
      </w:pPr>
      <w:r>
        <w:rPr>
          <w:rFonts w:ascii="Times New Roman" w:cs="Times New Roman" w:eastAsia="Times New Roman" w:hAnsi="Times New Roman"/>
          <w:sz w:val="12"/>
          <w:szCs w:val="12"/>
          <w:b w:val="1"/>
          <w:bCs w:val="1"/>
          <w:color w:val="auto"/>
        </w:rPr>
        <w:t>Non-Redemption Holders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299085</wp:posOffset>
            </wp:positionV>
            <wp:extent cx="717804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7" w:right="1440" w:bottom="1440" w:gutter="0" w:footer="0" w:header="0"/>
        </w:sectPr>
      </w:pPr>
    </w:p>
    <w:bookmarkStart w:id="198" w:name="page199"/>
    <w:bookmarkEnd w:id="198"/>
    <w:p>
      <w:pPr>
        <w:jc w:val="center"/>
        <w:spacing w:after="0"/>
        <w:rPr>
          <w:sz w:val="20"/>
          <w:szCs w:val="20"/>
          <w:color w:val="auto"/>
        </w:rPr>
      </w:pPr>
      <w:r>
        <w:rPr>
          <w:rFonts w:ascii="Times New Roman" w:cs="Times New Roman" w:eastAsia="Times New Roman" w:hAnsi="Times New Roman"/>
          <w:sz w:val="12"/>
          <w:szCs w:val="12"/>
          <w:b w:val="1"/>
          <w:bCs w:val="1"/>
          <w:color w:val="auto"/>
        </w:rPr>
        <w:t>Exhibit A</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REGISTRATION RIGHTS AGREEMENT JOINDER</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undersigned is executing and delivering this joinder (this “</w:t>
      </w:r>
      <w:r>
        <w:rPr>
          <w:rFonts w:ascii="Times New Roman" w:cs="Times New Roman" w:eastAsia="Times New Roman" w:hAnsi="Times New Roman"/>
          <w:sz w:val="12"/>
          <w:szCs w:val="12"/>
          <w:u w:val="single" w:color="auto"/>
          <w:color w:val="auto"/>
        </w:rPr>
        <w:t>Joinder</w:t>
      </w:r>
      <w:r>
        <w:rPr>
          <w:rFonts w:ascii="Times New Roman" w:cs="Times New Roman" w:eastAsia="Times New Roman" w:hAnsi="Times New Roman"/>
          <w:sz w:val="12"/>
          <w:szCs w:val="12"/>
          <w:color w:val="auto"/>
        </w:rPr>
        <w:t>”) pursuant to the Amended and Restated Registration Rights Agreement, dated as of [●] (as the same may hereafter be amended, the “</w:t>
      </w:r>
      <w:r>
        <w:rPr>
          <w:rFonts w:ascii="Times New Roman" w:cs="Times New Roman" w:eastAsia="Times New Roman" w:hAnsi="Times New Roman"/>
          <w:sz w:val="12"/>
          <w:szCs w:val="12"/>
          <w:u w:val="single" w:color="auto"/>
          <w:color w:val="auto"/>
        </w:rPr>
        <w:t>Registration Rights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among Factorial Holdings, Inc., a Delaware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and the other persons or entities named as parties therein. Capitalized terms used but not otherwise defined herein shall have the meanings provided in the Registration Rights Agreement.</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By executing and delivering this Joinder to the Company, and upon acceptance hereof by the Company upon the execution of a counterpart hereof, the undersigned hereby agrees to become a party to, to be bound by, and to comply with the Registration Rights Agreement as a Holder of Registrable Securities in the same manner as if the undersigned were an original signatory to the Registration Rights Agreement, and the undersigned’s shares of Series A Common Stock shall be included as Registrable Securities under the Registration Rights Agreement to the extent provided therein.</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Accordingly, the undersigned has executed and delivered this Joinder as of the __________ day of __________, 20__.</w:t>
      </w:r>
    </w:p>
    <w:p>
      <w:pPr>
        <w:sectPr>
          <w:pgSz w:w="11900" w:h="16838" w:orient="portrait"/>
          <w:cols w:equalWidth="0" w:num="1">
            <w:col w:w="11300"/>
          </w:cols>
          <w:pgMar w:left="300" w:top="647"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Agreed and Accepted as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 20__</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Signature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3583305"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583305" cy="571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Print Name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3583305"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583305" cy="571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Its:</w:t>
      </w:r>
    </w:p>
    <w:p>
      <w:pPr>
        <w:spacing w:after="0" w:line="283" w:lineRule="exact"/>
        <w:rPr>
          <w:sz w:val="20"/>
          <w:szCs w:val="20"/>
          <w:color w:val="auto"/>
        </w:rPr>
      </w:pPr>
    </w:p>
    <w:p>
      <w:pPr>
        <w:jc w:val="center"/>
        <w:ind w:right="5220"/>
        <w:spacing w:after="0"/>
        <w:rPr>
          <w:sz w:val="20"/>
          <w:szCs w:val="20"/>
          <w:color w:val="auto"/>
        </w:rPr>
      </w:pPr>
      <w:r>
        <w:rPr>
          <w:rFonts w:ascii="Times New Roman" w:cs="Times New Roman" w:eastAsia="Times New Roman" w:hAnsi="Times New Roman"/>
          <w:sz w:val="11"/>
          <w:szCs w:val="1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206375</wp:posOffset>
            </wp:positionV>
            <wp:extent cx="3583305"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58330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109220</wp:posOffset>
            </wp:positionV>
            <wp:extent cx="3583305"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583305" cy="5715"/>
                    </a:xfrm>
                    <a:prstGeom prst="rect">
                      <a:avLst/>
                    </a:prstGeom>
                    <a:noFill/>
                  </pic:spPr>
                </pic:pic>
              </a:graphicData>
            </a:graphic>
          </wp:anchor>
        </w:drawing>
        <w:drawing>
          <wp:anchor simplePos="0" relativeHeight="251657728" behindDoc="1" locked="0" layoutInCell="0" allowOverlap="1">
            <wp:simplePos x="0" y="0"/>
            <wp:positionH relativeFrom="column">
              <wp:posOffset>567055</wp:posOffset>
            </wp:positionH>
            <wp:positionV relativeFrom="paragraph">
              <wp:posOffset>17780</wp:posOffset>
            </wp:positionV>
            <wp:extent cx="3011805"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011805" cy="5715"/>
                    </a:xfrm>
                    <a:prstGeom prst="rect">
                      <a:avLst/>
                    </a:prstGeom>
                    <a:noFill/>
                  </pic:spPr>
                </pic:pic>
              </a:graphicData>
            </a:graphic>
          </wp:anchor>
        </w:drawing>
      </w:r>
    </w:p>
    <w:p>
      <w:pPr>
        <w:spacing w:after="0" w:line="895" w:lineRule="exact"/>
        <w:rPr>
          <w:sz w:val="20"/>
          <w:szCs w:val="20"/>
          <w:color w:val="auto"/>
        </w:rPr>
      </w:pPr>
    </w:p>
    <w:p>
      <w:pPr>
        <w:sectPr>
          <w:pgSz w:w="11900" w:h="16838" w:orient="portrait"/>
          <w:cols w:equalWidth="0" w:num="2">
            <w:col w:w="4940" w:space="720"/>
            <w:col w:w="5640"/>
          </w:cols>
          <w:pgMar w:left="300" w:top="647"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10795</wp:posOffset>
            </wp:positionV>
            <wp:extent cx="3228975"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Name: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type w:val="continuous"/>
        </w:sectPr>
      </w:pPr>
    </w:p>
    <w:bookmarkStart w:id="199" w:name="page200"/>
    <w:bookmarkEnd w:id="199"/>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Factorial and Cartesian Growth Corporation III (Nasdaq: CGCT) Announce Business Combination Agreement to Accelerate Commercialization of Solid-State Battery Technology</w:t>
      </w:r>
    </w:p>
    <w:p>
      <w:pPr>
        <w:spacing w:after="0" w:line="154" w:lineRule="exact"/>
        <w:rPr>
          <w:sz w:val="20"/>
          <w:szCs w:val="20"/>
          <w:color w:val="auto"/>
        </w:rPr>
      </w:pPr>
    </w:p>
    <w:p>
      <w:pPr>
        <w:ind w:left="420" w:right="140" w:hanging="212"/>
        <w:spacing w:after="0" w:line="259" w:lineRule="auto"/>
        <w:tabs>
          <w:tab w:leader="none" w:pos="420" w:val="left"/>
        </w:tabs>
        <w:numPr>
          <w:ilvl w:val="0"/>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Factorial’s high-power, lightweight, solid-state batteries have demonstrated real-world performance, including over 1,200 km (745 miles) of driving range in vehicle testing and are being advanced toward defense, aerospace, and industrial applications</w:t>
      </w:r>
    </w:p>
    <w:p>
      <w:pPr>
        <w:spacing w:after="0" w:line="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Combination expands capital base to fuel Factorial’s continued growth and broad-based commercialization</w:t>
      </w:r>
    </w:p>
    <w:p>
      <w:pPr>
        <w:spacing w:after="0" w:line="13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BOSTON, MASS, December 18, 2025 -- </w:t>
      </w:r>
      <w:r>
        <w:rPr>
          <w:rFonts w:ascii="Times New Roman" w:cs="Times New Roman" w:eastAsia="Times New Roman" w:hAnsi="Times New Roman"/>
          <w:sz w:val="12"/>
          <w:szCs w:val="12"/>
          <w:color w:val="auto"/>
        </w:rPr>
        <w:t>Factorial Inc. (“Factorial”), a leader in solid-state battery technology, and Cartesian Growth Corporation III (“Cartesian III”), a special purpose acquisition company, announced today that they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have entered into a definitive business combination agreement (“BCA”).</w:t>
      </w:r>
    </w:p>
    <w:p>
      <w:pPr>
        <w:spacing w:after="0" w:line="107"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The business combination (“Combination”) values Factorial at approximately $1.1 billion on a pre-money, pre-merger basis. The Combination also includes $100 million in new capital committed by institutional investors in a private placement of common stock (the “PIPE”). Upon closing, the combined company will list on Nasdaq under the ticker symbol FAC. Cartesian III currently holds approximately $276 million in cash in trust (all subject to redemption). Assuming no redemptions, the Combination will result in a pro forma equity value of approximately $1.5 billion.</w:t>
      </w:r>
    </w:p>
    <w:p>
      <w:pPr>
        <w:spacing w:after="0" w:line="11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“This agreement marks a pivotal inflection point in our progression from proven technology to broad commercial deployment across multiple industries,” said Dr. Siyu Huang, Co-founder and CEO of Factorial. “We’ve proven our solid-state platform delivers what customers want - longer range, lighter weight, and greater cost efficiency. A Nasdaq listing is expected to provide the capital and enhanced visibility to drive commercial adoption of our transformative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Factorial’s solid-state cells have been validated through OEM collaborations, including real-world testing in a lightly modified Mercedes-Benz EQS test vehicle achieving over 1,200 km of range on a single charge with 106 Ah cells.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Stellantis-lab testing verified 77Ah cells demonstrating high energy density, fast charging, and robust performance across temperature extremes.</w:t>
      </w:r>
    </w:p>
    <w:p>
      <w:pPr>
        <w:spacing w:after="0" w:line="139"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2"/>
          <w:szCs w:val="12"/>
          <w:color w:val="auto"/>
        </w:rPr>
        <w:t>Beyond passenger vehicles, Factorial is expanding into high-growth defense, aerospace, and robotics applications where high power, ability to operate across extreme temperature ranges, and lightweight performance are mission-critical.</w:t>
      </w:r>
    </w:p>
    <w:p>
      <w:pPr>
        <w:spacing w:after="0" w:line="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2"/>
          <w:szCs w:val="12"/>
          <w:color w:val="auto"/>
        </w:rPr>
        <w:t>“We are proud to partner with Factorial, as they transform cutting-edge science into compelling commercial offerings,” noted Peter Yu, Chairman &amp; CEO of Cartesian III. “Our due diligence ratified that Factorial’s solutions can be transformative not only for marquee automotive partners, but also for critical national security priorities, such as the drone or UAV market.”</w:t>
      </w:r>
    </w:p>
    <w:p>
      <w:pPr>
        <w:spacing w:after="0" w:line="122"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The proposed Combination is expected to close mid-2026, subject to customary closing conditions. Additional information about the proposed Combination and related transaction will be provided in a Form 8-K filed by Cartesian III today with the Securities and Exchange Commission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717804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2"/>
          <w:szCs w:val="12"/>
          <w:b w:val="1"/>
          <w:bCs w:val="1"/>
          <w:color w:val="auto"/>
        </w:rPr>
        <w:t>Advisors</w:t>
      </w:r>
    </w:p>
    <w:p>
      <w:pPr>
        <w:spacing w:after="0" w:line="2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2"/>
          <w:szCs w:val="12"/>
          <w:color w:val="auto"/>
        </w:rPr>
        <w:t>Cantor Fitzgerald &amp; Co (“Cantor”) is acting as the exclusive financial advisor to Factorial and as the sole placement agent for the PIPE. Goodwin Procter LLP is acting as legal counsel to Factorial. Greenberg Traurig, LLP is acting as legal counsel to Cartesian. Thompson Coburn LLP is acting as legal counsel to Cantor.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Factorial</w:t>
      </w:r>
    </w:p>
    <w:p>
      <w:pPr>
        <w:spacing w:after="0" w:line="21" w:lineRule="exact"/>
        <w:rPr>
          <w:sz w:val="20"/>
          <w:szCs w:val="20"/>
          <w:color w:val="auto"/>
        </w:rPr>
      </w:pPr>
    </w:p>
    <w:p>
      <w:pPr>
        <w:jc w:val="both"/>
        <w:ind w:right="160"/>
        <w:spacing w:after="0" w:line="253" w:lineRule="auto"/>
        <w:rPr>
          <w:sz w:val="20"/>
          <w:szCs w:val="20"/>
          <w:color w:val="auto"/>
        </w:rPr>
      </w:pPr>
      <w:r>
        <w:rPr>
          <w:rFonts w:ascii="Times New Roman" w:cs="Times New Roman" w:eastAsia="Times New Roman" w:hAnsi="Times New Roman"/>
          <w:sz w:val="12"/>
          <w:szCs w:val="12"/>
          <w:color w:val="auto"/>
        </w:rPr>
        <w:t xml:space="preserve">Founded and headquartered in the Boston, Massachusetts, area, Factorial operates at the forefront of solid-state battery development, offering safe, high-performance alternatives to traditional lithium-ion technologies. Its proprietary FEST® (Factorial Electrolyte System Technology) and Solstice™ platforms deliver greater energy density, enhanced safety, and compatibility with existing manufacturing systems. Factorial’s commercial partnerships include global automotive leaders such as Mercedes-Benz, Stellantis, Hyundai Motor Company, and Kia Corporation. Early investors include GVP Climate in partnership with Gatemore Capital Management and WAVE Equity Partners. For more information, visit </w:t>
      </w:r>
      <w:r>
        <w:rPr>
          <w:rFonts w:ascii="Times New Roman" w:cs="Times New Roman" w:eastAsia="Times New Roman" w:hAnsi="Times New Roman"/>
          <w:sz w:val="12"/>
          <w:szCs w:val="12"/>
          <w:u w:val="single" w:color="auto"/>
          <w:color w:val="auto"/>
        </w:rPr>
        <w:t>www.factorialenergy.com</w:t>
      </w:r>
      <w:r>
        <w:rPr>
          <w:rFonts w:ascii="Times New Roman" w:cs="Times New Roman" w:eastAsia="Times New Roman" w:hAnsi="Times New Roman"/>
          <w:sz w:val="12"/>
          <w:szCs w:val="12"/>
          <w:color w:val="auto"/>
        </w:rPr>
        <w: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2025 Factorial Inc. All rights reserved. Factorial, the Factorial logo, FEST® and Solstice™, are trademarks or registered trademarks in the United States and other countries.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Cartesian III</w:t>
      </w:r>
    </w:p>
    <w:p>
      <w:pPr>
        <w:spacing w:after="0" w:line="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color w:val="auto"/>
        </w:rPr>
        <w:t xml:space="preserve">Cartesian III is a blank check company organized for the purpose of effecting a merger, capital stock exchange, asset acquisition, stock purchase, or reorganization or engaging in any other similar business combination with one or more businesses or entities. Cartesian III is an affiliate of Cartesian Capital Group, LLC, a global private equity firm and registered investment adviser headquartered in New York City, New York. Cartesian III is an emerging growth company as defined in the Jumpstart Our Business Startups Act of 2012. For more information about Cartesian III, please visit </w:t>
      </w:r>
      <w:r>
        <w:rPr>
          <w:rFonts w:ascii="Times New Roman" w:cs="Times New Roman" w:eastAsia="Times New Roman" w:hAnsi="Times New Roman"/>
          <w:sz w:val="12"/>
          <w:szCs w:val="12"/>
          <w:u w:val="single" w:color="auto"/>
          <w:color w:val="auto"/>
        </w:rPr>
        <w:t>www.cartesiangrowth.com/cgc3</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717804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269" w:right="31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2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2"/>
          <w:szCs w:val="12"/>
          <w:color w:val="auto"/>
        </w:rPr>
        <w:t>This communication includes forward-looking statements.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These forward-looking statements may include, but are not limited to, statements regarding estimates and forecasts of other financial and performance metrics and projections of market opportunity; financing, including the PIPE, and other business milestones; potential benefits of the proposed Combination and other related transactions; and expectations relating to the proposed Combination and other related transactions. These statements are based on various assumptions, whether or not identified in communication, and on the current expectations of Factorial’s and Cartesian III’s management and are not predictions of actual performance. These forward-looking statements are provided for illustrative purposes only and are not intended to serve as and must not be relied on by an investor as a guarantee, an assurance, a prediction, or a definitive statement of fact or probability. Actual events and circumstances are difficult or impossible to predict and may differ from assumptions. Many actual events and circumstances are beyond the control of Factorial and Cartesian III. These forward-looking statements are subject to a number of risks and uncertainties, including but not limited to changes in domestic and foreign business, market, financial, political, and legal conditions; the inability of the parties to successfully or timely consummate the proposed Combination and other related transactions, including the risk that any regulatory approvals are not obtained, are delayed or are subject to unanticipated conditions (such as any SEC statements or enforcement or other actions relating to SPACs) that could adversely affect the combined company or the expected benefits of the proposed Combination and other related transactions; failure to realize the anticipated benefits of the proposed Combination and other related transactions; ability to successfully consummate the PIPE Financing, or obtain additional financing; ability to attract and retain qualified personnel; global economic and political conditions; the occurrence of any event, change or other circumstance that could give rise to the termination of the BCA; legal and regulatory changes; the outcome of any legal proceedings that may be instituted against Cartesian III or Factorial related to the proposed Combination; the effects of competition on Factorial’s future business; the approval by Cartesian III’s public shareholders of the Combination and related transactions, the amount of redemption requests made by Cartesian III’s public shareholders. Additional risks related to Factorial’s business include, but are not limited to: the development of batteries is complex and the timing of development cannot be assured; delays in the development of its batteries could adversely affect Factorial’s business and prospects; Factorial may be unable to adequately control the costs associated with its operations and the components necessary to develop and commercialize its solid-state battery technology; Factorial may not be able to accurately estimate the future supply and demand for its batteries, which could result in a variety of inefficiencies in its business and hinder its ability to generate revenue and profits; Factorial’s expectations and targets regarding when it will achieve various technical, pre-production and production objectives depend in large part upon assumptions and analyses developed by Factorial, and if these assumptions or analyses prove to be incorrect, Factorial may not achieve these milestones when expected or at all; if Factorial’s existing customers with whom it has collaboration agreements do not make subsequent purchases from it, Factorial will not receive revenue from such customers, and its results of operations would be adversely impacted; Factorial is an early-stage company with a history of financial losses and expects to incur significant expenses and continuing losses from operations; Factorial’s business plan has yet to be tested, and it may not succeed in executing on its strategic plans, including commercialization; Factorial relies heavily on its intellectual property portfolio, and if it is unable to protect its intellectual property rights, Factorial’s business and competitive position would be harmed; Factorial’s patent applications may not result in issued patents or its patent rights may be contested, circumvented, invalidated or limited in scope, any of which could have a material adverse effect on its ability to prevent others from interfering with its commercialization of its products; governmental trade controls, including export and import controls, sanctions, customs requirements and related regimes, could subject Factorial to liability or loss of contracting privileges, limit its ability to transfer technology or compete in certain markets and affect its ability to hire qualified personnel; and changes in U.S. and foreign government policy, including the imposition of or increases in tariffs and changes to existing trade agreements, could have a material adverse effect on global economic conditions and Factorial’s business, financial condition, results of operations and prospects. Additional risks related to Cartesian III include those factors set forth in the section entitled “Risk Factors” and “Cautionary Note Regarding Forward-Looking Statements” in Cartesian III’s final prospectus for its initial public offering filed with the SEC on May 5, 2025 (“Cartesian III IPO Final Prospectus”), and in those documents that Cartesian III has filed, or will file,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187325</wp:posOffset>
            </wp:positionV>
            <wp:extent cx="717804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269" w:right="319" w:bottom="1440" w:gutter="0" w:footer="0" w:header="0"/>
        </w:sectPr>
      </w:pPr>
    </w:p>
    <w:bookmarkStart w:id="202" w:name="page203"/>
    <w:bookmarkEnd w:id="202"/>
    <w:p>
      <w:pPr>
        <w:spacing w:after="0" w:line="256" w:lineRule="auto"/>
        <w:rPr>
          <w:sz w:val="20"/>
          <w:szCs w:val="20"/>
          <w:color w:val="auto"/>
        </w:rPr>
      </w:pPr>
      <w:r>
        <w:rPr>
          <w:rFonts w:ascii="Times New Roman" w:cs="Times New Roman" w:eastAsia="Times New Roman" w:hAnsi="Times New Roman"/>
          <w:sz w:val="12"/>
          <w:szCs w:val="12"/>
          <w:color w:val="auto"/>
        </w:rPr>
        <w:t>If any of these risks materialize or Cartesian III’s or Factorial’s assumptions prove incorrect, actual results could differ materially from the results implied by these forward-looking statements. There may be additional risks that neither Cartesian III nor Factorial presently know or that Cartesian III and Factorial currently believe are immaterial that could also cause actual results to differ from those contained in the forward-looking statements. In addition, forward-looking statements reflect Cartesian III’s and Factorial’s expectations, plans, or forecasts of future events and views as of the date of this communication and are qualified in their entirety by reference to the cautionary statements herein. Cartesian III and Factorial anticipate that subsequent events and developments will cause Cartesian III’s and Factorial’s assessments to change. These forward-looking statements should not be relied upon as representing Cartesian III’s and Factorial’s assessments as of any date subsequent to the date of this communication. Accordingly, undue reliance should not be placed upon the forward-looking statements. Neither Cartesian III, Factorial nor any of their respective affiliates undertake any obligation to update these forward-looking statements, except as required by law.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Important Additional Information will be Filed with the SEC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communication does not constitute an offer to sell or the solicitation of an offer to buy any securities or constitute a solicitation of any vote or approval.</w:t>
      </w:r>
    </w:p>
    <w:p>
      <w:pPr>
        <w:spacing w:after="0" w:line="15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2"/>
          <w:szCs w:val="12"/>
          <w:color w:val="auto"/>
        </w:rPr>
        <w:t xml:space="preserve">In connection with the proposed Combination, Cartesian III intends to file with the SEC a preliminary proxy statement / prospectus and will mail a definitive proxy statement / prospectus and other relevant documentation to Cartesian III’s stockholders. This document does not contain all the information that should be considered concerning the proposed Combination. It is not intended to form the basis of any investment decision or any other decision in respect of the proposed Combination. </w:t>
      </w:r>
      <w:r>
        <w:rPr>
          <w:rFonts w:ascii="Times New Roman" w:cs="Times New Roman" w:eastAsia="Times New Roman" w:hAnsi="Times New Roman"/>
          <w:sz w:val="12"/>
          <w:szCs w:val="12"/>
          <w:b w:val="1"/>
          <w:bCs w:val="1"/>
          <w:color w:val="auto"/>
        </w:rPr>
        <w:t>Cartesian III’s stockholders and other interested persons are advised to read, when available, the preliminary proxy statement / prospectus and any amendments thereto, and the definitive proxy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 xml:space="preserve">statement / prospectus in connection with the solicitation of proxies for the special meeting to be held to approve the transactions contemplated by the proposed Combination because these materials will contain important information about Factorial, Cartesian III and the proposed transactions. </w:t>
      </w:r>
      <w:r>
        <w:rPr>
          <w:rFonts w:ascii="Times New Roman" w:cs="Times New Roman" w:eastAsia="Times New Roman" w:hAnsi="Times New Roman"/>
          <w:sz w:val="12"/>
          <w:szCs w:val="12"/>
          <w:color w:val="auto"/>
        </w:rPr>
        <w:t>The definitive proxy statement / prospectus will be mailed to Cartesian III’s stockholders as of a record date to be established for voting on the proposed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Combination when it becomes available. Stockholders will also be able to obtain a copy of the preliminary proxy statement / prospectus and the definitive proxy statement / prospectus once they are available, without charge, at the SEC’s website at </w:t>
      </w:r>
      <w:r>
        <w:rPr>
          <w:rFonts w:ascii="Times New Roman" w:cs="Times New Roman" w:eastAsia="Times New Roman" w:hAnsi="Times New Roman"/>
          <w:sz w:val="12"/>
          <w:szCs w:val="12"/>
          <w:u w:val="single" w:color="auto"/>
          <w:color w:val="auto"/>
        </w:rPr>
        <w:t>http://sec.gov</w:t>
      </w:r>
      <w:r>
        <w:rPr>
          <w:rFonts w:ascii="Times New Roman" w:cs="Times New Roman" w:eastAsia="Times New Roman" w:hAnsi="Times New Roman"/>
          <w:sz w:val="12"/>
          <w:szCs w:val="12"/>
          <w:color w:val="auto"/>
        </w:rPr>
        <w:t xml:space="preserve">, from Cartesian III’s website at https://www.cartesiangrowth.com/cgc3/investor-relations-cgc3 or by directing a written request to: </w:t>
      </w:r>
      <w:r>
        <w:rPr>
          <w:rFonts w:ascii="Times New Roman" w:cs="Times New Roman" w:eastAsia="Times New Roman" w:hAnsi="Times New Roman"/>
          <w:sz w:val="12"/>
          <w:szCs w:val="12"/>
          <w:u w:val="single" w:color="auto"/>
          <w:color w:val="auto"/>
        </w:rPr>
        <w:t>contact3@cartesiangrowth.com</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Participants in the Solicitation</w:t>
      </w:r>
    </w:p>
    <w:p>
      <w:pPr>
        <w:spacing w:after="0" w:line="15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Factorial, Cartesian III, and their respective directors and executive officers, may be considered participants in the solicitation of proxies with respect to the potential transaction described in this communication under the rules of the SEC. Information about the directors and executive officers of Cartesian III is set forth in the Cartesian III IPO Final Prospectus. Information regarding other persons who may, under the rules of the SEC, be deemed participants in the solicitation of the stockholders in connection with the potential transaction and a description of their interests will be set forth in the proxy statement/prospectus filed with the SEC, when available. These documents can be obtained free of charge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175895</wp:posOffset>
            </wp:positionV>
            <wp:extent cx="717804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203" w:name="page204"/>
    <w:bookmarkEnd w:id="203"/>
    <w:p>
      <w:pPr>
        <w:ind w:left="9540"/>
        <w:spacing w:after="0"/>
        <w:rPr>
          <w:sz w:val="20"/>
          <w:szCs w:val="20"/>
          <w:color w:val="auto"/>
        </w:rPr>
      </w:pPr>
      <w:r>
        <w:rPr>
          <w:rFonts w:ascii="Times New Roman" w:cs="Times New Roman" w:eastAsia="Times New Roman" w:hAnsi="Times New Roman"/>
          <w:sz w:val="11"/>
          <w:szCs w:val="1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111760</wp:posOffset>
            </wp:positionV>
            <wp:extent cx="7218680" cy="43205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0" w:num="1">
            <w:col w:w="10160"/>
          </w:cols>
          <w:pgMar w:left="1440" w:top="269" w:right="299" w:bottom="1440" w:gutter="0" w:footer="0" w:header="0"/>
        </w:sectPr>
      </w:pPr>
    </w:p>
    <w:bookmarkStart w:id="204" w:name="page205"/>
    <w:bookmarkEnd w:id="2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319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18680" cy="4331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6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18680" cy="4326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319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18680" cy="4331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319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18680" cy="43319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1)"/>
      <w:numFmt w:val="lowerRoman"/>
      <w:start w:val="2"/>
    </w:lvl>
  </w:abstractNum>
  <w:abstractNum w:abstractNumId="3">
    <w:nsid w:val="7644A45C"/>
    <w:multiLevelType w:val="hybridMultilevel"/>
    <w:lvl w:ilvl="0">
      <w:lvlJc w:val="left"/>
      <w:lvlText w:val="(%1)"/>
      <w:numFmt w:val="lowerRoman"/>
      <w:start w:val="2"/>
    </w:lvl>
  </w:abstractNum>
  <w:abstractNum w:abstractNumId="4">
    <w:nsid w:val="32FFF902"/>
    <w:multiLevelType w:val="hybridMultilevel"/>
    <w:lvl w:ilvl="0">
      <w:lvlJc w:val="left"/>
      <w:lvlText w:val="(%1)"/>
      <w:numFmt w:val="lowerRoman"/>
      <w:start w:val="8"/>
    </w:lvl>
  </w:abstractNum>
  <w:abstractNum w:abstractNumId="5">
    <w:nsid w:val="684A481A"/>
    <w:multiLevelType w:val="hybridMultilevel"/>
    <w:lvl w:ilvl="0">
      <w:lvlJc w:val="left"/>
      <w:lvlText w:val="(%1)"/>
      <w:numFmt w:val="lowerRoman"/>
      <w:start w:val="2"/>
    </w:lvl>
  </w:abstractNum>
  <w:abstractNum w:abstractNumId="6">
    <w:nsid w:val="579478FE"/>
    <w:multiLevelType w:val="hybridMultilevel"/>
    <w:lvl w:ilvl="0">
      <w:lvlJc w:val="left"/>
      <w:lvlText w:val="(%1)"/>
      <w:numFmt w:val="lowerRoman"/>
      <w:start w:val="4"/>
    </w:lvl>
  </w:abstractNum>
  <w:abstractNum w:abstractNumId="7">
    <w:nsid w:val="749ABB43"/>
    <w:multiLevelType w:val="hybridMultilevel"/>
    <w:lvl w:ilvl="0">
      <w:lvlJc w:val="left"/>
      <w:lvlText w:val="(%1)"/>
      <w:numFmt w:val="lowerRoman"/>
      <w:start w:val="2"/>
    </w:lvl>
  </w:abstractNum>
  <w:abstractNum w:abstractNumId="8">
    <w:nsid w:val="3DC240FB"/>
    <w:multiLevelType w:val="hybridMultilevel"/>
    <w:lvl w:ilvl="0">
      <w:lvlJc w:val="left"/>
      <w:lvlText w:val="(%1)"/>
      <w:numFmt w:val="lowerRoman"/>
      <w:start w:val="8"/>
    </w:lvl>
  </w:abstractNum>
  <w:abstractNum w:abstractNumId="9">
    <w:nsid w:val="1BA026FA"/>
    <w:multiLevelType w:val="hybridMultilevel"/>
    <w:lvl w:ilvl="0">
      <w:lvlJc w:val="left"/>
      <w:lvlText w:val="(%1)"/>
      <w:numFmt w:val="lowerRoman"/>
      <w:start w:val="8"/>
    </w:lvl>
  </w:abstractNum>
  <w:abstractNum w:abstractNumId="10">
    <w:nsid w:val="79A1DEAA"/>
    <w:multiLevelType w:val="hybridMultilevel"/>
    <w:lvl w:ilvl="0">
      <w:lvlJc w:val="left"/>
      <w:lvlText w:val="(%1)"/>
      <w:numFmt w:val="lowerLetter"/>
      <w:start w:val="2"/>
    </w:lvl>
  </w:abstractNum>
  <w:abstractNum w:abstractNumId="11">
    <w:nsid w:val="75C6C33A"/>
    <w:multiLevelType w:val="hybridMultilevel"/>
    <w:lvl w:ilvl="0">
      <w:lvlJc w:val="left"/>
      <w:lvlText w:val="(%1)"/>
      <w:numFmt w:val="upperLetter"/>
      <w:start w:val="3"/>
    </w:lvl>
  </w:abstractNum>
  <w:abstractNum w:abstractNumId="12">
    <w:nsid w:val="12E685FB"/>
    <w:multiLevelType w:val="hybridMultilevel"/>
    <w:lvl w:ilvl="0">
      <w:lvlJc w:val="left"/>
      <w:lvlText w:val="(%1)"/>
      <w:numFmt w:val="lowerRoman"/>
      <w:start w:val="1"/>
    </w:lvl>
  </w:abstractNum>
  <w:abstractNum w:abstractNumId="13">
    <w:nsid w:val="70C6A529"/>
    <w:multiLevelType w:val="hybridMultilevel"/>
    <w:lvl w:ilvl="0">
      <w:lvlJc w:val="left"/>
      <w:lvlText w:val="(%1)"/>
      <w:numFmt w:val="lowerRoman"/>
      <w:start w:val="1"/>
    </w:lvl>
  </w:abstractNum>
  <w:abstractNum w:abstractNumId="14">
    <w:nsid w:val="520EEDD1"/>
    <w:multiLevelType w:val="hybridMultilevel"/>
    <w:lvl w:ilvl="0">
      <w:lvlJc w:val="left"/>
      <w:lvlText w:val="(%1)"/>
      <w:numFmt w:val="lowerRoman"/>
      <w:start w:val="15"/>
    </w:lvl>
  </w:abstractNum>
  <w:abstractNum w:abstractNumId="15">
    <w:nsid w:val="374A3FE6"/>
    <w:multiLevelType w:val="hybridMultilevel"/>
    <w:lvl w:ilvl="0">
      <w:lvlJc w:val="left"/>
      <w:lvlText w:val="(%1)"/>
      <w:numFmt w:val="lowerRoman"/>
      <w:start w:val="1"/>
    </w:lvl>
  </w:abstractNum>
  <w:abstractNum w:abstractNumId="16">
    <w:nsid w:val="4F4EF005"/>
    <w:multiLevelType w:val="hybridMultilevel"/>
    <w:lvl w:ilvl="0">
      <w:lvlJc w:val="left"/>
      <w:lvlText w:val="(%1)"/>
      <w:numFmt w:val="lowerRoman"/>
      <w:start w:val="3"/>
    </w:lvl>
  </w:abstractNum>
  <w:abstractNum w:abstractNumId="17">
    <w:nsid w:val="23F9C13C"/>
    <w:multiLevelType w:val="hybridMultilevel"/>
    <w:lvl w:ilvl="0">
      <w:lvlJc w:val="left"/>
      <w:lvlText w:val="(%1)"/>
      <w:numFmt w:val="lowerRoman"/>
      <w:start w:val="4"/>
    </w:lvl>
  </w:abstractNum>
  <w:abstractNum w:abstractNumId="18">
    <w:nsid w:val="649BB77C"/>
    <w:multiLevelType w:val="hybridMultilevel"/>
    <w:lvl w:ilvl="0">
      <w:lvlJc w:val="left"/>
      <w:lvlText w:val="(%1)"/>
      <w:numFmt w:val="lowerRoman"/>
      <w:start w:val="2"/>
    </w:lvl>
  </w:abstractNum>
  <w:abstractNum w:abstractNumId="19">
    <w:nsid w:val="275AC794"/>
    <w:multiLevelType w:val="hybridMultilevel"/>
    <w:lvl w:ilvl="0">
      <w:lvlJc w:val="left"/>
      <w:lvlText w:val="(%1)"/>
      <w:numFmt w:val="lowerLetter"/>
      <w:start w:val="3"/>
    </w:lvl>
  </w:abstractNum>
  <w:abstractNum w:abstractNumId="20">
    <w:nsid w:val="39386575"/>
    <w:multiLevelType w:val="hybridMultilevel"/>
    <w:lvl w:ilvl="0">
      <w:lvlJc w:val="left"/>
      <w:lvlText w:val="(%1)"/>
      <w:numFmt w:val="upperLetter"/>
      <w:start w:val="1"/>
    </w:lvl>
  </w:abstractNum>
  <w:abstractNum w:abstractNumId="21">
    <w:nsid w:val="1CF10FD8"/>
    <w:multiLevelType w:val="hybridMultilevel"/>
    <w:lvl w:ilvl="0">
      <w:lvlJc w:val="left"/>
      <w:lvlText w:val="(%1)"/>
      <w:numFmt w:val="decimal"/>
      <w:start w:val="4"/>
    </w:lvl>
  </w:abstractNum>
  <w:abstractNum w:abstractNumId="22">
    <w:nsid w:val="180115BE"/>
    <w:multiLevelType w:val="hybridMultilevel"/>
    <w:lvl w:ilvl="0">
      <w:lvlJc w:val="left"/>
      <w:lvlText w:val="(%1)"/>
      <w:numFmt w:val="upperLetter"/>
      <w:start w:val="3"/>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1)"/>
      <w:numFmt w:val="lowerRoman"/>
      <w:start w:val="2"/>
    </w:lvl>
  </w:abstractNum>
  <w:abstractNum w:abstractNumId="25">
    <w:nsid w:val="354FE9F9"/>
    <w:multiLevelType w:val="hybridMultilevel"/>
    <w:lvl w:ilvl="0">
      <w:lvlJc w:val="left"/>
      <w:lvlText w:val="(%1)"/>
      <w:numFmt w:val="decimal"/>
      <w:start w:val="30"/>
    </w:lvl>
  </w:abstractNum>
  <w:abstractNum w:abstractNumId="26">
    <w:nsid w:val="15B5AF5C"/>
    <w:multiLevelType w:val="hybridMultilevel"/>
    <w:lvl w:ilvl="0">
      <w:lvlJc w:val="left"/>
      <w:lvlText w:val="%1."/>
      <w:numFmt w:val="decimal"/>
      <w:start w:val="1"/>
    </w:lvl>
    <w:lvl w:ilvl="1">
      <w:lvlJc w:val="left"/>
      <w:lvlText w:val="(%2)"/>
      <w:numFmt w:val="lowerLetter"/>
      <w:start w:val="1"/>
    </w:lvl>
  </w:abstractNum>
  <w:abstractNum w:abstractNumId="27">
    <w:nsid w:val="741226BB"/>
    <w:multiLevelType w:val="hybridMultilevel"/>
    <w:lvl w:ilvl="0">
      <w:lvlJc w:val="left"/>
      <w:lvlText w:val="%1."/>
      <w:numFmt w:val="decimal"/>
      <w:start w:val="2"/>
    </w:lvl>
    <w:lvl w:ilvl="1">
      <w:lvlJc w:val="left"/>
      <w:lvlText w:val="(%2)"/>
      <w:numFmt w:val="lowerLetter"/>
      <w:start w:val="1"/>
    </w:lvl>
  </w:abstractNum>
  <w:abstractNum w:abstractNumId="28">
    <w:nsid w:val="D34B6A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9">
    <w:nsid w:val="10233C99"/>
    <w:multiLevelType w:val="hybridMultilevel"/>
    <w:lvl w:ilvl="0">
      <w:lvlJc w:val="left"/>
      <w:lvlText w:val="(%1)"/>
      <w:numFmt w:val="upperLetter"/>
      <w:start w:val="4"/>
    </w:lvl>
  </w:abstractNum>
  <w:abstractNum w:abstractNumId="30">
    <w:nsid w:val="3F6AB60F"/>
    <w:multiLevelType w:val="hybridMultilevel"/>
    <w:lvl w:ilvl="0">
      <w:lvlJc w:val="left"/>
      <w:lvlText w:val="%1"/>
      <w:numFmt w:val="lowerLetter"/>
      <w:start w:val="1"/>
    </w:lvl>
    <w:lvl w:ilvl="1">
      <w:lvlJc w:val="left"/>
      <w:lvlText w:val="(%2)"/>
      <w:numFmt w:val="lowerRoman"/>
      <w:start w:val="2"/>
    </w:lvl>
  </w:abstractNum>
  <w:abstractNum w:abstractNumId="31">
    <w:nsid w:val="61574095"/>
    <w:multiLevelType w:val="hybridMultilevel"/>
    <w:lvl w:ilvl="0">
      <w:lvlJc w:val="left"/>
      <w:lvlText w:val="(%1)"/>
      <w:numFmt w:val="lowerLetter"/>
      <w:start w:val="3"/>
    </w:lvl>
    <w:lvl w:ilvl="1">
      <w:lvlJc w:val="left"/>
      <w:lvlText w:val="(%2)"/>
      <w:numFmt w:val="lowerRoman"/>
      <w:start w:val="1"/>
    </w:lvl>
  </w:abstractNum>
  <w:abstractNum w:abstractNumId="32">
    <w:nsid w:val="7E0C57B1"/>
    <w:multiLevelType w:val="hybridMultilevel"/>
    <w:lvl w:ilvl="0">
      <w:lvlJc w:val="left"/>
      <w:lvlText w:val="(%1)"/>
      <w:numFmt w:val="lowerLetter"/>
      <w:start w:val="4"/>
    </w:lvl>
  </w:abstractNum>
  <w:abstractNum w:abstractNumId="33">
    <w:nsid w:val="77AE35EB"/>
    <w:multiLevelType w:val="hybridMultilevel"/>
    <w:lvl w:ilvl="0">
      <w:lvlJc w:val="left"/>
      <w:lvlText w:val="%1."/>
      <w:numFmt w:val="decimal"/>
      <w:start w:val="4"/>
    </w:lvl>
  </w:abstractNum>
  <w:abstractNum w:abstractNumId="34">
    <w:nsid w:val="579BE4F1"/>
    <w:multiLevelType w:val="hybridMultilevel"/>
    <w:lvl w:ilvl="0">
      <w:lvlJc w:val="left"/>
      <w:lvlText w:val="(%1)"/>
      <w:numFmt w:val="lowerRoman"/>
      <w:start w:val="4"/>
    </w:lvl>
  </w:abstractNum>
  <w:abstractNum w:abstractNumId="35">
    <w:nsid w:val="310C50B3"/>
    <w:multiLevelType w:val="hybridMultilevel"/>
    <w:lvl w:ilvl="0">
      <w:lvlJc w:val="left"/>
      <w:lvlText w:val="(%1)"/>
      <w:numFmt w:val="lowerLetter"/>
      <w:start w:val="25"/>
    </w:lvl>
  </w:abstractNum>
  <w:abstractNum w:abstractNumId="36">
    <w:nsid w:val="5FF87E05"/>
    <w:multiLevelType w:val="hybridMultilevel"/>
    <w:lvl w:ilvl="0">
      <w:lvlJc w:val="left"/>
      <w:lvlText w:val="%1."/>
      <w:numFmt w:val="decimal"/>
      <w:start w:val="1"/>
    </w:lvl>
  </w:abstractNum>
  <w:abstractNum w:abstractNumId="37">
    <w:nsid w:val="2F305DEF"/>
    <w:multiLevelType w:val="hybridMultilevel"/>
    <w:lvl w:ilvl="0">
      <w:lvlJc w:val="left"/>
      <w:lvlText w:val="%1."/>
      <w:numFmt w:val="decimal"/>
      <w:start w:val="2"/>
    </w:lvl>
  </w:abstractNum>
  <w:abstractNum w:abstractNumId="38">
    <w:nsid w:val="25A70BF7"/>
    <w:multiLevelType w:val="hybridMultilevel"/>
    <w:lvl w:ilvl="0">
      <w:lvlJc w:val="left"/>
      <w:lvlText w:val="%1"/>
      <w:numFmt w:val="decimal"/>
      <w:start w:val="1"/>
    </w:lvl>
    <w:lvl w:ilvl="1">
      <w:lvlJc w:val="left"/>
      <w:lvlText w:val="%2."/>
      <w:numFmt w:val="upperLetter"/>
      <w:start w:val="1"/>
    </w:lvl>
  </w:abstractNum>
  <w:abstractNum w:abstractNumId="39">
    <w:nsid w:val="1DBABF00"/>
    <w:multiLevelType w:val="hybridMultilevel"/>
    <w:lvl w:ilvl="0">
      <w:lvlJc w:val="left"/>
      <w:lvlText w:val="%1."/>
      <w:numFmt w:val="decimal"/>
      <w:start w:val="1"/>
    </w:lvl>
    <w:lvl w:ilvl="1">
      <w:lvlJc w:val="left"/>
      <w:lvlText w:val="%2"/>
      <w:numFmt w:val="upperLetter"/>
      <w:start w:val="1"/>
    </w:lvl>
  </w:abstractNum>
  <w:abstractNum w:abstractNumId="40">
    <w:nsid w:val="4AD084E9"/>
    <w:multiLevelType w:val="hybridMultilevel"/>
    <w:lvl w:ilvl="0">
      <w:lvlJc w:val="left"/>
      <w:lvlText w:val="%1."/>
      <w:numFmt w:val="decimal"/>
      <w:start w:val="3"/>
    </w:lvl>
  </w:abstractNum>
  <w:abstractNum w:abstractNumId="41">
    <w:nsid w:val="1F48EAA1"/>
    <w:multiLevelType w:val="hybridMultilevel"/>
    <w:lvl w:ilvl="0">
      <w:lvlJc w:val="left"/>
      <w:lvlText w:val="%1."/>
      <w:numFmt w:val="decimal"/>
      <w:start w:val="4"/>
    </w:lvl>
  </w:abstractNum>
  <w:abstractNum w:abstractNumId="42">
    <w:nsid w:val="1381823A"/>
    <w:multiLevelType w:val="hybridMultilevel"/>
    <w:lvl w:ilvl="0">
      <w:lvlJc w:val="left"/>
      <w:lvlText w:val="%1."/>
      <w:numFmt w:val="decimal"/>
      <w:start w:val="1"/>
    </w:lvl>
  </w:abstractNum>
  <w:abstractNum w:abstractNumId="43">
    <w:nsid w:val="5DB70AE5"/>
    <w:multiLevelType w:val="hybridMultilevel"/>
    <w:lvl w:ilvl="0">
      <w:lvlJc w:val="left"/>
      <w:lvlText w:val="%1."/>
      <w:numFmt w:val="decimal"/>
      <w:start w:val="1"/>
    </w:lvl>
  </w:abstractNum>
  <w:abstractNum w:abstractNumId="44">
    <w:nsid w:val="100F8FCA"/>
    <w:multiLevelType w:val="hybridMultilevel"/>
    <w:lvl w:ilvl="0">
      <w:lvlJc w:val="left"/>
      <w:lvlText w:val="(%1)"/>
      <w:numFmt w:val="lowerLetter"/>
      <w:start w:val="1"/>
    </w:lvl>
  </w:abstractNum>
  <w:abstractNum w:abstractNumId="45">
    <w:nsid w:val="6590700B"/>
    <w:multiLevelType w:val="hybridMultilevel"/>
    <w:lvl w:ilvl="0">
      <w:lvlJc w:val="left"/>
      <w:lvlText w:val="(%1)"/>
      <w:numFmt w:val="decimal"/>
      <w:start w:val="2"/>
    </w:lvl>
  </w:abstractNum>
  <w:abstractNum w:abstractNumId="46">
    <w:nsid w:val="15014ACB"/>
    <w:multiLevelType w:val="hybridMultilevel"/>
    <w:lvl w:ilvl="0">
      <w:lvlJc w:val="left"/>
      <w:lvlText w:val="(%1)"/>
      <w:numFmt w:val="lowerRoman"/>
      <w:start w:val="3"/>
    </w:lvl>
  </w:abstractNum>
  <w:abstractNum w:abstractNumId="47">
    <w:nsid w:val="5F5E7FD0"/>
    <w:multiLevelType w:val="hybridMultilevel"/>
    <w:lvl w:ilvl="0">
      <w:lvlJc w:val="left"/>
      <w:lvlText w:val="(%1)"/>
      <w:numFmt w:val="lowerRoman"/>
      <w:start w:val="3"/>
    </w:lvl>
  </w:abstractNum>
  <w:abstractNum w:abstractNumId="48">
    <w:nsid w:val="98A3148"/>
    <w:multiLevelType w:val="hybridMultilevel"/>
    <w:lvl w:ilvl="0">
      <w:lvlJc w:val="left"/>
      <w:lvlText w:val="(%1)"/>
      <w:numFmt w:val="lowerRoman"/>
      <w:start w:val="2"/>
    </w:lvl>
  </w:abstractNum>
  <w:abstractNum w:abstractNumId="49">
    <w:nsid w:val="799D0247"/>
    <w:multiLevelType w:val="hybridMultilevel"/>
    <w:lvl w:ilvl="0">
      <w:lvlJc w:val="left"/>
      <w:lvlText w:val="1"/>
      <w:numFmt w:val="bullet"/>
      <w:start w:val="1"/>
    </w:lvl>
  </w:abstractNum>
  <w:abstractNum w:abstractNumId="50">
    <w:nsid w:val="6B94764"/>
    <w:multiLevelType w:val="hybridMultilevel"/>
    <w:lvl w:ilvl="0">
      <w:lvlJc w:val="left"/>
      <w:lvlText w:val="(%1)"/>
      <w:numFmt w:val="lowerLetter"/>
      <w:start w:val="1"/>
    </w:lvl>
    <w:lvl w:ilvl="1">
      <w:lvlJc w:val="left"/>
      <w:lvlText w:val="(%2)"/>
      <w:numFmt w:val="lowerRoman"/>
      <w:start w:val="1"/>
    </w:lvl>
  </w:abstractNum>
  <w:abstractNum w:abstractNumId="51">
    <w:nsid w:val="42C296BD"/>
    <w:multiLevelType w:val="hybridMultilevel"/>
    <w:lvl w:ilvl="0">
      <w:lvlJc w:val="left"/>
      <w:lvlText w:val="(%1)"/>
      <w:numFmt w:val="lowerLetter"/>
      <w:start w:val="1"/>
    </w:lvl>
    <w:lvl w:ilvl="1">
      <w:lvlJc w:val="left"/>
      <w:lvlText w:val="(%2)"/>
      <w:numFmt w:val="lowerLetter"/>
      <w:start w:val="9"/>
    </w:lvl>
  </w:abstractNum>
  <w:abstractNum w:abstractNumId="52">
    <w:nsid w:val="168E121F"/>
    <w:multiLevelType w:val="hybridMultilevel"/>
    <w:lvl w:ilvl="0">
      <w:lvlJc w:val="left"/>
      <w:lvlText w:val="3"/>
      <w:numFmt w:val="bullet"/>
      <w:start w:val="1"/>
    </w:lvl>
  </w:abstractNum>
  <w:abstractNum w:abstractNumId="53">
    <w:nsid w:val="1EBA5D23"/>
    <w:multiLevelType w:val="hybridMultilevel"/>
    <w:lvl w:ilvl="0">
      <w:lvlJc w:val="left"/>
      <w:lvlText w:val="%1"/>
      <w:numFmt w:val="lowerLetter"/>
      <w:start w:val="1"/>
    </w:lvl>
    <w:lvl w:ilvl="1">
      <w:lvlJc w:val="left"/>
      <w:lvlText w:val="(%2)"/>
      <w:numFmt w:val="lowerRoman"/>
      <w:start w:val="2"/>
    </w:lvl>
  </w:abstractNum>
  <w:abstractNum w:abstractNumId="54">
    <w:nsid w:val="661E3F1E"/>
    <w:multiLevelType w:val="hybridMultilevel"/>
    <w:lvl w:ilvl="0">
      <w:lvlJc w:val="left"/>
      <w:lvlText w:val="(%1)"/>
      <w:numFmt w:val="lowerLetter"/>
      <w:start w:val="2"/>
    </w:lvl>
    <w:lvl w:ilvl="1">
      <w:lvlJc w:val="left"/>
      <w:lvlText w:val="(%2)"/>
      <w:numFmt w:val="lowerRoman"/>
      <w:start w:val="1"/>
    </w:lvl>
  </w:abstractNum>
  <w:abstractNum w:abstractNumId="55">
    <w:nsid w:val="5DC79EA8"/>
    <w:multiLevelType w:val="hybridMultilevel"/>
    <w:lvl w:ilvl="0">
      <w:lvlJc w:val="left"/>
      <w:lvlText w:val="%1"/>
      <w:numFmt w:val="lowerLetter"/>
      <w:start w:val="1"/>
    </w:lvl>
    <w:lvl w:ilvl="1">
      <w:lvlJc w:val="left"/>
      <w:lvlText w:val="(%2)"/>
      <w:numFmt w:val="lowerLetter"/>
      <w:start w:val="1"/>
    </w:lvl>
  </w:abstractNum>
  <w:abstractNum w:abstractNumId="56">
    <w:nsid w:val="540A471C"/>
    <w:multiLevelType w:val="hybridMultilevel"/>
    <w:lvl w:ilvl="0">
      <w:lvlJc w:val="left"/>
      <w:lvlText w:val="(%1)"/>
      <w:numFmt w:val="lowerLetter"/>
      <w:start w:val="35"/>
    </w:lvl>
    <w:lvl w:ilvl="1">
      <w:lvlJc w:val="left"/>
      <w:lvlText w:val="%2"/>
      <w:numFmt w:val="lowerLetter"/>
      <w:start w:val="1"/>
    </w:lvl>
  </w:abstractNum>
  <w:abstractNum w:abstractNumId="57">
    <w:nsid w:val="7BD3EE7B"/>
    <w:multiLevelType w:val="hybridMultilevel"/>
    <w:lvl w:ilvl="0">
      <w:lvlJc w:val="left"/>
      <w:lvlText w:val="(%1)"/>
      <w:numFmt w:val="lowerLetter"/>
      <w:start w:val="5"/>
    </w:lvl>
  </w:abstractNum>
  <w:abstractNum w:abstractNumId="58">
    <w:nsid w:val="51D9C564"/>
    <w:multiLevelType w:val="hybridMultilevel"/>
    <w:lvl w:ilvl="0">
      <w:lvlJc w:val="left"/>
      <w:lvlText w:val="(%1)"/>
      <w:numFmt w:val="lowerLetter"/>
      <w:start w:val="13"/>
    </w:lvl>
  </w:abstractNum>
  <w:abstractNum w:abstractNumId="59">
    <w:nsid w:val="613EFDC5"/>
    <w:multiLevelType w:val="hybridMultilevel"/>
    <w:lvl w:ilvl="0">
      <w:lvlJc w:val="left"/>
      <w:lvlText w:val="(%1)"/>
      <w:numFmt w:val="lowerLetter"/>
      <w:start w:val="17"/>
    </w:lvl>
  </w:abstractNum>
  <w:abstractNum w:abstractNumId="60">
    <w:nsid w:val="BF72B14"/>
    <w:multiLevelType w:val="hybridMultilevel"/>
    <w:lvl w:ilvl="0">
      <w:lvlJc w:val="left"/>
      <w:lvlText w:val="(%1)"/>
      <w:numFmt w:val="lowerLetter"/>
      <w:start w:val="1"/>
    </w:lvl>
  </w:abstractNum>
  <w:abstractNum w:abstractNumId="61">
    <w:nsid w:val="11447B73"/>
    <w:multiLevelType w:val="hybridMultilevel"/>
    <w:lvl w:ilvl="0">
      <w:lvlJc w:val="left"/>
      <w:lvlText w:val="%1"/>
      <w:numFmt w:val="lowerLetter"/>
      <w:start w:val="1"/>
    </w:lvl>
    <w:lvl w:ilvl="1">
      <w:lvlJc w:val="left"/>
      <w:lvlText w:val="(%2)"/>
      <w:numFmt w:val="lowerLetter"/>
      <w:start w:val="4"/>
    </w:lvl>
  </w:abstractNum>
  <w:abstractNum w:abstractNumId="62">
    <w:nsid w:val="42963E5A"/>
    <w:multiLevelType w:val="hybridMultilevel"/>
    <w:lvl w:ilvl="0">
      <w:lvlJc w:val="left"/>
      <w:lvlText w:val="(%1)"/>
      <w:numFmt w:val="lowerLetter"/>
      <w:start w:val="9"/>
    </w:lvl>
    <w:lvl w:ilvl="1">
      <w:lvlJc w:val="left"/>
      <w:lvlText w:val="(%2)"/>
      <w:numFmt w:val="lowerLetter"/>
      <w:start w:val="6"/>
    </w:lvl>
  </w:abstractNum>
  <w:abstractNum w:abstractNumId="63">
    <w:nsid w:val="A0382C5"/>
    <w:multiLevelType w:val="hybridMultilevel"/>
    <w:lvl w:ilvl="0">
      <w:lvlJc w:val="left"/>
      <w:lvlText w:val="(%1)"/>
      <w:numFmt w:val="lowerLetter"/>
      <w:start w:val="7"/>
    </w:lvl>
  </w:abstractNum>
  <w:abstractNum w:abstractNumId="64">
    <w:nsid w:val="8F2B15E"/>
    <w:multiLevelType w:val="hybridMultilevel"/>
    <w:lvl w:ilvl="0">
      <w:lvlJc w:val="left"/>
      <w:lvlText w:val="(%1)"/>
      <w:numFmt w:val="lowerLetter"/>
      <w:start w:val="9"/>
    </w:lvl>
  </w:abstractNum>
  <w:abstractNum w:abstractNumId="65">
    <w:nsid w:val="1A32234B"/>
    <w:multiLevelType w:val="hybridMultilevel"/>
    <w:lvl w:ilvl="0">
      <w:lvlJc w:val="left"/>
      <w:lvlText w:val="5"/>
      <w:numFmt w:val="bullet"/>
      <w:start w:val="1"/>
    </w:lvl>
  </w:abstractNum>
  <w:abstractNum w:abstractNumId="66">
    <w:nsid w:val="3B0FD379"/>
    <w:multiLevelType w:val="hybridMultilevel"/>
    <w:lvl w:ilvl="0">
      <w:lvlJc w:val="left"/>
      <w:lvlText w:val="(%1)"/>
      <w:numFmt w:val="lowerLetter"/>
      <w:start w:val="1"/>
    </w:lvl>
  </w:abstractNum>
  <w:abstractNum w:abstractNumId="67">
    <w:nsid w:val="68EB2F63"/>
    <w:multiLevelType w:val="hybridMultilevel"/>
    <w:lvl w:ilvl="0">
      <w:lvlJc w:val="left"/>
      <w:lvlText w:val="(%1)"/>
      <w:numFmt w:val="lowerLetter"/>
      <w:start w:val="2"/>
    </w:lvl>
  </w:abstractNum>
  <w:abstractNum w:abstractNumId="68">
    <w:nsid w:val="4962813B"/>
    <w:multiLevelType w:val="hybridMultilevel"/>
    <w:lvl w:ilvl="0">
      <w:lvlJc w:val="left"/>
      <w:lvlText w:val="8"/>
      <w:numFmt w:val="bullet"/>
      <w:start w:val="1"/>
    </w:lvl>
  </w:abstractNum>
  <w:abstractNum w:abstractNumId="69">
    <w:nsid w:val="60B6DF70"/>
    <w:multiLevelType w:val="hybridMultilevel"/>
    <w:lvl w:ilvl="0">
      <w:lvlJc w:val="left"/>
      <w:lvlText w:val="(%1)"/>
      <w:numFmt w:val="lowerLetter"/>
      <w:start w:val="1"/>
    </w:lvl>
  </w:abstractNum>
  <w:abstractNum w:abstractNumId="70">
    <w:nsid w:val="6A5EE64"/>
    <w:multiLevelType w:val="hybridMultilevel"/>
    <w:lvl w:ilvl="0">
      <w:lvlJc w:val="left"/>
      <w:lvlText w:val="(%1)"/>
      <w:numFmt w:val="lowerLetter"/>
      <w:start w:val="2"/>
    </w:lvl>
  </w:abstractNum>
  <w:abstractNum w:abstractNumId="71">
    <w:nsid w:val="14330624"/>
    <w:multiLevelType w:val="hybridMultilevel"/>
    <w:lvl w:ilvl="0">
      <w:lvlJc w:val="left"/>
      <w:lvlText w:val="(%1)"/>
      <w:numFmt w:val="lowerLetter"/>
      <w:start w:val="5"/>
    </w:lvl>
    <w:lvl w:ilvl="1">
      <w:lvlJc w:val="left"/>
      <w:lvlText w:val="(%2)"/>
      <w:numFmt w:val="lowerLetter"/>
      <w:start w:val="9"/>
    </w:lvl>
  </w:abstractNum>
  <w:abstractNum w:abstractNumId="72">
    <w:nsid w:val="7FFFCA11"/>
    <w:multiLevelType w:val="hybridMultilevel"/>
    <w:lvl w:ilvl="0">
      <w:lvlJc w:val="left"/>
      <w:lvlText w:val="(%1)"/>
      <w:numFmt w:val="lowerRoman"/>
      <w:start w:val="3"/>
    </w:lvl>
  </w:abstractNum>
  <w:abstractNum w:abstractNumId="73">
    <w:nsid w:val="1A27709E"/>
    <w:multiLevelType w:val="hybridMultilevel"/>
    <w:lvl w:ilvl="0">
      <w:lvlJc w:val="left"/>
      <w:lvlText w:val="(%1)"/>
      <w:numFmt w:val="lowerRoman"/>
      <w:start w:val="4"/>
    </w:lvl>
  </w:abstractNum>
  <w:abstractNum w:abstractNumId="74">
    <w:nsid w:val="71EA1109"/>
    <w:multiLevelType w:val="hybridMultilevel"/>
    <w:lvl w:ilvl="0">
      <w:lvlJc w:val="left"/>
      <w:lvlText w:val="(%1)"/>
      <w:numFmt w:val="lowerRoman"/>
      <w:start w:val="5"/>
    </w:lvl>
  </w:abstractNum>
  <w:abstractNum w:abstractNumId="75">
    <w:nsid w:val="100F59DC"/>
    <w:multiLevelType w:val="hybridMultilevel"/>
    <w:lvl w:ilvl="0">
      <w:lvlJc w:val="left"/>
      <w:lvlText w:val="(%1)"/>
      <w:numFmt w:val="lowerLetter"/>
      <w:start w:val="8"/>
    </w:lvl>
  </w:abstractNum>
  <w:abstractNum w:abstractNumId="76">
    <w:nsid w:val="7FB7E0AA"/>
    <w:multiLevelType w:val="hybridMultilevel"/>
    <w:lvl w:ilvl="0">
      <w:lvlJc w:val="left"/>
      <w:lvlText w:val="9"/>
      <w:numFmt w:val="bullet"/>
      <w:start w:val="1"/>
    </w:lvl>
  </w:abstractNum>
  <w:abstractNum w:abstractNumId="77">
    <w:nsid w:val="6EB5BD4"/>
    <w:multiLevelType w:val="hybridMultilevel"/>
    <w:lvl w:ilvl="0">
      <w:lvlJc w:val="left"/>
      <w:lvlText w:val="%1."/>
      <w:numFmt w:val="upperLetter"/>
      <w:start w:val="1"/>
    </w:lvl>
    <w:lvl w:ilvl="1">
      <w:lvlJc w:val="left"/>
      <w:lvlText w:val="☐"/>
      <w:numFmt w:val="bullet"/>
      <w:start w:val="1"/>
    </w:lvl>
  </w:abstractNum>
  <w:abstractNum w:abstractNumId="78">
    <w:nsid w:val="6F6DD9AC"/>
    <w:multiLevelType w:val="hybridMultilevel"/>
    <w:lvl w:ilvl="0">
      <w:lvlJc w:val="left"/>
      <w:lvlText w:val="☐"/>
      <w:numFmt w:val="bullet"/>
      <w:start w:val="1"/>
    </w:lvl>
  </w:abstractNum>
  <w:abstractNum w:abstractNumId="79">
    <w:nsid w:val="94211F2"/>
    <w:multiLevelType w:val="hybridMultilevel"/>
    <w:lvl w:ilvl="0">
      <w:lvlJc w:val="left"/>
      <w:lvlText w:val="%1."/>
      <w:numFmt w:val="upperLetter"/>
      <w:start w:val="3"/>
    </w:lvl>
    <w:lvl w:ilvl="1">
      <w:lvlJc w:val="left"/>
      <w:lvlText w:val="☐"/>
      <w:numFmt w:val="bullet"/>
      <w:start w:val="1"/>
    </w:lvl>
  </w:abstractNum>
  <w:abstractNum w:abstractNumId="80">
    <w:nsid w:val="885E1B"/>
    <w:multiLevelType w:val="hybridMultilevel"/>
    <w:lvl w:ilvl="0">
      <w:lvlJc w:val="left"/>
      <w:lvlText w:val="☐"/>
      <w:numFmt w:val="bullet"/>
      <w:start w:val="1"/>
    </w:lvl>
  </w:abstractNum>
  <w:abstractNum w:abstractNumId="81">
    <w:nsid w:val="76272110"/>
    <w:multiLevelType w:val="hybridMultilevel"/>
    <w:lvl w:ilvl="0">
      <w:lvlJc w:val="left"/>
      <w:lvlText w:val="☐"/>
      <w:numFmt w:val="bullet"/>
      <w:start w:val="1"/>
    </w:lvl>
  </w:abstractNum>
  <w:abstractNum w:abstractNumId="82">
    <w:nsid w:val="4C04A8AF"/>
    <w:multiLevelType w:val="hybridMultilevel"/>
    <w:lvl w:ilvl="0">
      <w:lvlJc w:val="left"/>
      <w:lvlText w:val="☐"/>
      <w:numFmt w:val="bullet"/>
      <w:start w:val="1"/>
    </w:lvl>
  </w:abstractNum>
  <w:abstractNum w:abstractNumId="83">
    <w:nsid w:val="1716703B"/>
    <w:multiLevelType w:val="hybridMultilevel"/>
    <w:lvl w:ilvl="0">
      <w:lvlJc w:val="left"/>
      <w:lvlText w:val="☐"/>
      <w:numFmt w:val="bullet"/>
      <w:start w:val="1"/>
    </w:lvl>
  </w:abstractNum>
  <w:abstractNum w:abstractNumId="84">
    <w:nsid w:val="14E17E33"/>
    <w:multiLevelType w:val="hybridMultilevel"/>
    <w:lvl w:ilvl="0">
      <w:lvlJc w:val="left"/>
      <w:lvlText w:val="☐"/>
      <w:numFmt w:val="bullet"/>
      <w:start w:val="1"/>
    </w:lvl>
  </w:abstractNum>
  <w:abstractNum w:abstractNumId="85">
    <w:nsid w:val="3222E7CD"/>
    <w:multiLevelType w:val="hybridMultilevel"/>
    <w:lvl w:ilvl="0">
      <w:lvlJc w:val="left"/>
      <w:lvlText w:val="☐"/>
      <w:numFmt w:val="bullet"/>
      <w:start w:val="1"/>
    </w:lvl>
  </w:abstractNum>
  <w:abstractNum w:abstractNumId="86">
    <w:nsid w:val="74DE0EE3"/>
    <w:multiLevelType w:val="hybridMultilevel"/>
    <w:lvl w:ilvl="0">
      <w:lvlJc w:val="left"/>
      <w:lvlText w:val="☐"/>
      <w:numFmt w:val="bullet"/>
      <w:start w:val="1"/>
    </w:lvl>
  </w:abstractNum>
  <w:abstractNum w:abstractNumId="87">
    <w:nsid w:val="68EBC550"/>
    <w:multiLevelType w:val="hybridMultilevel"/>
    <w:lvl w:ilvl="0">
      <w:lvlJc w:val="left"/>
      <w:lvlText w:val="(%1)"/>
      <w:numFmt w:val="upperLetter"/>
      <w:start w:val="4"/>
    </w:lvl>
  </w:abstractNum>
  <w:abstractNum w:abstractNumId="88">
    <w:nsid w:val="2DF6D648"/>
    <w:multiLevelType w:val="hybridMultilevel"/>
    <w:lvl w:ilvl="0">
      <w:lvlJc w:val="left"/>
      <w:lvlText w:val="(%1)"/>
      <w:numFmt w:val="lowerLetter"/>
      <w:start w:val="2"/>
    </w:lvl>
  </w:abstractNum>
  <w:abstractNum w:abstractNumId="89">
    <w:nsid w:val="46B7D447"/>
    <w:multiLevelType w:val="hybridMultilevel"/>
    <w:lvl w:ilvl="0">
      <w:lvlJc w:val="left"/>
      <w:lvlText w:val="(%1)"/>
      <w:numFmt w:val="lowerLetter"/>
      <w:start w:val="2"/>
    </w:lvl>
  </w:abstractNum>
  <w:abstractNum w:abstractNumId="90">
    <w:nsid w:val="4A2AC315"/>
    <w:multiLevelType w:val="hybridMultilevel"/>
    <w:lvl w:ilvl="0">
      <w:lvlJc w:val="left"/>
      <w:lvlText w:val="(%1)"/>
      <w:numFmt w:val="lowerRoman"/>
      <w:start w:val="1"/>
    </w:lvl>
  </w:abstractNum>
  <w:abstractNum w:abstractNumId="91">
    <w:nsid w:val="39EE01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2025-12-18T10:44:32Z</dcterms:created>
  <dcterms:modified xsi:type="dcterms:W3CDTF">2025-12-18T10:44:32Z</dcterms:modified>
</cp:coreProperties>
</file>