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27A" w:rsidR="005738A1" w:rsidP="00422356" w:rsidRDefault="00A97D7F" w14:paraId="04595CC0" w14:textId="37A9CE0C">
      <w:pPr>
        <w:pStyle w:val="Title2"/>
        <w:rPr>
          <w:rFonts w:ascii="Times New Roman" w:hAnsi="Times New Roman"/>
          <w:caps/>
          <w:sz w:val="24"/>
          <w:szCs w:val="24"/>
          <w:u w:val="none"/>
        </w:rPr>
      </w:pPr>
      <w:r>
        <w:rPr>
          <w:rFonts w:ascii="Times New Roman" w:hAnsi="Times New Roman"/>
          <w:caps/>
          <w:sz w:val="24"/>
          <w:szCs w:val="24"/>
          <w:u w:val="none"/>
        </w:rPr>
        <w:t>Factorial Energy Inc.</w:t>
      </w:r>
    </w:p>
    <w:p w:rsidR="005738A1" w:rsidP="00422356" w:rsidRDefault="005738A1" w14:paraId="7347DE7B" w14:textId="399EC40D">
      <w:pPr>
        <w:pStyle w:val="Title"/>
        <w:rPr>
          <w:rFonts w:ascii="Times New Roman" w:hAnsi="Times New Roman"/>
          <w:b/>
          <w:caps/>
          <w:szCs w:val="24"/>
        </w:rPr>
      </w:pPr>
      <w:r w:rsidRPr="0002227A">
        <w:rPr>
          <w:rFonts w:ascii="Times New Roman" w:hAnsi="Times New Roman"/>
          <w:b/>
          <w:caps/>
          <w:szCs w:val="24"/>
        </w:rPr>
        <w:t>Corporate Governance Guidelines</w:t>
      </w:r>
    </w:p>
    <w:p w:rsidR="005738A1" w:rsidP="00422356" w:rsidRDefault="005738A1" w14:paraId="272EFF62" w14:textId="60BB3374">
      <w:pPr>
        <w:pStyle w:val="BodyText"/>
        <w:jc w:val="both"/>
      </w:pPr>
      <w:r>
        <w:t>The Board of Directors (the “</w:t>
      </w:r>
      <w:r w:rsidRPr="007B2456">
        <w:t>Board</w:t>
      </w:r>
      <w:r>
        <w:t xml:space="preserve">”) of </w:t>
      </w:r>
      <w:r w:rsidR="00A97D7F">
        <w:t>Factorial Energy Inc.</w:t>
      </w:r>
      <w:r w:rsidR="003A77BC">
        <w:t xml:space="preserve"> </w:t>
      </w:r>
      <w:r w:rsidRPr="0002227A">
        <w:t>(the “</w:t>
      </w:r>
      <w:r w:rsidRPr="007B2456">
        <w:t>Company</w:t>
      </w:r>
      <w:r w:rsidRPr="0002227A">
        <w:t>”) has adopted the</w:t>
      </w:r>
      <w:r w:rsidRPr="0002227A" w:rsidR="00430820">
        <w:t>se</w:t>
      </w:r>
      <w:r w:rsidRPr="0002227A">
        <w:t xml:space="preserve"> corporate governance guidelines to assist and guide the Board in the exercise of its responsibilities.  These guidelines should be interpreted</w:t>
      </w:r>
      <w:r>
        <w:t xml:space="preserve"> in accordance with any requirements imposed by applicable federal or state law or regulation, the </w:t>
      </w:r>
      <w:r w:rsidR="00430820">
        <w:t>Nasdaq Stock Market LLC (“</w:t>
      </w:r>
      <w:r w:rsidRPr="007B2456" w:rsidR="00066ECA">
        <w:t>Nasdaq</w:t>
      </w:r>
      <w:r w:rsidR="00430820">
        <w:t>”)</w:t>
      </w:r>
      <w:r>
        <w:t xml:space="preserve"> and the </w:t>
      </w:r>
      <w:r w:rsidR="00EE1611">
        <w:t xml:space="preserve">amended and restated </w:t>
      </w:r>
      <w:r w:rsidRPr="001E7440" w:rsidR="005A5493">
        <w:rPr>
          <w:bCs/>
        </w:rPr>
        <w:t xml:space="preserve">certificate of incorporation and </w:t>
      </w:r>
      <w:r w:rsidR="00EE1611">
        <w:rPr>
          <w:bCs/>
        </w:rPr>
        <w:t xml:space="preserve">amended and restated </w:t>
      </w:r>
      <w:r w:rsidRPr="001E7440" w:rsidR="005A5493">
        <w:rPr>
          <w:bCs/>
        </w:rPr>
        <w:t>bylaws</w:t>
      </w:r>
      <w:r w:rsidRPr="005A5493">
        <w:t xml:space="preserve"> of the Com</w:t>
      </w:r>
      <w:r w:rsidRPr="004164C7">
        <w:t>pany.  The Board may review and amen</w:t>
      </w:r>
      <w:r>
        <w:t>d these guidelines from time to time.</w:t>
      </w:r>
    </w:p>
    <w:p w:rsidR="005738A1" w:rsidP="00422356" w:rsidRDefault="005738A1" w14:paraId="51081F41" w14:textId="59170891">
      <w:pPr>
        <w:pStyle w:val="Heading1"/>
        <w:spacing w:before="360"/>
        <w:jc w:val="both"/>
      </w:pPr>
      <w:r>
        <w:t xml:space="preserve">Director </w:t>
      </w:r>
      <w:r w:rsidR="00E57E94">
        <w:t>Criteria and Selection</w:t>
      </w:r>
    </w:p>
    <w:p w:rsidR="005738A1" w:rsidP="00422356" w:rsidRDefault="00112312" w14:paraId="76BA3E1E" w14:textId="3C504CE2">
      <w:pPr>
        <w:pStyle w:val="ListBullet"/>
      </w:pPr>
      <w:r>
        <w:rPr>
          <w:b/>
          <w:bCs/>
          <w:u w:val="single"/>
        </w:rPr>
        <w:t xml:space="preserve">Responsibility and </w:t>
      </w:r>
      <w:r w:rsidRPr="00FD6F13" w:rsidR="005738A1">
        <w:rPr>
          <w:b/>
          <w:bCs/>
          <w:u w:val="single"/>
        </w:rPr>
        <w:t>Process For Identifying and Selecting Directors</w:t>
      </w:r>
      <w:r w:rsidRPr="00FD6F13" w:rsidR="005738A1">
        <w:rPr>
          <w:b/>
          <w:bCs/>
        </w:rPr>
        <w:t>:</w:t>
      </w:r>
      <w:r w:rsidR="005738A1">
        <w:t xml:space="preserve">  </w:t>
      </w:r>
      <w:r w:rsidR="003B220C">
        <w:t xml:space="preserve">The Board will be responsible for nominating members for election to the Board by the Company’s stockholders at the annual meeting of stockholders. The Board is also responsible for filling vacancies on the Board that may occur between annual meetings of stockholders. The Nominating </w:t>
      </w:r>
      <w:r>
        <w:t xml:space="preserve">and Corporate Governance </w:t>
      </w:r>
      <w:r w:rsidR="003B220C">
        <w:t xml:space="preserve">Committee </w:t>
      </w:r>
      <w:r>
        <w:t>of the Board (the “</w:t>
      </w:r>
      <w:r w:rsidRPr="007B2456">
        <w:t>Nominating Committee</w:t>
      </w:r>
      <w:r>
        <w:t xml:space="preserve">”) </w:t>
      </w:r>
      <w:r w:rsidRPr="00112312" w:rsidR="003B220C">
        <w:t>is</w:t>
      </w:r>
      <w:r w:rsidR="003B220C">
        <w:t xml:space="preserve"> responsible for identifying, reviewing, evaluating and recommending to the Board candidates to serve as directors of the Company in accordance with the Nominating Committee’s charter and the Company’s</w:t>
      </w:r>
      <w:r w:rsidR="00DA1133">
        <w:t xml:space="preserve"> amended and restated</w:t>
      </w:r>
      <w:r w:rsidR="003B220C">
        <w:t xml:space="preserve"> bylaws and consistent with the criteria listed below.</w:t>
      </w:r>
    </w:p>
    <w:p w:rsidR="003B220C" w:rsidP="00422356" w:rsidRDefault="003B220C" w14:paraId="54CE2EF4" w14:textId="22DE50E3">
      <w:pPr>
        <w:pStyle w:val="ListBullet"/>
      </w:pPr>
      <w:r w:rsidRPr="0089127E">
        <w:rPr>
          <w:b/>
          <w:bCs/>
          <w:u w:val="single"/>
        </w:rPr>
        <w:t>Director Criteria</w:t>
      </w:r>
      <w:r>
        <w:t xml:space="preserve">: </w:t>
      </w:r>
    </w:p>
    <w:p w:rsidR="003B220C" w:rsidP="00422356" w:rsidRDefault="00FD397A" w14:paraId="1CC21C49" w14:textId="561E0B8C">
      <w:pPr>
        <w:pStyle w:val="ListBullet"/>
        <w:numPr>
          <w:ilvl w:val="0"/>
          <w:numId w:val="0"/>
        </w:numPr>
        <w:ind w:left="720"/>
      </w:pPr>
      <w:r>
        <w:t>With advice and input from the Nominating Committee, t</w:t>
      </w:r>
      <w:r w:rsidR="003B220C">
        <w:t xml:space="preserve">he Board will determine the appropriate characteristics, skills and experience for the Board as a whole and for its individual members.  </w:t>
      </w:r>
      <w:r>
        <w:t xml:space="preserve">In evaluating </w:t>
      </w:r>
      <w:r w:rsidR="003B220C">
        <w:t>director nominee recommendations from the Nominating Committee</w:t>
      </w:r>
      <w:r>
        <w:t xml:space="preserve"> or otherwise, t</w:t>
      </w:r>
      <w:r w:rsidR="003B220C">
        <w:t xml:space="preserve">he Board will consider the minimum general criteria set forth below and may add any specific additional criteria with respect to specific searches. </w:t>
      </w:r>
      <w:r>
        <w:t>There is no requirement that a</w:t>
      </w:r>
      <w:r w:rsidR="003B220C">
        <w:t>n acceptable candidate fully satisfy all of the criteria</w:t>
      </w:r>
      <w:r>
        <w:t xml:space="preserve"> and the assessment of the degree to which a candidate does so is in the Board’s sole judgment and discretion</w:t>
      </w:r>
      <w:r w:rsidR="003B220C">
        <w:t>. The Board believes that director candidates should have certain minimum qualifications, including being able to read and understand basic financial statements and having the highest personal integrity and ethics.</w:t>
      </w:r>
    </w:p>
    <w:p w:rsidR="0082130F" w:rsidP="00422356" w:rsidRDefault="003B220C" w14:paraId="3AD415E5" w14:textId="1DE0D759">
      <w:pPr>
        <w:pStyle w:val="ListBullet"/>
        <w:numPr>
          <w:ilvl w:val="0"/>
          <w:numId w:val="0"/>
        </w:numPr>
        <w:ind w:left="720"/>
      </w:pPr>
      <w:r>
        <w:t>In considering candidates recommended by the Nominating Committee</w:t>
      </w:r>
      <w:r w:rsidR="00FD397A">
        <w:t xml:space="preserve"> and otherwise</w:t>
      </w:r>
      <w:r>
        <w:t>, the Board intends to consider such factors</w:t>
      </w:r>
      <w:r w:rsidR="00FD397A">
        <w:t xml:space="preserve"> </w:t>
      </w:r>
      <w:r>
        <w:t xml:space="preserve">as: (i) </w:t>
      </w:r>
      <w:r w:rsidR="00FD397A">
        <w:t xml:space="preserve">the candidate </w:t>
      </w:r>
      <w:r>
        <w:t xml:space="preserve">possessing relevant </w:t>
      </w:r>
      <w:r w:rsidR="0082130F">
        <w:t xml:space="preserve">experience and </w:t>
      </w:r>
      <w:r>
        <w:t xml:space="preserve">expertise </w:t>
      </w:r>
      <w:r w:rsidR="0082130F">
        <w:t xml:space="preserve">to enable him or her to </w:t>
      </w:r>
      <w:r>
        <w:t xml:space="preserve">be able to offer </w:t>
      </w:r>
      <w:r w:rsidR="0082130F">
        <w:t xml:space="preserve">germane </w:t>
      </w:r>
      <w:r>
        <w:t xml:space="preserve">advice and guidance to management; (ii) </w:t>
      </w:r>
      <w:r w:rsidR="0082130F">
        <w:t>proven achievement and competence in his</w:t>
      </w:r>
      <w:r>
        <w:t xml:space="preserve"> or her field; (i</w:t>
      </w:r>
      <w:r w:rsidR="0082130F">
        <w:t>ii</w:t>
      </w:r>
      <w:r>
        <w:t xml:space="preserve">) the ability to exercise sound business judgment; </w:t>
      </w:r>
      <w:r w:rsidR="0082130F">
        <w:t xml:space="preserve">(iv) </w:t>
      </w:r>
      <w:r w:rsidR="00FD397A">
        <w:t xml:space="preserve">the candidate </w:t>
      </w:r>
      <w:r w:rsidR="0082130F">
        <w:t>having an understanding of the fiduciary responsibilities required of a director; (v) commitment to devoting time and energy to the affairs of the Company;</w:t>
      </w:r>
      <w:r>
        <w:t xml:space="preserve"> </w:t>
      </w:r>
      <w:r w:rsidR="00FD397A">
        <w:t xml:space="preserve">and </w:t>
      </w:r>
      <w:r>
        <w:t xml:space="preserve">(vi) commitment to </w:t>
      </w:r>
      <w:r w:rsidR="0082130F">
        <w:t>v</w:t>
      </w:r>
      <w:r>
        <w:t xml:space="preserve">igorously represent the long-term interests of the Company’s stockholders. </w:t>
      </w:r>
    </w:p>
    <w:p w:rsidR="00102488" w:rsidP="00422356" w:rsidRDefault="006B6084" w14:paraId="1B50E5FA" w14:textId="3B356414">
      <w:pPr>
        <w:pStyle w:val="ListBullet"/>
        <w:numPr>
          <w:ilvl w:val="0"/>
          <w:numId w:val="0"/>
        </w:numPr>
        <w:ind w:left="720"/>
      </w:pPr>
      <w:r>
        <w:lastRenderedPageBreak/>
        <w:t>In addition, t</w:t>
      </w:r>
      <w:r w:rsidR="003B220C">
        <w:t xml:space="preserve">he Board reviews candidates for director nomination in the context of the current composition of the Board, </w:t>
      </w:r>
      <w:r w:rsidR="0082130F">
        <w:t xml:space="preserve">any specific needs of committees of the Board, </w:t>
      </w:r>
      <w:r w:rsidR="003B220C">
        <w:t>the operating requirements of the Company</w:t>
      </w:r>
      <w:r w:rsidR="00102488">
        <w:t xml:space="preserve">, </w:t>
      </w:r>
      <w:r w:rsidR="003B220C">
        <w:t>the long-term interests of the Company’s stockholders</w:t>
      </w:r>
      <w:r w:rsidR="00102488">
        <w:t xml:space="preserve">, the </w:t>
      </w:r>
      <w:r w:rsidR="00FD397A">
        <w:t xml:space="preserve">matters </w:t>
      </w:r>
      <w:r w:rsidR="00102488">
        <w:t>discussed in Paragraphs C through G below and applicable laws, regulations</w:t>
      </w:r>
      <w:r w:rsidR="00FD397A">
        <w:t xml:space="preserve">, </w:t>
      </w:r>
      <w:r w:rsidR="00102488">
        <w:t>exchange listing requirements</w:t>
      </w:r>
      <w:r w:rsidR="00FD397A">
        <w:t xml:space="preserve"> and contractual obligations of the Company</w:t>
      </w:r>
      <w:r w:rsidR="003B220C">
        <w:t xml:space="preserve">. </w:t>
      </w:r>
    </w:p>
    <w:p w:rsidR="003B220C" w:rsidP="00422356" w:rsidRDefault="003B220C" w14:paraId="45D1CD69" w14:textId="0E48229F">
      <w:pPr>
        <w:pStyle w:val="ListBullet"/>
        <w:numPr>
          <w:ilvl w:val="0"/>
          <w:numId w:val="0"/>
        </w:numPr>
        <w:ind w:left="720"/>
      </w:pPr>
      <w:r>
        <w:t>In the case of incumbent directors whose terms of office are set to expire, the Board reviews such directors’ overall service to the Company during their term, including the number of meetings attended, level of participation, quality of performance and any other relationships and transactions that might impair such directors’ independence. In the case of new director candidates, the Board also determines whether the nominee must be  independent for purposes of satisfying applicable listing requirements.</w:t>
      </w:r>
    </w:p>
    <w:p w:rsidR="005738A1" w:rsidP="00422356" w:rsidRDefault="005738A1" w14:paraId="0210162A" w14:textId="5741FD00">
      <w:pPr>
        <w:pStyle w:val="ListBullet"/>
      </w:pPr>
      <w:r>
        <w:rPr>
          <w:b/>
          <w:bCs/>
          <w:u w:val="single"/>
        </w:rPr>
        <w:t>Independence</w:t>
      </w:r>
      <w:r>
        <w:rPr>
          <w:b/>
          <w:bCs/>
        </w:rPr>
        <w:t>:</w:t>
      </w:r>
      <w:r>
        <w:t xml:space="preserve">  At least a majority of the members of the </w:t>
      </w:r>
      <w:r w:rsidR="00430820">
        <w:t>Board</w:t>
      </w:r>
      <w:r>
        <w:t xml:space="preserve"> shall meet the independence requirements set forth in  the</w:t>
      </w:r>
      <w:r w:rsidR="000C4C33">
        <w:t xml:space="preserve"> Nasdaq Stock Market Rules</w:t>
      </w:r>
      <w:r>
        <w:t>.</w:t>
      </w:r>
    </w:p>
    <w:p w:rsidR="005738A1" w:rsidP="00422356" w:rsidRDefault="005A5493" w14:paraId="3E2EF3F8" w14:textId="3D8A85F1">
      <w:pPr>
        <w:pStyle w:val="BodyTextIndent"/>
        <w:jc w:val="both"/>
      </w:pPr>
      <w:r>
        <w:t>T</w:t>
      </w:r>
      <w:r w:rsidR="005738A1">
        <w:t>he Board will</w:t>
      </w:r>
      <w:r>
        <w:t xml:space="preserve"> periodically</w:t>
      </w:r>
      <w:r w:rsidR="005738A1">
        <w:t xml:space="preserve"> evaluate all relationships between the Company and each </w:t>
      </w:r>
      <w:r>
        <w:t>independent d</w:t>
      </w:r>
      <w:r w:rsidR="005738A1">
        <w:t xml:space="preserve">irector for the purposes of determining whether a material relationship exists that might </w:t>
      </w:r>
      <w:r>
        <w:t xml:space="preserve">represent </w:t>
      </w:r>
      <w:r w:rsidR="005738A1">
        <w:t xml:space="preserve">a potential conflict of interest or otherwise interfere with </w:t>
      </w:r>
      <w:r>
        <w:t>the d</w:t>
      </w:r>
      <w:r w:rsidR="005738A1">
        <w:t xml:space="preserve">irector’s ability to satisfy his or her responsibilities as an independent </w:t>
      </w:r>
      <w:r>
        <w:t>director</w:t>
      </w:r>
      <w:r w:rsidR="005738A1">
        <w:t>.</w:t>
      </w:r>
    </w:p>
    <w:p w:rsidR="005738A1" w:rsidP="00422356" w:rsidRDefault="005738A1" w14:paraId="2F657A48" w14:textId="29E0CEA1">
      <w:pPr>
        <w:pStyle w:val="ListBullet"/>
      </w:pPr>
      <w:r>
        <w:rPr>
          <w:b/>
          <w:bCs/>
          <w:u w:val="single"/>
        </w:rPr>
        <w:t>Limit on Number of Other Boards</w:t>
      </w:r>
      <w:r>
        <w:rPr>
          <w:b/>
          <w:bCs/>
        </w:rPr>
        <w:t>:</w:t>
      </w:r>
      <w:r>
        <w:t xml:space="preserve">  </w:t>
      </w:r>
      <w:r w:rsidR="005A5493">
        <w:t>Performing</w:t>
      </w:r>
      <w:r>
        <w:t xml:space="preserve"> the duties and fulfilling the responsibilities of a Director require</w:t>
      </w:r>
      <w:r w:rsidR="00F5415E">
        <w:t>s</w:t>
      </w:r>
      <w:r>
        <w:t xml:space="preserve"> a significant commitment of time and attention.  The Board does not believe, however, that explicit limits on the number of other boards of directors on which </w:t>
      </w:r>
      <w:r w:rsidR="005A5493">
        <w:t>a Director sits</w:t>
      </w:r>
      <w:r>
        <w:t xml:space="preserve">, or on other activities </w:t>
      </w:r>
      <w:r w:rsidR="005A5493">
        <w:t>a Director pursues</w:t>
      </w:r>
      <w:r>
        <w:t xml:space="preserve">, are appropriate.  The Board, however, recognizes that excessive time commitments can interfere with </w:t>
      </w:r>
      <w:r w:rsidR="005A5493">
        <w:t>a Director</w:t>
      </w:r>
      <w:r>
        <w:t xml:space="preserve">’s ability to perform </w:t>
      </w:r>
      <w:r w:rsidR="005A5493">
        <w:t xml:space="preserve">and fulfill </w:t>
      </w:r>
      <w:r>
        <w:t xml:space="preserve">his or her duties </w:t>
      </w:r>
      <w:r w:rsidR="005A5493">
        <w:t xml:space="preserve">and responsibilities </w:t>
      </w:r>
      <w:r>
        <w:t xml:space="preserve">effectively.  </w:t>
      </w:r>
      <w:r w:rsidR="005A5493">
        <w:t>T</w:t>
      </w:r>
      <w:r>
        <w:t xml:space="preserve">he Nominating Committee will </w:t>
      </w:r>
      <w:r w:rsidR="005A5493">
        <w:t xml:space="preserve">consider </w:t>
      </w:r>
      <w:r>
        <w:t xml:space="preserve">whether the performance of a Director has been or is likely to be adversely </w:t>
      </w:r>
      <w:r w:rsidR="005A5493">
        <w:t xml:space="preserve">affected </w:t>
      </w:r>
      <w:r>
        <w:t xml:space="preserve">by excessive time commitments, including service on other boards of directors.  Directors must notify the Chair of the Nominating Committee </w:t>
      </w:r>
      <w:r w:rsidR="00411F47">
        <w:t xml:space="preserve">prior to </w:t>
      </w:r>
      <w:r>
        <w:t>accepting a seat on the board of directors of another business corporation so that the potential for conflicts or other factors compromising the Director’s ability to perform</w:t>
      </w:r>
      <w:r w:rsidR="005A5493">
        <w:t xml:space="preserve"> or fulfill</w:t>
      </w:r>
      <w:r>
        <w:t xml:space="preserve"> his </w:t>
      </w:r>
      <w:r w:rsidR="00654CA6">
        <w:t xml:space="preserve">or her </w:t>
      </w:r>
      <w:r>
        <w:t xml:space="preserve">duties </w:t>
      </w:r>
      <w:r w:rsidR="005A5493">
        <w:t xml:space="preserve">and responsibilities </w:t>
      </w:r>
      <w:r>
        <w:t>may be fully assessed</w:t>
      </w:r>
      <w:r w:rsidR="00411F47">
        <w:t xml:space="preserve"> by the Board’s leadership</w:t>
      </w:r>
      <w:r>
        <w:t>.</w:t>
      </w:r>
    </w:p>
    <w:p w:rsidR="005738A1" w:rsidP="00422356" w:rsidRDefault="005738A1" w14:paraId="6310DBD8" w14:textId="554D4384">
      <w:pPr>
        <w:pStyle w:val="ListBullet"/>
      </w:pPr>
      <w:r>
        <w:rPr>
          <w:b/>
          <w:bCs/>
          <w:u w:val="single"/>
        </w:rPr>
        <w:t>Term and Age Limits</w:t>
      </w:r>
      <w:r>
        <w:rPr>
          <w:b/>
          <w:bCs/>
        </w:rPr>
        <w:t>:</w:t>
      </w:r>
      <w:r>
        <w:t xml:space="preserve">  The Board does not believe that limits on the number of consecutive terms a Director may serve or on the Directors’ ages are appropriate in light of the substantial benefits </w:t>
      </w:r>
      <w:r w:rsidR="005A5493">
        <w:t>of</w:t>
      </w:r>
      <w:r>
        <w:t xml:space="preserve"> a sustained focus on the Company’s business, strategy and industry over a significant period of time.  Each </w:t>
      </w:r>
      <w:r w:rsidR="005A5493">
        <w:t xml:space="preserve">Director’s </w:t>
      </w:r>
      <w:r>
        <w:t>performance will be assessed by the Nominating Committee in light of relevant factors.</w:t>
      </w:r>
    </w:p>
    <w:p w:rsidR="00A95E37" w:rsidP="00422356" w:rsidRDefault="00A95E37" w14:paraId="773625CE" w14:textId="045B7C3F">
      <w:pPr>
        <w:pStyle w:val="ListBullet"/>
      </w:pPr>
      <w:r w:rsidRPr="00A95E37">
        <w:rPr>
          <w:b/>
          <w:bCs/>
          <w:u w:val="single"/>
        </w:rPr>
        <w:t>Stockholder Recommendations and Nominations</w:t>
      </w:r>
      <w:r w:rsidRPr="00A95E37">
        <w:rPr>
          <w:b/>
          <w:bCs/>
        </w:rPr>
        <w:t>:</w:t>
      </w:r>
      <w:r>
        <w:t xml:space="preserve">  The Nominating Committee shall consider candidate recommendations from stockholders and evaluate such candidates in accordance with the provisions discussed herein. </w:t>
      </w:r>
      <w:r w:rsidRPr="00A95E37">
        <w:t>A s</w:t>
      </w:r>
      <w:r>
        <w:t xml:space="preserve">tockholder </w:t>
      </w:r>
      <w:r w:rsidRPr="00A95E37">
        <w:t>desiring to nominate a person directly for election to the Board at an annual meeting of the s</w:t>
      </w:r>
      <w:r>
        <w:t>tockholders</w:t>
      </w:r>
      <w:r w:rsidRPr="00A95E37">
        <w:t xml:space="preserve"> must meet the deadlines and other requirements in the Company’s bylaws and </w:t>
      </w:r>
      <w:r>
        <w:t>all applicable laws and regulatory requirements</w:t>
      </w:r>
      <w:r w:rsidRPr="00A95E37">
        <w:t>.</w:t>
      </w:r>
    </w:p>
    <w:p w:rsidR="005738A1" w:rsidP="00422356" w:rsidRDefault="005738A1" w14:paraId="5205993F" w14:textId="1CEAB0DF">
      <w:pPr>
        <w:pStyle w:val="Heading1"/>
        <w:jc w:val="both"/>
      </w:pPr>
      <w:r>
        <w:lastRenderedPageBreak/>
        <w:t>Director Responsibilities</w:t>
      </w:r>
      <w:r w:rsidR="005A5493">
        <w:t xml:space="preserve"> and Compensation</w:t>
      </w:r>
    </w:p>
    <w:p w:rsidR="004A4001" w:rsidP="00422356" w:rsidRDefault="005738A1" w14:paraId="3BD4EAD1" w14:textId="535008DD">
      <w:pPr>
        <w:pStyle w:val="ListBullet"/>
        <w:numPr>
          <w:ilvl w:val="0"/>
          <w:numId w:val="46"/>
        </w:numPr>
      </w:pPr>
      <w:r w:rsidRPr="00422356">
        <w:rPr>
          <w:b/>
          <w:bCs/>
          <w:u w:val="single"/>
        </w:rPr>
        <w:t>Role of Directors</w:t>
      </w:r>
      <w:r w:rsidRPr="00422356">
        <w:rPr>
          <w:b/>
          <w:bCs/>
        </w:rPr>
        <w:t>:</w:t>
      </w:r>
      <w:r>
        <w:t xml:space="preserve">  The business and affairs of the Company are managed by or under the direction of the </w:t>
      </w:r>
      <w:r w:rsidR="00430820">
        <w:t>Board</w:t>
      </w:r>
      <w:r>
        <w:t xml:space="preserve">, acting on behalf of the stockholders.  The Board has delegated to the officers of the Company the authority and responsibility for managing the Company’s everyday affairs.  The </w:t>
      </w:r>
      <w:r w:rsidR="00430820">
        <w:t>Board</w:t>
      </w:r>
      <w:r>
        <w:t xml:space="preserve"> has an oversight role and is not expected to perform or duplicate the tasks of the </w:t>
      </w:r>
      <w:r w:rsidR="005A5493">
        <w:t>Chief Executive Officer (</w:t>
      </w:r>
      <w:r w:rsidR="008056B9">
        <w:t xml:space="preserve">the </w:t>
      </w:r>
      <w:r w:rsidR="005A5493">
        <w:t>“</w:t>
      </w:r>
      <w:r w:rsidRPr="007B2456">
        <w:t>CEO</w:t>
      </w:r>
      <w:r w:rsidR="005A5493">
        <w:t>”)</w:t>
      </w:r>
      <w:r>
        <w:t xml:space="preserve"> or senior management.</w:t>
      </w:r>
    </w:p>
    <w:p w:rsidR="005738A1" w:rsidP="00422356" w:rsidRDefault="005738A1" w14:paraId="72412119" w14:textId="774E01F5">
      <w:pPr>
        <w:pStyle w:val="ListBullet"/>
      </w:pPr>
      <w:r w:rsidRPr="004A4001">
        <w:rPr>
          <w:b/>
          <w:bCs/>
          <w:u w:val="single"/>
        </w:rPr>
        <w:t>Attendance at Meetings</w:t>
      </w:r>
      <w:r w:rsidRPr="004A4001">
        <w:rPr>
          <w:b/>
          <w:bCs/>
        </w:rPr>
        <w:t xml:space="preserve">:  </w:t>
      </w:r>
      <w:r>
        <w:t>Each member of the Board is expected to make reasonable efforts to attend meetings of the Board</w:t>
      </w:r>
      <w:r w:rsidR="005A5493">
        <w:t>, whe</w:t>
      </w:r>
      <w:r w:rsidR="00F64B39">
        <w:t>ther regular or special.  If a D</w:t>
      </w:r>
      <w:r w:rsidR="005A5493">
        <w:t xml:space="preserve">irector does not attend </w:t>
      </w:r>
      <w:r>
        <w:t xml:space="preserve">at least 75% of </w:t>
      </w:r>
      <w:r w:rsidR="005A5493">
        <w:t xml:space="preserve">the Board’s </w:t>
      </w:r>
      <w:r>
        <w:t xml:space="preserve">regular or special meetings (together with the meetings of committees on which </w:t>
      </w:r>
      <w:r w:rsidR="005A5493">
        <w:t>the</w:t>
      </w:r>
      <w:r>
        <w:t xml:space="preserve"> Director serves), the Company will be required to disclose that fact in its annual proxy statement.  In addition, attendance and participation at meetings is an important component of the Directors’ duties and, as such, attendance rates will be taken into account by the Nominating Committee in </w:t>
      </w:r>
      <w:r w:rsidR="005A5493">
        <w:t>a</w:t>
      </w:r>
      <w:r w:rsidR="00811630">
        <w:t>ssessing</w:t>
      </w:r>
      <w:r w:rsidR="005A5493">
        <w:t xml:space="preserve"> Directors</w:t>
      </w:r>
      <w:r>
        <w:t xml:space="preserve"> for renomination as Directors.</w:t>
      </w:r>
    </w:p>
    <w:p w:rsidR="005738A1" w:rsidP="00422356" w:rsidRDefault="005738A1" w14:paraId="479FBFBB" w14:textId="1272F05A">
      <w:pPr>
        <w:pStyle w:val="ListBullet"/>
      </w:pPr>
      <w:r>
        <w:rPr>
          <w:b/>
          <w:bCs/>
          <w:u w:val="single"/>
        </w:rPr>
        <w:t>Time Commitment; Advance Distribution and Review of Materials</w:t>
      </w:r>
      <w:r>
        <w:rPr>
          <w:b/>
          <w:bCs/>
        </w:rPr>
        <w:t xml:space="preserve">:  </w:t>
      </w:r>
      <w:r>
        <w:t xml:space="preserve">Directors are expected to spend the time needed and meet as frequently as the Board deems necessary or appropriate to discharge their responsibilities. Senior management is responsible for distributing </w:t>
      </w:r>
      <w:r w:rsidR="00811630">
        <w:t xml:space="preserve">in advance to Directors </w:t>
      </w:r>
      <w:r>
        <w:t xml:space="preserve">information important to the Board’s understanding of the business to be conducted at a Board or Committee meeting.  Directors should review these materials </w:t>
      </w:r>
      <w:r w:rsidR="00811630">
        <w:t>before</w:t>
      </w:r>
      <w:r>
        <w:t xml:space="preserve"> the meeting.</w:t>
      </w:r>
    </w:p>
    <w:p w:rsidR="005A5493" w:rsidP="00422356" w:rsidRDefault="005A5493" w14:paraId="568B4851" w14:textId="0F6AF2B4">
      <w:pPr>
        <w:pStyle w:val="ListBullet"/>
      </w:pPr>
      <w:r w:rsidRPr="00ED62EB">
        <w:rPr>
          <w:b/>
          <w:u w:val="single"/>
        </w:rPr>
        <w:t xml:space="preserve">Director </w:t>
      </w:r>
      <w:r>
        <w:rPr>
          <w:b/>
          <w:u w:val="single"/>
        </w:rPr>
        <w:t>Compensation</w:t>
      </w:r>
      <w:r w:rsidRPr="00D845EA">
        <w:rPr>
          <w:b/>
        </w:rPr>
        <w:t>:</w:t>
      </w:r>
      <w:r>
        <w:rPr>
          <w:b/>
        </w:rPr>
        <w:t xml:space="preserve">  </w:t>
      </w:r>
      <w:r>
        <w:t xml:space="preserve">The Compensation Committee will periodically review </w:t>
      </w:r>
      <w:r w:rsidR="00BF3346">
        <w:t xml:space="preserve">and recommend to the Board </w:t>
      </w:r>
      <w:r>
        <w:t>the form and amount of D</w:t>
      </w:r>
      <w:r w:rsidRPr="001621C3">
        <w:t>irector compensation</w:t>
      </w:r>
      <w:r>
        <w:t>, except as otherwise determined by</w:t>
      </w:r>
      <w:r w:rsidRPr="001621C3">
        <w:t xml:space="preserve"> </w:t>
      </w:r>
      <w:r>
        <w:t xml:space="preserve">the Board.  </w:t>
      </w:r>
      <w:r w:rsidRPr="001621C3">
        <w:t xml:space="preserve">The Company’s executive officers shall not receive additional compensation for their service as </w:t>
      </w:r>
      <w:r>
        <w:t>D</w:t>
      </w:r>
      <w:r w:rsidRPr="001621C3">
        <w:t>irectors</w:t>
      </w:r>
      <w:r>
        <w:t>.</w:t>
      </w:r>
      <w:r w:rsidRPr="004164C7" w:rsidR="004164C7">
        <w:rPr>
          <w:rStyle w:val="FootnoteReference"/>
        </w:rPr>
        <w:t xml:space="preserve"> </w:t>
      </w:r>
    </w:p>
    <w:p w:rsidR="005738A1" w:rsidP="00422356" w:rsidRDefault="005738A1" w14:paraId="38622E08" w14:textId="77777777">
      <w:pPr>
        <w:pStyle w:val="Heading1"/>
        <w:jc w:val="both"/>
      </w:pPr>
      <w:r>
        <w:t>Board Structure</w:t>
      </w:r>
      <w:r w:rsidR="005A5493">
        <w:t xml:space="preserve"> and Procedures</w:t>
      </w:r>
    </w:p>
    <w:p w:rsidR="005738A1" w:rsidP="00422356" w:rsidRDefault="005738A1" w14:paraId="298CC43F" w14:textId="77348283">
      <w:pPr>
        <w:pStyle w:val="ListBullet"/>
        <w:numPr>
          <w:ilvl w:val="0"/>
          <w:numId w:val="47"/>
        </w:numPr>
      </w:pPr>
      <w:r w:rsidRPr="00422356">
        <w:rPr>
          <w:b/>
          <w:bCs/>
          <w:u w:val="single"/>
        </w:rPr>
        <w:t>Size of Board</w:t>
      </w:r>
      <w:r w:rsidRPr="00422356">
        <w:rPr>
          <w:b/>
          <w:bCs/>
        </w:rPr>
        <w:t>:</w:t>
      </w:r>
      <w:r>
        <w:t xml:space="preserve">  </w:t>
      </w:r>
      <w:r w:rsidR="005A5493">
        <w:t>T</w:t>
      </w:r>
      <w:r w:rsidRPr="001621C3" w:rsidR="005A5493">
        <w:t xml:space="preserve">he Board reserves the right </w:t>
      </w:r>
      <w:r w:rsidR="005A5493">
        <w:t xml:space="preserve">at any time </w:t>
      </w:r>
      <w:r w:rsidRPr="001621C3" w:rsidR="005A5493">
        <w:t xml:space="preserve">to increase or decrease </w:t>
      </w:r>
      <w:r w:rsidR="005A5493">
        <w:t>its</w:t>
      </w:r>
      <w:r w:rsidRPr="001621C3" w:rsidR="005A5493">
        <w:t xml:space="preserve"> size</w:t>
      </w:r>
      <w:r w:rsidR="005A5493">
        <w:t xml:space="preserve">, </w:t>
      </w:r>
      <w:r w:rsidRPr="001621C3" w:rsidR="005A5493">
        <w:t xml:space="preserve">subject to any provisions in the Company’s </w:t>
      </w:r>
      <w:r w:rsidR="00A115B3">
        <w:t xml:space="preserve">amended and restated </w:t>
      </w:r>
      <w:r w:rsidR="005A5493">
        <w:t xml:space="preserve">certificate of incorporation and </w:t>
      </w:r>
      <w:r w:rsidR="00A115B3">
        <w:t xml:space="preserve">amended and restated </w:t>
      </w:r>
      <w:r w:rsidR="005A5493">
        <w:t>bylaws</w:t>
      </w:r>
      <w:r w:rsidRPr="001621C3" w:rsidR="005A5493">
        <w:t xml:space="preserve">, depending on </w:t>
      </w:r>
      <w:r w:rsidR="005A5493">
        <w:t>the Board’s</w:t>
      </w:r>
      <w:r w:rsidRPr="001621C3" w:rsidR="005A5493">
        <w:t xml:space="preserve"> assessment of </w:t>
      </w:r>
      <w:r w:rsidR="005A5493">
        <w:t>its</w:t>
      </w:r>
      <w:r w:rsidRPr="001621C3" w:rsidR="005A5493">
        <w:t xml:space="preserve"> needs and other </w:t>
      </w:r>
      <w:r w:rsidR="005A5493">
        <w:t>factors. The size of the Board may vary based upon the size of the business and the availability of qualified candidates.  Board size should facilitate active interaction and participation by all Board members.  The Board will review from time to time the appropriateness of its size.</w:t>
      </w:r>
    </w:p>
    <w:p w:rsidR="005738A1" w:rsidP="00A115B3" w:rsidRDefault="005738A1" w14:paraId="1851687A" w14:textId="19111E97">
      <w:pPr>
        <w:pStyle w:val="ListBullet"/>
      </w:pPr>
      <w:r>
        <w:rPr>
          <w:b/>
          <w:bCs/>
          <w:u w:val="single"/>
        </w:rPr>
        <w:t>Board Leadership</w:t>
      </w:r>
      <w:r>
        <w:rPr>
          <w:b/>
          <w:bCs/>
        </w:rPr>
        <w:t>:</w:t>
      </w:r>
      <w:r>
        <w:t xml:space="preserve">  </w:t>
      </w:r>
      <w:r w:rsidR="005A5493">
        <w:t>The Board shall fill the positions of Chair and CEO based upon its view of what is in the best interests of the Company. The Chair and CEO may, but need not be, the same person.</w:t>
      </w:r>
      <w:r w:rsidR="00A115B3">
        <w:t xml:space="preserve"> </w:t>
      </w:r>
      <w:r w:rsidR="0035322B">
        <w:t>I</w:t>
      </w:r>
      <w:r w:rsidR="00A115B3">
        <w:t>n addition, the Board may appoint a Lead Independent Director. The Lead Independent Director will be responsible for calling and presiding over separate meetings of the independent directors. The Lead Independent Director will preside over periodic meetings of independent directors, serve as a liaison between the Chair and the independent directors and perform such additional duties as the Board may otherwise determine and delegate.</w:t>
      </w:r>
    </w:p>
    <w:p w:rsidR="005738A1" w:rsidP="00422356" w:rsidRDefault="005738A1" w14:paraId="0621BDA8" w14:textId="20DBD3C3">
      <w:pPr>
        <w:pStyle w:val="ListBullet"/>
      </w:pPr>
      <w:r>
        <w:rPr>
          <w:b/>
          <w:bCs/>
          <w:u w:val="single"/>
        </w:rPr>
        <w:lastRenderedPageBreak/>
        <w:t>Committees</w:t>
      </w:r>
      <w:r>
        <w:rPr>
          <w:b/>
          <w:bCs/>
        </w:rPr>
        <w:t xml:space="preserve">:  </w:t>
      </w:r>
      <w:r>
        <w:t xml:space="preserve">The Board intends at all times to have an Audit Committee, a Compensation Committee and a Nominating Committee.  Each of these committees will have a written charter that sets forth </w:t>
      </w:r>
      <w:r w:rsidR="005A5493">
        <w:t xml:space="preserve">its </w:t>
      </w:r>
      <w:r>
        <w:t xml:space="preserve">responsibilities and qualifications for committee membership.  The Board may from time to time establish additional committees as </w:t>
      </w:r>
      <w:r w:rsidR="005A5493">
        <w:t>it deems</w:t>
      </w:r>
      <w:r>
        <w:t xml:space="preserve"> appropriate.</w:t>
      </w:r>
      <w:r w:rsidR="005A5493">
        <w:t xml:space="preserve">  Membership on the Audit, Compensation and Nominating Committees is limited to independent directors meeting the independence requirements of the </w:t>
      </w:r>
      <w:r w:rsidR="00066ECA">
        <w:t>Nasdaq</w:t>
      </w:r>
      <w:r w:rsidR="005A5493">
        <w:t xml:space="preserve"> Stock Market Rules, the Sarbanes-Oxley Act of 2002 and any other applicable rules or regulations of the Securities and Exchange Commission and the Internal Revenue Service.  The Board retains discretion to form new committees or disband current committees depending upon the circumstances.</w:t>
      </w:r>
    </w:p>
    <w:p w:rsidR="005738A1" w:rsidP="00422356" w:rsidRDefault="005738A1" w14:paraId="57758563" w14:textId="61256983">
      <w:pPr>
        <w:pStyle w:val="ListBullet"/>
      </w:pPr>
      <w:r>
        <w:rPr>
          <w:b/>
          <w:bCs/>
          <w:u w:val="single"/>
        </w:rPr>
        <w:t>Executive Sessions</w:t>
      </w:r>
      <w:r>
        <w:rPr>
          <w:b/>
          <w:bCs/>
        </w:rPr>
        <w:t>:</w:t>
      </w:r>
      <w:r>
        <w:t xml:space="preserve">  The </w:t>
      </w:r>
      <w:r w:rsidR="00005DAC">
        <w:t>independent</w:t>
      </w:r>
      <w:r>
        <w:t xml:space="preserve"> Directors will meet at regularly scheduled executive sessions without management participation</w:t>
      </w:r>
      <w:r w:rsidR="00DC2A48">
        <w:t>,</w:t>
      </w:r>
      <w:r>
        <w:t xml:space="preserve"> and at least once each year </w:t>
      </w:r>
      <w:r w:rsidR="00F64B39">
        <w:t xml:space="preserve">the </w:t>
      </w:r>
      <w:r w:rsidR="00005DAC">
        <w:t>independent</w:t>
      </w:r>
      <w:r w:rsidR="00F64B39">
        <w:t xml:space="preserve"> D</w:t>
      </w:r>
      <w:r w:rsidR="00DC2A48">
        <w:t>irectors alone will meet in executive session</w:t>
      </w:r>
      <w:r>
        <w:t xml:space="preserve">.  </w:t>
      </w:r>
      <w:r w:rsidR="00872ACD">
        <w:t xml:space="preserve">If the Chair is a non-management director and an independent director, then the Chair will preside at these meetings.  </w:t>
      </w:r>
      <w:r w:rsidR="00DC2A48">
        <w:t xml:space="preserve">If the Chair is not an </w:t>
      </w:r>
      <w:r w:rsidR="00F64B39">
        <w:t>independent director, then the D</w:t>
      </w:r>
      <w:r w:rsidR="00DC2A48">
        <w:t>irector who presides at these meetings will be chosen by those present at a meeting.</w:t>
      </w:r>
      <w:r w:rsidR="00F64B39">
        <w:t xml:space="preserve">  In either case, the D</w:t>
      </w:r>
      <w:r w:rsidR="00DC2A48">
        <w:t>irector who presides at these meetings, and his or her name, or the process by which he or she is selected, will be disclosed, if required by SEC rules, in the annual proxy statement or, if the Company does not file an annual proxy statement, in the Company’s annual report on Form 10-K filed with the SEC</w:t>
      </w:r>
      <w:r>
        <w:t>.</w:t>
      </w:r>
    </w:p>
    <w:p w:rsidR="005738A1" w:rsidP="00422356" w:rsidRDefault="005738A1" w14:paraId="528AF903" w14:textId="0EFC7F13">
      <w:pPr>
        <w:pStyle w:val="ListBullet"/>
      </w:pPr>
      <w:r w:rsidRPr="001E7440">
        <w:rPr>
          <w:b/>
          <w:u w:val="single"/>
        </w:rPr>
        <w:t>Director Access to Management and Independent Advis</w:t>
      </w:r>
      <w:r w:rsidRPr="001E7440" w:rsidR="004164C7">
        <w:rPr>
          <w:b/>
          <w:u w:val="single"/>
        </w:rPr>
        <w:t>e</w:t>
      </w:r>
      <w:r w:rsidRPr="001E7440">
        <w:rPr>
          <w:b/>
          <w:u w:val="single"/>
        </w:rPr>
        <w:t>rs</w:t>
      </w:r>
      <w:r w:rsidRPr="00D7072D" w:rsidR="004164C7">
        <w:rPr>
          <w:b/>
        </w:rPr>
        <w:t>:</w:t>
      </w:r>
      <w:r w:rsidR="004164C7">
        <w:t xml:space="preserve">  </w:t>
      </w:r>
      <w:r>
        <w:t xml:space="preserve">In </w:t>
      </w:r>
      <w:r w:rsidR="00DC2A48">
        <w:t>performing</w:t>
      </w:r>
      <w:r>
        <w:t xml:space="preserve"> its responsibilities, the </w:t>
      </w:r>
      <w:r w:rsidR="00430820">
        <w:t>Board</w:t>
      </w:r>
      <w:r>
        <w:t xml:space="preserve">, and each committee, shall be entitled to rely on the advice and information it receives from management and </w:t>
      </w:r>
      <w:r w:rsidR="00DC2A48">
        <w:t xml:space="preserve">the </w:t>
      </w:r>
      <w:r>
        <w:t>experts, advis</w:t>
      </w:r>
      <w:r w:rsidR="00DC2A48">
        <w:t>e</w:t>
      </w:r>
      <w:r>
        <w:t xml:space="preserve">rs and professionals whom the Board, or </w:t>
      </w:r>
      <w:r w:rsidR="00DC2A48">
        <w:t>a</w:t>
      </w:r>
      <w:r>
        <w:t xml:space="preserve"> committee, may consult.  The </w:t>
      </w:r>
      <w:r w:rsidR="00430820">
        <w:t>Board</w:t>
      </w:r>
      <w:r>
        <w:t xml:space="preserve"> and each committee shall have the authority to request that any officer or employee of the Company, the Company’s outside legal counsel, the Company’s independent auditor or any other professional retained by the Company to </w:t>
      </w:r>
      <w:r w:rsidR="00DC2A48">
        <w:t>provide</w:t>
      </w:r>
      <w:r>
        <w:t xml:space="preserve"> advice to the Company, attend a meeting of the Board or committee or meet with any members of or advis</w:t>
      </w:r>
      <w:r w:rsidR="00DC2A48">
        <w:t>e</w:t>
      </w:r>
      <w:r>
        <w:t>rs to the Board.  The Board or any committee shall also have the authority to engage legal, accounting or other advis</w:t>
      </w:r>
      <w:r w:rsidR="00DC2A48">
        <w:t>e</w:t>
      </w:r>
      <w:r>
        <w:t xml:space="preserve">rs to provide advice and information </w:t>
      </w:r>
      <w:r w:rsidR="00DC2A48">
        <w:t>it deems appropriate to carry out its</w:t>
      </w:r>
      <w:r>
        <w:t xml:space="preserve"> responsibilities.</w:t>
      </w:r>
    </w:p>
    <w:p w:rsidR="004164C7" w:rsidP="00422356" w:rsidRDefault="004164C7" w14:paraId="387FBDF5" w14:textId="1ADBE6FE">
      <w:pPr>
        <w:pStyle w:val="ListBullet"/>
      </w:pPr>
      <w:r w:rsidRPr="00ED62EB">
        <w:rPr>
          <w:b/>
          <w:u w:val="single"/>
        </w:rPr>
        <w:t>Directors W</w:t>
      </w:r>
      <w:r w:rsidR="00221B15">
        <w:rPr>
          <w:b/>
          <w:u w:val="single"/>
        </w:rPr>
        <w:t xml:space="preserve">ith a </w:t>
      </w:r>
      <w:r w:rsidRPr="00ED62EB">
        <w:rPr>
          <w:b/>
          <w:u w:val="single"/>
        </w:rPr>
        <w:t xml:space="preserve">Change </w:t>
      </w:r>
      <w:r w:rsidR="00221B15">
        <w:rPr>
          <w:b/>
          <w:u w:val="single"/>
        </w:rPr>
        <w:t>in Professional Status</w:t>
      </w:r>
      <w:r w:rsidRPr="00D845EA">
        <w:rPr>
          <w:b/>
        </w:rPr>
        <w:t>:</w:t>
      </w:r>
      <w:r>
        <w:t xml:space="preserve">  The Board does not believe Directors who retire or change their principal occupation or business association should necessarily leave the Board.  However, promptly following any such event, the Director should notify the Nominating Committee, so that it can review and advise the Board regarding the continued appropriateness of the Director’s Board membership.</w:t>
      </w:r>
    </w:p>
    <w:p w:rsidR="005738A1" w:rsidP="00422356" w:rsidRDefault="005738A1" w14:paraId="17A73FFD" w14:textId="56E783AA">
      <w:pPr>
        <w:pStyle w:val="ListBullet"/>
      </w:pPr>
      <w:r w:rsidRPr="00FD6F13">
        <w:rPr>
          <w:b/>
          <w:u w:val="single"/>
        </w:rPr>
        <w:t>Director Orientation and Continuing Education</w:t>
      </w:r>
      <w:r w:rsidRPr="00FD6F13" w:rsidR="004164C7">
        <w:rPr>
          <w:b/>
        </w:rPr>
        <w:t>:</w:t>
      </w:r>
      <w:r w:rsidR="004164C7">
        <w:t xml:space="preserve">  </w:t>
      </w:r>
      <w:r w:rsidR="00FD6F13">
        <w:t xml:space="preserve">The Board believes that each Director should be aware of corporate governance issues, legal duties and obligations and best practices involved in serving on a public company board of directors. Directors are encouraged to enhance their awareness by joining other boards of directors, reading relevant publications, attending director education programs and pursuing other educational opportunities. </w:t>
      </w:r>
      <w:r>
        <w:t xml:space="preserve">The </w:t>
      </w:r>
      <w:r w:rsidR="004164C7">
        <w:t>Nominating Committee</w:t>
      </w:r>
      <w:r>
        <w:t xml:space="preserve"> will be responsible for periodically providing</w:t>
      </w:r>
      <w:r w:rsidR="00154E2E">
        <w:t>, or arranging for the provision of,</w:t>
      </w:r>
      <w:r>
        <w:t xml:space="preserve"> materials or briefing sessions for continuing Directors on topics that will assist them in discharging their duties.</w:t>
      </w:r>
    </w:p>
    <w:p w:rsidR="004164C7" w:rsidP="00422356" w:rsidRDefault="004164C7" w14:paraId="108B5A81" w14:textId="2F3F5FFD">
      <w:pPr>
        <w:pStyle w:val="Heading1"/>
        <w:jc w:val="both"/>
      </w:pPr>
      <w:r>
        <w:lastRenderedPageBreak/>
        <w:t>other corporate governance matters</w:t>
      </w:r>
    </w:p>
    <w:p w:rsidR="005738A1" w:rsidP="004511A9" w:rsidRDefault="005738A1" w14:paraId="4D1BCD72" w14:textId="080243CE">
      <w:pPr>
        <w:pStyle w:val="ListBullet"/>
        <w:numPr>
          <w:ilvl w:val="0"/>
          <w:numId w:val="48"/>
        </w:numPr>
      </w:pPr>
      <w:r w:rsidRPr="00422356">
        <w:rPr>
          <w:b/>
          <w:u w:val="single"/>
        </w:rPr>
        <w:t>Performance Evaluation</w:t>
      </w:r>
      <w:r w:rsidRPr="00422356" w:rsidR="0018706F">
        <w:rPr>
          <w:b/>
          <w:u w:val="single"/>
        </w:rPr>
        <w:t>s</w:t>
      </w:r>
      <w:r w:rsidRPr="00422356">
        <w:rPr>
          <w:b/>
          <w:u w:val="single"/>
        </w:rPr>
        <w:t xml:space="preserve"> of the Board and Committees</w:t>
      </w:r>
      <w:r w:rsidRPr="00422356" w:rsidR="004164C7">
        <w:rPr>
          <w:b/>
        </w:rPr>
        <w:t xml:space="preserve">: </w:t>
      </w:r>
      <w:r w:rsidR="004164C7">
        <w:t xml:space="preserve"> </w:t>
      </w:r>
      <w:r>
        <w:t xml:space="preserve">The Board will </w:t>
      </w:r>
      <w:r w:rsidR="00DE2B4D">
        <w:t xml:space="preserve">periodically </w:t>
      </w:r>
      <w:r>
        <w:t>conduct a self-evaluation for the purpose of determining whether it and its committees are functioning effectively</w:t>
      </w:r>
      <w:r w:rsidR="004511A9">
        <w:t xml:space="preserve">, </w:t>
      </w:r>
      <w:r w:rsidRPr="004511A9" w:rsidR="004511A9">
        <w:t xml:space="preserve">and </w:t>
      </w:r>
      <w:r w:rsidR="00AA165D">
        <w:t xml:space="preserve">each of </w:t>
      </w:r>
      <w:r w:rsidRPr="004511A9" w:rsidR="004511A9">
        <w:t>the Audit Committee, Nominating</w:t>
      </w:r>
      <w:r w:rsidR="004511A9">
        <w:t xml:space="preserve"> </w:t>
      </w:r>
      <w:r w:rsidRPr="004511A9" w:rsidR="004511A9">
        <w:t xml:space="preserve">Committee and Compensation Committee will </w:t>
      </w:r>
      <w:r w:rsidR="00DE2B4D">
        <w:t xml:space="preserve">periodically </w:t>
      </w:r>
      <w:r w:rsidRPr="004511A9" w:rsidR="004511A9">
        <w:t>conduct self-evaluation</w:t>
      </w:r>
      <w:r w:rsidR="00AA165D">
        <w:t>s</w:t>
      </w:r>
      <w:r w:rsidRPr="004511A9" w:rsidR="004511A9">
        <w:t xml:space="preserve"> for the purpose of determining whether </w:t>
      </w:r>
      <w:r w:rsidR="00AA165D">
        <w:t>such committee is</w:t>
      </w:r>
      <w:r w:rsidRPr="004511A9" w:rsidR="004511A9">
        <w:t xml:space="preserve"> functioning effectively.</w:t>
      </w:r>
    </w:p>
    <w:p w:rsidR="005738A1" w:rsidP="00422356" w:rsidRDefault="004164C7" w14:paraId="3EA56C4D" w14:textId="3E847D79">
      <w:pPr>
        <w:pStyle w:val="ListBullet"/>
      </w:pPr>
      <w:r w:rsidRPr="00CF369C">
        <w:rPr>
          <w:b/>
          <w:u w:val="single"/>
        </w:rPr>
        <w:t>Communications with Outside Interested Parties</w:t>
      </w:r>
      <w:r w:rsidRPr="001E7440">
        <w:t>:</w:t>
      </w:r>
      <w:r>
        <w:t xml:space="preserve">  </w:t>
      </w:r>
      <w:r w:rsidR="005738A1">
        <w:t xml:space="preserve">The Board believes that management should be responsible for communications with the press, media and other outside parties on behalf of the Company, </w:t>
      </w:r>
      <w:r>
        <w:t>al</w:t>
      </w:r>
      <w:r w:rsidR="005738A1">
        <w:t>though individual Board members may, at the request of management or the Board, communicate with outside parties on behalf of the Company.</w:t>
      </w:r>
    </w:p>
    <w:p w:rsidR="005738A1" w:rsidP="00422356" w:rsidRDefault="004164C7" w14:paraId="6B38904D" w14:textId="2B010E33">
      <w:pPr>
        <w:pStyle w:val="ListBullet"/>
      </w:pPr>
      <w:r w:rsidRPr="00CF369C">
        <w:rPr>
          <w:b/>
          <w:u w:val="single"/>
        </w:rPr>
        <w:t>No Limitation on Other Rights</w:t>
      </w:r>
      <w:r w:rsidRPr="001E7440">
        <w:rPr>
          <w:b/>
        </w:rPr>
        <w:t>:</w:t>
      </w:r>
      <w:r>
        <w:t xml:space="preserve">  </w:t>
      </w:r>
      <w:r w:rsidR="005738A1">
        <w:t xml:space="preserve">These guidelines are not intended to modify, </w:t>
      </w:r>
      <w:r>
        <w:t xml:space="preserve">eliminate </w:t>
      </w:r>
      <w:r w:rsidR="005738A1">
        <w:t xml:space="preserve">or in any other manner limit the indemnification, exculpation and similar rights available to the Directors of the Company under applicable law and/or the Company’s </w:t>
      </w:r>
      <w:r w:rsidR="004511A9">
        <w:t xml:space="preserve">amended and restated </w:t>
      </w:r>
      <w:r w:rsidR="005738A1">
        <w:t>certificate of incorporation and/or its</w:t>
      </w:r>
      <w:r w:rsidR="004511A9">
        <w:t xml:space="preserve"> amended and restated</w:t>
      </w:r>
      <w:r w:rsidR="005738A1">
        <w:t xml:space="preserve"> bylaws.</w:t>
      </w:r>
    </w:p>
    <w:p w:rsidR="005738A1" w:rsidP="00422356" w:rsidRDefault="004164C7" w14:paraId="7404BB00" w14:textId="77777777">
      <w:pPr>
        <w:pStyle w:val="ListBullet"/>
      </w:pPr>
      <w:r w:rsidRPr="00CF369C">
        <w:rPr>
          <w:b/>
          <w:u w:val="single"/>
        </w:rPr>
        <w:t>Modifications to Guidelines</w:t>
      </w:r>
      <w:r w:rsidRPr="001E7440">
        <w:rPr>
          <w:b/>
        </w:rPr>
        <w:t>:</w:t>
      </w:r>
      <w:r>
        <w:t xml:space="preserve">  </w:t>
      </w:r>
      <w:r w:rsidR="005738A1">
        <w:t xml:space="preserve">Although these guidelines have been approved by the Board, </w:t>
      </w:r>
      <w:r>
        <w:t>they may</w:t>
      </w:r>
      <w:r w:rsidR="005738A1">
        <w:t xml:space="preserve"> evolve over time as customary practice and legal requirements change.  In particular, guidelines that </w:t>
      </w:r>
      <w:r>
        <w:t xml:space="preserve">reflect </w:t>
      </w:r>
      <w:r w:rsidR="005738A1">
        <w:t xml:space="preserve">legal, regulatory or exchange requirements as they currently exist will be deemed to be modified as and to the extent </w:t>
      </w:r>
      <w:r>
        <w:t>those requirements change</w:t>
      </w:r>
      <w:r w:rsidR="005738A1">
        <w:t>.  In addition, the guidelines may be amended by the Board at any time as it deems appropriate.</w:t>
      </w:r>
    </w:p>
    <w:p w:rsidR="0015522B" w:rsidP="00422356" w:rsidRDefault="0015522B" w14:paraId="7486F7E4" w14:textId="77777777">
      <w:pPr>
        <w:pStyle w:val="ListBullet"/>
        <w:numPr>
          <w:ilvl w:val="0"/>
          <w:numId w:val="0"/>
        </w:numPr>
      </w:pPr>
    </w:p>
    <w:p w:rsidR="0015522B" w:rsidP="00422356" w:rsidRDefault="0015522B" w14:paraId="78E0E0A2" w14:textId="64B00314">
      <w:pPr>
        <w:pStyle w:val="ListBullet"/>
        <w:numPr>
          <w:ilvl w:val="0"/>
          <w:numId w:val="0"/>
        </w:numPr>
      </w:pPr>
      <w:r w:rsidRPr="007A11BD">
        <w:t>A</w:t>
      </w:r>
      <w:r w:rsidR="004511A9">
        <w:t>dopted</w:t>
      </w:r>
      <w:r w:rsidRPr="007A11BD">
        <w:t>:</w:t>
      </w:r>
      <w:r w:rsidRPr="007A11BD" w:rsidR="004511A9">
        <w:t xml:space="preserve"> </w:t>
      </w:r>
      <w:r w:rsidR="009734D0">
        <w:t xml:space="preserve">June </w:t>
      </w:r>
      <w:r w:rsidR="004E64B9">
        <w:t>5</w:t>
      </w:r>
      <w:r w:rsidR="009734D0">
        <w:t>, 2026</w:t>
      </w:r>
    </w:p>
    <w:p w:rsidR="005738A1" w:rsidP="004E4FFC" w:rsidRDefault="0015522B" w14:paraId="0C6A28FA" w14:textId="71423409">
      <w:pPr>
        <w:pStyle w:val="ListBullet"/>
        <w:numPr>
          <w:ilvl w:val="0"/>
          <w:numId w:val="0"/>
        </w:numPr>
      </w:pPr>
      <w:r w:rsidRPr="007A11BD">
        <w:t>E</w:t>
      </w:r>
      <w:r w:rsidR="004511A9">
        <w:t>ffective</w:t>
      </w:r>
      <w:r w:rsidRPr="007A11BD">
        <w:t>:</w:t>
      </w:r>
      <w:r w:rsidR="004511A9">
        <w:t xml:space="preserve"> </w:t>
      </w:r>
      <w:r w:rsidR="009734D0">
        <w:t xml:space="preserve">June </w:t>
      </w:r>
      <w:r w:rsidR="004E64B9">
        <w:t>5</w:t>
      </w:r>
      <w:r w:rsidR="009734D0">
        <w:t>, 2026</w:t>
      </w:r>
    </w:p>
    <w:sectPr w:rsidR="005738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492" w:rsidRDefault="004E7492" w14:paraId="74937481" w14:textId="77777777">
      <w:r>
        <w:separator/>
      </w:r>
    </w:p>
  </w:endnote>
  <w:endnote w:type="continuationSeparator" w:id="0">
    <w:p w:rsidR="004E7492" w:rsidRDefault="004E7492" w14:paraId="3171E2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A41" w:rsidRDefault="00A26192" w14:paraId="7FF3BB67" w14:textId="785BB6F6">
    <w:pPr>
      <w:pStyle w:val="Footer"/>
      <w:rPr>
        <w:rStyle w:val="DocID"/>
      </w:rPr>
    </w:pPr>
    <w:r>
      <w:rPr>
        <w:noProof/>
      </w:rPr>
      <mc:AlternateContent>
        <mc:Choice Requires="wps">
          <w:drawing>
            <wp:anchor distT="0" distB="0" distL="0" distR="0" simplePos="0" relativeHeight="251663360" behindDoc="0" locked="0" layoutInCell="1" allowOverlap="1" wp14:editId="04F50E69" wp14:anchorId="7186E83C">
              <wp:simplePos x="635" y="635"/>
              <wp:positionH relativeFrom="page">
                <wp:align>left</wp:align>
              </wp:positionH>
              <wp:positionV relativeFrom="page">
                <wp:align>bottom</wp:align>
              </wp:positionV>
              <wp:extent cx="2036445" cy="345440"/>
              <wp:effectExtent l="0" t="0" r="1905" b="0"/>
              <wp:wrapNone/>
              <wp:docPr id="320359746" name="Text Box 4"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A26192" w:rsidR="00A26192" w:rsidP="00A26192" w:rsidRDefault="00A26192" w14:paraId="4F10AAE6" w14:textId="4D791BC9">
                          <w:pPr>
                            <w:rPr>
                              <w:rFonts w:ascii="Aptos" w:hAnsi="Aptos" w:eastAsia="Aptos" w:cs="Aptos"/>
                              <w:noProof/>
                              <w:color w:val="000000"/>
                              <w:sz w:val="20"/>
                            </w:rPr>
                          </w:pPr>
                          <w:r w:rsidRPr="00A26192">
                            <w:rPr>
                              <w:rFonts w:ascii="Aptos" w:hAnsi="Aptos" w:eastAsia="Aptos" w:cs="Aptos"/>
                              <w:noProof/>
                              <w:color w:val="000000"/>
                              <w:sz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186E83C">
              <v:stroke joinstyle="miter"/>
              <v:path gradientshapeok="t" o:connecttype="rect"/>
            </v:shapetype>
            <v:shape id="Text Box 4" style="position:absolute;margin-left:0;margin-top:0;width:160.35pt;height:27.2pt;z-index:251663360;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">
              <v:textbox style="mso-fit-shape-to-text:t" inset="20pt,0,0,15pt">
                <w:txbxContent>
                  <w:p w:rsidRPr="00A26192" w:rsidR="00A26192" w:rsidP="00A26192" w:rsidRDefault="00A26192" w14:paraId="4F10AAE6" w14:textId="4D791BC9">
                    <w:pPr>
                      <w:rPr>
                        <w:rFonts w:ascii="Aptos" w:hAnsi="Aptos" w:eastAsia="Aptos" w:cs="Aptos"/>
                        <w:noProof/>
                        <w:color w:val="000000"/>
                        <w:sz w:val="20"/>
                      </w:rPr>
                    </w:pPr>
                    <w:r w:rsidRPr="00A26192">
                      <w:rPr>
                        <w:rFonts w:ascii="Aptos" w:hAnsi="Aptos" w:eastAsia="Aptos" w:cs="Aptos"/>
                        <w:noProof/>
                        <w:color w:val="000000"/>
                        <w:sz w:val="20"/>
                      </w:rPr>
                      <w:t>Factorial Confidential: Company</w:t>
                    </w:r>
                  </w:p>
                </w:txbxContent>
              </v:textbox>
              <w10:wrap anchorx="page" anchory="page"/>
            </v:shape>
          </w:pict>
        </mc:Fallback>
      </mc:AlternateContent>
    </w:r>
    <w:fldSimple w:instr=" DOCPROPERTY &quot;DocID&quot; \* MERGEFORMAT ">
      <w:r w:rsidRPr="00476D68" w:rsidR="00476D68">
        <w:rPr>
          <w:rStyle w:val="DocID"/>
        </w:rPr>
        <w:t>ACTIVE/95140135.1</w:t>
      </w:r>
    </w:fldSimple>
  </w:p>
  <w:p w:rsidR="00285522" w:rsidRDefault="00D13BF0" w14:paraId="053B23CE" w14:textId="4708B4B8">
    <w:pPr>
      <w:pStyle w:val="Footer"/>
      <w:rPr>
        <w:rStyle w:val="DocID"/>
      </w:rPr>
    </w:pPr>
    <w:r w:rsidRPr="00D13BF0">
      <w:rPr>
        <w:rStyle w:val="DocID"/>
      </w:rPr>
      <w:t>ACTIVE/204057209.4</w:t>
    </w:r>
  </w:p>
  <w:p w:rsidR="0037485A" w:rsidRDefault="0037485A" w14:paraId="7B44C0BF" w14:textId="7042974B">
    <w:pPr>
      <w:pStyle w:val="Footer"/>
    </w:pPr>
    <w:r w:rsidR="005678F2">
      <w:rPr>
        <w:rStyle w:val="DocID"/>
      </w:rPr>
      <w:t>ACTIVE/204057209.9</w:t>
    </w:r>
  </w:p>
</w:ftr>
</file>

<file path=word/footer2.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D68" w:rsidP="00D7072D" w:rsidRDefault="00A26192" w14:paraId="343D5E34" w14:textId="714EC3CB">
    <w:pPr>
      <w:pStyle w:val="Footer"/>
      <w:rPr>
        <w:rStyle w:val="PageNumber"/>
      </w:rPr>
    </w:pPr>
    <w:r>
      <w:rPr>
        <w:noProof/>
      </w:rPr>
      <mc:AlternateContent>
        <mc:Choice Requires="wps">
          <w:drawing>
            <wp:anchor distT="0" distB="0" distL="0" distR="0" simplePos="0" relativeHeight="251664384" behindDoc="0" locked="0" layoutInCell="1" allowOverlap="1" wp14:editId="0D1D7A56" wp14:anchorId="75BA486A">
              <wp:simplePos x="915035" y="9251315"/>
              <wp:positionH relativeFrom="page">
                <wp:align>left</wp:align>
              </wp:positionH>
              <wp:positionV relativeFrom="page">
                <wp:align>bottom</wp:align>
              </wp:positionV>
              <wp:extent cx="2036445" cy="345440"/>
              <wp:effectExtent l="0" t="0" r="1905" b="0"/>
              <wp:wrapNone/>
              <wp:docPr id="1625033054" name="Text Box 5"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A26192" w:rsidR="00A26192" w:rsidP="00A26192" w:rsidRDefault="00A26192" w14:paraId="2A2D2105" w14:textId="20589010">
                          <w:pPr>
                            <w:rPr>
                              <w:rFonts w:ascii="Aptos" w:hAnsi="Aptos" w:eastAsia="Aptos" w:cs="Aptos"/>
                              <w:noProof/>
                              <w:color w:val="000000"/>
                              <w:sz w:val="20"/>
                            </w:rPr>
                          </w:pPr>
                          <w:r w:rsidRPr="00A26192">
                            <w:rPr>
                              <w:rFonts w:ascii="Aptos" w:hAnsi="Aptos" w:eastAsia="Aptos" w:cs="Aptos"/>
                              <w:noProof/>
                              <w:color w:val="000000"/>
                              <w:sz w:val="20"/>
                            </w:rPr>
                            <w:t>Factorial Confidential: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5BA486A">
              <v:stroke joinstyle="miter"/>
              <v:path gradientshapeok="t" o:connecttype="rect"/>
            </v:shapetype>
            <v:shape id="Text Box 5" style="position:absolute;margin-left:0;margin-top:0;width:160.35pt;height:27.2pt;z-index:251664384;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">
              <v:textbox style="mso-fit-shape-to-text:t" inset="20pt,0,0,15pt">
                <w:txbxContent>
                  <w:p w:rsidRPr="00A26192" w:rsidR="00A26192" w:rsidP="00A26192" w:rsidRDefault="00A26192" w14:paraId="2A2D2105" w14:textId="20589010">
                    <w:pPr>
                      <w:rPr>
                        <w:rFonts w:ascii="Aptos" w:hAnsi="Aptos" w:eastAsia="Aptos" w:cs="Aptos"/>
                        <w:noProof/>
                        <w:color w:val="000000"/>
                        <w:sz w:val="20"/>
                      </w:rPr>
                    </w:pPr>
                    <w:r w:rsidRPr="00A26192">
                      <w:rPr>
                        <w:rFonts w:ascii="Aptos" w:hAnsi="Aptos" w:eastAsia="Aptos" w:cs="Aptos"/>
                        <w:noProof/>
                        <w:color w:val="000000"/>
                        <w:sz w:val="20"/>
                      </w:rPr>
                      <w:t>Factorial Confidential: Company</w:t>
                    </w:r>
                  </w:p>
                </w:txbxContent>
              </v:textbox>
              <w10:wrap anchorx="page" anchory="page"/>
            </v:shape>
          </w:pict>
        </mc:Fallback>
      </mc:AlternateContent>
    </w:r>
    <w:r w:rsidR="00D7072D">
      <w:rPr>
        <w:rStyle w:val="PageNumber"/>
      </w:rPr>
      <w:tab/>
    </w:r>
    <w:r w:rsidR="005738A1">
      <w:rPr>
        <w:rStyle w:val="PageNumber"/>
      </w:rPr>
      <w:fldChar w:fldCharType="begin"/>
    </w:r>
    <w:r w:rsidR="005738A1">
      <w:rPr>
        <w:rStyle w:val="PageNumber"/>
      </w:rPr>
      <w:instrText xml:space="preserve"> PAGE </w:instrText>
    </w:r>
    <w:r w:rsidR="005738A1">
      <w:rPr>
        <w:rStyle w:val="PageNumber"/>
      </w:rPr>
      <w:fldChar w:fldCharType="separate"/>
    </w:r>
    <w:r w:rsidR="00F64B39">
      <w:rPr>
        <w:rStyle w:val="PageNumber"/>
        <w:noProof/>
      </w:rPr>
      <w:t>7</w:t>
    </w:r>
    <w:r w:rsidR="005738A1">
      <w:rPr>
        <w:rStyle w:val="PageNumber"/>
      </w:rPr>
      <w:fldChar w:fldCharType="end"/>
    </w:r>
    <w:r w:rsidR="005738A1">
      <w:rPr>
        <w:rStyle w:val="PageNumber"/>
      </w:rPr>
      <w:tab/>
    </w: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D68" w:rsidP="0015522B" w:rsidRDefault="00A26192" w14:paraId="6EDDEC8C" w14:textId="6124D25A">
    <w:pPr>
      <w:pStyle w:val="Footer"/>
    </w:pPr>
    <w:r>
      <w:rPr>
        <w:noProof/>
      </w:rPr>
      <mc:AlternateContent>
        <mc:Choice Requires="wps">
          <w:drawing>
            <wp:anchor distT="0" distB="0" distL="0" distR="0" simplePos="0" relativeHeight="251662336" behindDoc="0" locked="0" layoutInCell="1" allowOverlap="1" wp14:editId="43F82E4C" wp14:anchorId="5CA6A853">
              <wp:simplePos x="914400" y="9252642"/>
              <wp:positionH relativeFrom="page">
                <wp:align>left</wp:align>
              </wp:positionH>
              <wp:positionV relativeFrom="page">
                <wp:align>bottom</wp:align>
              </wp:positionV>
              <wp:extent cx="2036445" cy="345440"/>
              <wp:effectExtent l="0" t="0" r="1905" b="0"/>
              <wp:wrapNone/>
              <wp:docPr id="1208090003" name="Text Box 3"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6445" cy="345440"/>
                      </a:xfrm>
                      <a:prstGeom prst="rect">
                        <a:avLst/>
                      </a:prstGeom>
                      <a:noFill/>
                      <a:ln>
                        <a:noFill/>
                      </a:ln>
                    </wps:spPr>
                    <wps:txbx>
                      <w:txbxContent>
                        <w:p w:rsidRPr="00A26192" w:rsidR="00A26192" w:rsidP="00A26192" w:rsidRDefault="00A26192" w14:paraId="094B579B" w14:textId="77777777">
                          <w:pPr>
                            <w:rPr>
                              <w:rFonts w:ascii="Aptos" w:hAnsi="Aptos" w:eastAsia="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A6A853">
              <v:stroke joinstyle="miter"/>
              <v:path gradientshapeok="t" o:connecttype="rect"/>
            </v:shapetype>
            <v:shape id="_x0000_s1029" style="position:absolute;margin-left:0;margin-top:0;width:160.35pt;height:27.2pt;z-index:251662336;visibility:visible;mso-wrap-style:none;mso-wrap-distance-left:0;mso-wrap-distance-top:0;mso-wrap-distance-right:0;mso-wrap-distance-bottom:0;mso-position-horizontal:left;mso-position-horizontal-relative:page;mso-position-vertical:bottom;mso-position-vertical-relative:page;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">
              <v:textbox style="mso-fit-shape-to-text:t" inset="20pt,0,0,15pt">
                <w:txbxContent>
                  <w:p w:rsidRPr="00A26192" w:rsidR="00A26192" w:rsidP="00A26192" w:rsidRDefault="00A26192" w14:paraId="094B579B" w14:textId="77777777">
                    <w:pPr>
                      <w:rPr>
                        <w:rFonts w:ascii="Aptos" w:hAnsi="Aptos" w:eastAsia="Aptos" w:cs="Aptos"/>
                        <w:noProof/>
                        <w:color w:val="000000"/>
                        <w:sz w:val="20"/>
                      </w:rPr>
                    </w:pPr>
                  </w:p>
                </w:txbxContent>
              </v:textbox>
              <w10:wrap anchorx="page" anchory="page"/>
            </v:shape>
          </w:pict>
        </mc:Fallback>
      </mc:AlternateContent>
    </w:r>
    <w:r w:rsidR="005738A1">
      <w:tab/>
    </w:r>
    <w:r w:rsidR="005738A1">
      <w:tab/>
    </w:r>
  </w:p>
  <w:p w:rsidR="0037485A" w:rsidRDefault="0037485A" w14:paraId="3AE79925" w14:textId="2134EB31">
    <w:pPr>
      <w:pStyle w:val="Footer"/>
    </w:pPr>
    <w:r w:rsidR="005678F2">
      <w:rPr>
        <w:rStyle w:val="DocID"/>
      </w:rPr>
      <w:t>ACTIVE/204057209.9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492" w:rsidRDefault="004E7492" w14:paraId="5D179D7A" w14:textId="77777777">
      <w:r>
        <w:separator/>
      </w:r>
    </w:p>
  </w:footnote>
  <w:footnote w:type="continuationSeparator" w:id="0">
    <w:p w:rsidR="004E7492" w:rsidRDefault="004E7492" w14:paraId="3D7FD9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E7" w:rsidRDefault="00972AE7" w14:paraId="4CB0DF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AE7" w:rsidRDefault="00972AE7" w14:paraId="5A0DCD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1A2" w:rsidP="0002227A" w:rsidRDefault="00EE01A2" w14:paraId="036D9111" w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32D0F0"/>
    <w:name w:val="List Number 5"/>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59102246"/>
    <w:name w:val="List Number 4"/>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7D20ACE6"/>
    <w:name w:val="List Number 3"/>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CC82FCC"/>
    <w:name w:val="List Number 2"/>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0A792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D4230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587768"/>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527B9C"/>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E8B22"/>
    <w:name w:val="List Number"/>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37AAC736"/>
    <w:name w:val="List Bullet"/>
    <w:lvl w:ilvl="0">
      <w:start w:val="1"/>
      <w:numFmt w:val="upperLetter"/>
      <w:pStyle w:val="ListBullet"/>
      <w:lvlText w:val="%1."/>
      <w:lvlJc w:val="left"/>
      <w:pPr>
        <w:ind w:left="720" w:hanging="720"/>
      </w:pPr>
      <w:rPr>
        <w:rFonts w:hint="default"/>
      </w:rPr>
    </w:lvl>
  </w:abstractNum>
  <w:abstractNum w:abstractNumId="10" w15:restartNumberingAfterBreak="0">
    <w:nsid w:val="172D5A71"/>
    <w:multiLevelType w:val="hybridMultilevel"/>
    <w:tmpl w:val="DD3A7CA4"/>
    <w:lvl w:ilvl="0" w:tplc="CEF62D2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B5068"/>
    <w:multiLevelType w:val="multilevel"/>
    <w:tmpl w:val="1FD6BE80"/>
    <w:name w:val="Heading"/>
    <w:lvl w:ilvl="0">
      <w:start w:val="1"/>
      <w:numFmt w:val="upperRoman"/>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15:restartNumberingAfterBreak="0">
    <w:nsid w:val="2A025C16"/>
    <w:multiLevelType w:val="singleLevel"/>
    <w:tmpl w:val="9EBE89BC"/>
    <w:lvl w:ilvl="0">
      <w:start w:val="1"/>
      <w:numFmt w:val="bullet"/>
      <w:lvlText w:val=""/>
      <w:lvlJc w:val="left"/>
      <w:pPr>
        <w:ind w:left="360" w:hanging="360"/>
      </w:pPr>
      <w:rPr>
        <w:rFonts w:ascii="Symbol" w:hAnsi="Symbol" w:hint="default"/>
        <w:sz w:val="20"/>
        <w:szCs w:val="20"/>
      </w:rPr>
    </w:lvl>
  </w:abstractNum>
  <w:abstractNum w:abstractNumId="13" w15:restartNumberingAfterBreak="0">
    <w:nsid w:val="377123CF"/>
    <w:multiLevelType w:val="multilevel"/>
    <w:tmpl w:val="39BAE0F8"/>
    <w:lvl w:ilvl="0">
      <w:start w:val="1"/>
      <w:numFmt w:val="upperRoman"/>
      <w:lvlText w:val="%1."/>
      <w:lvlJc w:val="left"/>
      <w:pPr>
        <w:tabs>
          <w:tab w:val="num" w:pos="0"/>
        </w:tabs>
        <w:ind w:left="720" w:hanging="720"/>
      </w:pPr>
      <w:rPr>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2370937"/>
    <w:multiLevelType w:val="hybridMultilevel"/>
    <w:tmpl w:val="611E21D0"/>
    <w:lvl w:ilvl="0" w:tplc="CEF62D2E">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743C61"/>
    <w:multiLevelType w:val="hybridMultilevel"/>
    <w:tmpl w:val="92F067E4"/>
    <w:lvl w:ilvl="0" w:tplc="CC323F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54"/>
    <w:multiLevelType w:val="hybridMultilevel"/>
    <w:tmpl w:val="D9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1810">
    <w:abstractNumId w:val="9"/>
  </w:num>
  <w:num w:numId="2" w16cid:durableId="531070139">
    <w:abstractNumId w:val="9"/>
  </w:num>
  <w:num w:numId="3" w16cid:durableId="890068838">
    <w:abstractNumId w:val="7"/>
  </w:num>
  <w:num w:numId="4" w16cid:durableId="508257197">
    <w:abstractNumId w:val="7"/>
  </w:num>
  <w:num w:numId="5" w16cid:durableId="1631283285">
    <w:abstractNumId w:val="6"/>
  </w:num>
  <w:num w:numId="6" w16cid:durableId="1128744761">
    <w:abstractNumId w:val="6"/>
  </w:num>
  <w:num w:numId="7" w16cid:durableId="63837666">
    <w:abstractNumId w:val="5"/>
  </w:num>
  <w:num w:numId="8" w16cid:durableId="345982882">
    <w:abstractNumId w:val="5"/>
  </w:num>
  <w:num w:numId="9" w16cid:durableId="1791699357">
    <w:abstractNumId w:val="4"/>
  </w:num>
  <w:num w:numId="10" w16cid:durableId="1349526399">
    <w:abstractNumId w:val="4"/>
  </w:num>
  <w:num w:numId="11" w16cid:durableId="63767647">
    <w:abstractNumId w:val="8"/>
  </w:num>
  <w:num w:numId="12" w16cid:durableId="715811369">
    <w:abstractNumId w:val="8"/>
  </w:num>
  <w:num w:numId="13" w16cid:durableId="1763574906">
    <w:abstractNumId w:val="3"/>
  </w:num>
  <w:num w:numId="14" w16cid:durableId="2098862210">
    <w:abstractNumId w:val="3"/>
  </w:num>
  <w:num w:numId="15" w16cid:durableId="1370036008">
    <w:abstractNumId w:val="2"/>
  </w:num>
  <w:num w:numId="16" w16cid:durableId="86119619">
    <w:abstractNumId w:val="2"/>
  </w:num>
  <w:num w:numId="17" w16cid:durableId="913048716">
    <w:abstractNumId w:val="1"/>
  </w:num>
  <w:num w:numId="18" w16cid:durableId="244847160">
    <w:abstractNumId w:val="1"/>
  </w:num>
  <w:num w:numId="19" w16cid:durableId="209804989">
    <w:abstractNumId w:val="0"/>
  </w:num>
  <w:num w:numId="20" w16cid:durableId="687102751">
    <w:abstractNumId w:val="0"/>
  </w:num>
  <w:num w:numId="21" w16cid:durableId="875851356">
    <w:abstractNumId w:val="9"/>
  </w:num>
  <w:num w:numId="22" w16cid:durableId="1429230837">
    <w:abstractNumId w:val="7"/>
  </w:num>
  <w:num w:numId="23" w16cid:durableId="763261047">
    <w:abstractNumId w:val="6"/>
  </w:num>
  <w:num w:numId="24" w16cid:durableId="1803036427">
    <w:abstractNumId w:val="5"/>
  </w:num>
  <w:num w:numId="25" w16cid:durableId="823663960">
    <w:abstractNumId w:val="4"/>
  </w:num>
  <w:num w:numId="26" w16cid:durableId="436483508">
    <w:abstractNumId w:val="8"/>
  </w:num>
  <w:num w:numId="27" w16cid:durableId="45836189">
    <w:abstractNumId w:val="3"/>
  </w:num>
  <w:num w:numId="28" w16cid:durableId="717777603">
    <w:abstractNumId w:val="2"/>
  </w:num>
  <w:num w:numId="29" w16cid:durableId="659893740">
    <w:abstractNumId w:val="1"/>
  </w:num>
  <w:num w:numId="30" w16cid:durableId="1586454179">
    <w:abstractNumId w:val="0"/>
  </w:num>
  <w:num w:numId="31" w16cid:durableId="191697727">
    <w:abstractNumId w:val="3"/>
  </w:num>
  <w:num w:numId="32" w16cid:durableId="236327927">
    <w:abstractNumId w:val="8"/>
  </w:num>
  <w:num w:numId="33" w16cid:durableId="1372539468">
    <w:abstractNumId w:val="2"/>
  </w:num>
  <w:num w:numId="34" w16cid:durableId="92555253">
    <w:abstractNumId w:val="1"/>
  </w:num>
  <w:num w:numId="35" w16cid:durableId="1943798440">
    <w:abstractNumId w:val="0"/>
  </w:num>
  <w:num w:numId="36" w16cid:durableId="762579385">
    <w:abstractNumId w:val="13"/>
  </w:num>
  <w:num w:numId="37" w16cid:durableId="659651890">
    <w:abstractNumId w:val="11"/>
  </w:num>
  <w:num w:numId="38" w16cid:durableId="631666967">
    <w:abstractNumId w:val="9"/>
  </w:num>
  <w:num w:numId="39" w16cid:durableId="1963612726">
    <w:abstractNumId w:val="14"/>
  </w:num>
  <w:num w:numId="40" w16cid:durableId="350566501">
    <w:abstractNumId w:val="10"/>
  </w:num>
  <w:num w:numId="41" w16cid:durableId="2022848895">
    <w:abstractNumId w:val="15"/>
  </w:num>
  <w:num w:numId="42" w16cid:durableId="20595344">
    <w:abstractNumId w:val="9"/>
    <w:lvlOverride w:ilvl="0">
      <w:startOverride w:val="1"/>
    </w:lvlOverride>
  </w:num>
  <w:num w:numId="43" w16cid:durableId="305398098">
    <w:abstractNumId w:val="9"/>
  </w:num>
  <w:num w:numId="44" w16cid:durableId="495876414">
    <w:abstractNumId w:val="9"/>
    <w:lvlOverride w:ilvl="0">
      <w:startOverride w:val="1"/>
    </w:lvlOverride>
  </w:num>
  <w:num w:numId="45" w16cid:durableId="1773743582">
    <w:abstractNumId w:val="9"/>
  </w:num>
  <w:num w:numId="46" w16cid:durableId="697046882">
    <w:abstractNumId w:val="9"/>
    <w:lvlOverride w:ilvl="0">
      <w:startOverride w:val="1"/>
    </w:lvlOverride>
  </w:num>
  <w:num w:numId="47" w16cid:durableId="290791901">
    <w:abstractNumId w:val="9"/>
    <w:lvlOverride w:ilvl="0">
      <w:startOverride w:val="1"/>
    </w:lvlOverride>
  </w:num>
  <w:num w:numId="48" w16cid:durableId="1500660617">
    <w:abstractNumId w:val="9"/>
    <w:lvlOverride w:ilvl="0">
      <w:startOverride w:val="1"/>
    </w:lvlOverride>
  </w:num>
  <w:num w:numId="49" w16cid:durableId="362900389">
    <w:abstractNumId w:val="16"/>
  </w:num>
  <w:num w:numId="50" w16cid:durableId="312681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US" w:vendorID="64" w:dllVersion="5" w:nlCheck="1" w:checkStyle="1" w:appName="MSWord"/>
  <w:activeWritingStyle w:lang="en-US" w:vendorID="64" w:dllVersion="6" w:nlCheck="1" w:checkStyle="1" w:appName="MSWord"/>
  <w:activeWritingStyle w:lang="en-US" w:vendorID="64" w:dllVersion="0" w:nlCheck="1" w:checkStyle="0" w:appName="MSWord"/>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A1"/>
    <w:rsid w:val="0000431A"/>
    <w:rsid w:val="00005DAC"/>
    <w:rsid w:val="000221F5"/>
    <w:rsid w:val="0002227A"/>
    <w:rsid w:val="00030440"/>
    <w:rsid w:val="000327FD"/>
    <w:rsid w:val="0003624C"/>
    <w:rsid w:val="000460E6"/>
    <w:rsid w:val="00055E63"/>
    <w:rsid w:val="0006628F"/>
    <w:rsid w:val="00066ECA"/>
    <w:rsid w:val="00067C95"/>
    <w:rsid w:val="00093895"/>
    <w:rsid w:val="000A7282"/>
    <w:rsid w:val="000C4C33"/>
    <w:rsid w:val="000D2D4A"/>
    <w:rsid w:val="00102488"/>
    <w:rsid w:val="00106D8A"/>
    <w:rsid w:val="00112312"/>
    <w:rsid w:val="00114B3E"/>
    <w:rsid w:val="0013728D"/>
    <w:rsid w:val="00140D97"/>
    <w:rsid w:val="0014761E"/>
    <w:rsid w:val="001513A6"/>
    <w:rsid w:val="00154E2E"/>
    <w:rsid w:val="0015522B"/>
    <w:rsid w:val="00166810"/>
    <w:rsid w:val="0018706F"/>
    <w:rsid w:val="001A35A9"/>
    <w:rsid w:val="001E11CB"/>
    <w:rsid w:val="001E7440"/>
    <w:rsid w:val="002051B3"/>
    <w:rsid w:val="00221B15"/>
    <w:rsid w:val="00231127"/>
    <w:rsid w:val="002470B5"/>
    <w:rsid w:val="00267BB2"/>
    <w:rsid w:val="002738E9"/>
    <w:rsid w:val="00285522"/>
    <w:rsid w:val="002A498F"/>
    <w:rsid w:val="002D31F5"/>
    <w:rsid w:val="002E2B5B"/>
    <w:rsid w:val="002F6923"/>
    <w:rsid w:val="0032050A"/>
    <w:rsid w:val="0032300F"/>
    <w:rsid w:val="00323062"/>
    <w:rsid w:val="003438D8"/>
    <w:rsid w:val="0035322B"/>
    <w:rsid w:val="00373EE5"/>
    <w:rsid w:val="0037485A"/>
    <w:rsid w:val="00380E2D"/>
    <w:rsid w:val="0039162D"/>
    <w:rsid w:val="003A0B83"/>
    <w:rsid w:val="003A62AD"/>
    <w:rsid w:val="003A77BC"/>
    <w:rsid w:val="003B220C"/>
    <w:rsid w:val="003B3DFF"/>
    <w:rsid w:val="003D65A6"/>
    <w:rsid w:val="003E6FE7"/>
    <w:rsid w:val="003F4ECF"/>
    <w:rsid w:val="003F6CFE"/>
    <w:rsid w:val="00406E5F"/>
    <w:rsid w:val="0041173D"/>
    <w:rsid w:val="00411F47"/>
    <w:rsid w:val="004164C7"/>
    <w:rsid w:val="0042138F"/>
    <w:rsid w:val="00422356"/>
    <w:rsid w:val="00430820"/>
    <w:rsid w:val="00432AF7"/>
    <w:rsid w:val="004511A9"/>
    <w:rsid w:val="00453E33"/>
    <w:rsid w:val="00476D68"/>
    <w:rsid w:val="00493BA3"/>
    <w:rsid w:val="004A1490"/>
    <w:rsid w:val="004A4001"/>
    <w:rsid w:val="004A5A2D"/>
    <w:rsid w:val="004B0C7A"/>
    <w:rsid w:val="004B1DC3"/>
    <w:rsid w:val="004C215A"/>
    <w:rsid w:val="004C6AA2"/>
    <w:rsid w:val="004E05BC"/>
    <w:rsid w:val="004E38F6"/>
    <w:rsid w:val="004E4FFC"/>
    <w:rsid w:val="004E64B9"/>
    <w:rsid w:val="004E7492"/>
    <w:rsid w:val="004E7C89"/>
    <w:rsid w:val="004F242E"/>
    <w:rsid w:val="00500660"/>
    <w:rsid w:val="005055DC"/>
    <w:rsid w:val="00516F27"/>
    <w:rsid w:val="005406B8"/>
    <w:rsid w:val="00552E3B"/>
    <w:rsid w:val="00557FFE"/>
    <w:rsid w:val="005678F2"/>
    <w:rsid w:val="005738A1"/>
    <w:rsid w:val="00590C38"/>
    <w:rsid w:val="005A1520"/>
    <w:rsid w:val="005A5493"/>
    <w:rsid w:val="005B0D95"/>
    <w:rsid w:val="005B5EE7"/>
    <w:rsid w:val="005D264E"/>
    <w:rsid w:val="005D586C"/>
    <w:rsid w:val="005F6BA7"/>
    <w:rsid w:val="006001E4"/>
    <w:rsid w:val="006021B4"/>
    <w:rsid w:val="00602F93"/>
    <w:rsid w:val="00606D25"/>
    <w:rsid w:val="00632A7A"/>
    <w:rsid w:val="00633F9D"/>
    <w:rsid w:val="006377A1"/>
    <w:rsid w:val="00654CA6"/>
    <w:rsid w:val="00691F1F"/>
    <w:rsid w:val="006929A2"/>
    <w:rsid w:val="006967D2"/>
    <w:rsid w:val="006B0E2E"/>
    <w:rsid w:val="006B6084"/>
    <w:rsid w:val="006C6D1F"/>
    <w:rsid w:val="006D042B"/>
    <w:rsid w:val="006F5CD7"/>
    <w:rsid w:val="007072F6"/>
    <w:rsid w:val="0071608E"/>
    <w:rsid w:val="00724561"/>
    <w:rsid w:val="007842E5"/>
    <w:rsid w:val="0078485A"/>
    <w:rsid w:val="007B2456"/>
    <w:rsid w:val="007B29BC"/>
    <w:rsid w:val="007C4DE2"/>
    <w:rsid w:val="007E041E"/>
    <w:rsid w:val="007E7CB4"/>
    <w:rsid w:val="007F6002"/>
    <w:rsid w:val="00804D23"/>
    <w:rsid w:val="008056B9"/>
    <w:rsid w:val="00805C79"/>
    <w:rsid w:val="00805E80"/>
    <w:rsid w:val="00811630"/>
    <w:rsid w:val="0082130F"/>
    <w:rsid w:val="00826E59"/>
    <w:rsid w:val="00831A3C"/>
    <w:rsid w:val="008325C5"/>
    <w:rsid w:val="00836900"/>
    <w:rsid w:val="00852E27"/>
    <w:rsid w:val="00856010"/>
    <w:rsid w:val="00872ACD"/>
    <w:rsid w:val="00890234"/>
    <w:rsid w:val="0089127E"/>
    <w:rsid w:val="00891FD5"/>
    <w:rsid w:val="008C1F0B"/>
    <w:rsid w:val="008D2CD8"/>
    <w:rsid w:val="009210D4"/>
    <w:rsid w:val="009423CE"/>
    <w:rsid w:val="00944DD5"/>
    <w:rsid w:val="0094667F"/>
    <w:rsid w:val="00952387"/>
    <w:rsid w:val="00972AE7"/>
    <w:rsid w:val="009734D0"/>
    <w:rsid w:val="00991B71"/>
    <w:rsid w:val="00994A0D"/>
    <w:rsid w:val="009D2CA5"/>
    <w:rsid w:val="009E2B72"/>
    <w:rsid w:val="009E52B8"/>
    <w:rsid w:val="00A10744"/>
    <w:rsid w:val="00A115B3"/>
    <w:rsid w:val="00A26192"/>
    <w:rsid w:val="00A302E7"/>
    <w:rsid w:val="00A47C2F"/>
    <w:rsid w:val="00A56E21"/>
    <w:rsid w:val="00A95851"/>
    <w:rsid w:val="00A95E37"/>
    <w:rsid w:val="00A97D7F"/>
    <w:rsid w:val="00AA0097"/>
    <w:rsid w:val="00AA165D"/>
    <w:rsid w:val="00AA174E"/>
    <w:rsid w:val="00AA57E3"/>
    <w:rsid w:val="00AC6056"/>
    <w:rsid w:val="00AD0CDF"/>
    <w:rsid w:val="00AE4383"/>
    <w:rsid w:val="00AF43CA"/>
    <w:rsid w:val="00B03D7C"/>
    <w:rsid w:val="00B12B56"/>
    <w:rsid w:val="00B14B9F"/>
    <w:rsid w:val="00B63F59"/>
    <w:rsid w:val="00B97287"/>
    <w:rsid w:val="00BB188B"/>
    <w:rsid w:val="00BC65E1"/>
    <w:rsid w:val="00BD0310"/>
    <w:rsid w:val="00BE046E"/>
    <w:rsid w:val="00BF3346"/>
    <w:rsid w:val="00C402B6"/>
    <w:rsid w:val="00C437E9"/>
    <w:rsid w:val="00C73A41"/>
    <w:rsid w:val="00CB047E"/>
    <w:rsid w:val="00CB4034"/>
    <w:rsid w:val="00CB5B5D"/>
    <w:rsid w:val="00D12345"/>
    <w:rsid w:val="00D13BF0"/>
    <w:rsid w:val="00D15F27"/>
    <w:rsid w:val="00D5336C"/>
    <w:rsid w:val="00D61E89"/>
    <w:rsid w:val="00D7072D"/>
    <w:rsid w:val="00D94341"/>
    <w:rsid w:val="00D96365"/>
    <w:rsid w:val="00DA1133"/>
    <w:rsid w:val="00DA15CD"/>
    <w:rsid w:val="00DC2A48"/>
    <w:rsid w:val="00DC68B6"/>
    <w:rsid w:val="00DD1AE9"/>
    <w:rsid w:val="00DD63AA"/>
    <w:rsid w:val="00DE2B4D"/>
    <w:rsid w:val="00E03AF3"/>
    <w:rsid w:val="00E12302"/>
    <w:rsid w:val="00E47D75"/>
    <w:rsid w:val="00E55A5E"/>
    <w:rsid w:val="00E57E94"/>
    <w:rsid w:val="00EB3540"/>
    <w:rsid w:val="00EB6846"/>
    <w:rsid w:val="00ED7CA5"/>
    <w:rsid w:val="00EE01A2"/>
    <w:rsid w:val="00EE1611"/>
    <w:rsid w:val="00EE1D90"/>
    <w:rsid w:val="00EE2CAE"/>
    <w:rsid w:val="00EF4B12"/>
    <w:rsid w:val="00EF4B72"/>
    <w:rsid w:val="00F014B6"/>
    <w:rsid w:val="00F01A67"/>
    <w:rsid w:val="00F16604"/>
    <w:rsid w:val="00F3302B"/>
    <w:rsid w:val="00F35C96"/>
    <w:rsid w:val="00F43972"/>
    <w:rsid w:val="00F4505B"/>
    <w:rsid w:val="00F5415E"/>
    <w:rsid w:val="00F64B39"/>
    <w:rsid w:val="00F652DE"/>
    <w:rsid w:val="00F6637E"/>
    <w:rsid w:val="00F67866"/>
    <w:rsid w:val="00F75001"/>
    <w:rsid w:val="00F9703B"/>
    <w:rsid w:val="00FD397A"/>
    <w:rsid w:val="00FD6F13"/>
    <w:rsid w:val="00FE312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A11D"/>
  <w15:docId w15:val="{7A5D8448-FC2E-43FC-98E4-D5E903E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BodyText"/>
    <w:qFormat/>
    <w:pPr>
      <w:keepNext/>
      <w:numPr>
        <w:numId w:val="37"/>
      </w:numPr>
      <w:tabs>
        <w:tab w:val="clear" w:pos="720"/>
      </w:tabs>
      <w:spacing w:before="240" w:after="240"/>
      <w:outlineLvl w:val="0"/>
    </w:pPr>
    <w:rPr>
      <w:rFonts w:ascii="Times New Roman Bold" w:hAnsi="Times New Roman Bold"/>
      <w:b/>
      <w:caps/>
    </w:rPr>
  </w:style>
  <w:style w:type="paragraph" w:styleId="Heading2">
    <w:name w:val="heading 2"/>
    <w:basedOn w:val="Normal"/>
    <w:next w:val="BodyText"/>
    <w:qFormat/>
    <w:pPr>
      <w:keepNext/>
      <w:numPr>
        <w:ilvl w:val="1"/>
        <w:numId w:val="37"/>
      </w:numPr>
      <w:spacing w:before="120" w:after="120"/>
      <w:outlineLvl w:val="1"/>
    </w:pPr>
    <w:rPr>
      <w:b/>
      <w:i/>
    </w:rPr>
  </w:style>
  <w:style w:type="paragraph" w:styleId="Heading3">
    <w:name w:val="heading 3"/>
    <w:basedOn w:val="Normal"/>
    <w:next w:val="BodyText"/>
    <w:qFormat/>
    <w:pPr>
      <w:keepNext/>
      <w:numPr>
        <w:ilvl w:val="2"/>
        <w:numId w:val="37"/>
      </w:numPr>
      <w:spacing w:before="120" w:after="120"/>
      <w:outlineLvl w:val="2"/>
    </w:pPr>
    <w:rPr>
      <w:u w:val="single"/>
    </w:rPr>
  </w:style>
  <w:style w:type="paragraph" w:styleId="Heading4">
    <w:name w:val="heading 4"/>
    <w:basedOn w:val="Normal"/>
    <w:next w:val="BodyText"/>
    <w:qFormat/>
    <w:pPr>
      <w:keepNext/>
      <w:numPr>
        <w:ilvl w:val="3"/>
        <w:numId w:val="37"/>
      </w:numPr>
      <w:spacing w:before="120" w:after="120"/>
      <w:outlineLvl w:val="3"/>
    </w:pPr>
    <w:rPr>
      <w:i/>
    </w:rPr>
  </w:style>
  <w:style w:type="paragraph" w:styleId="Heading5">
    <w:name w:val="heading 5"/>
    <w:basedOn w:val="Normal"/>
    <w:next w:val="BodyText"/>
    <w:qFormat/>
    <w:pPr>
      <w:numPr>
        <w:ilvl w:val="4"/>
        <w:numId w:val="37"/>
      </w:numPr>
      <w:spacing w:after="240"/>
      <w:outlineLvl w:val="4"/>
    </w:pPr>
  </w:style>
  <w:style w:type="paragraph" w:styleId="Heading6">
    <w:name w:val="heading 6"/>
    <w:basedOn w:val="Normal"/>
    <w:next w:val="BodyText"/>
    <w:qFormat/>
    <w:pPr>
      <w:numPr>
        <w:ilvl w:val="5"/>
        <w:numId w:val="37"/>
      </w:numPr>
      <w:spacing w:after="240"/>
      <w:outlineLvl w:val="5"/>
    </w:pPr>
  </w:style>
  <w:style w:type="paragraph" w:styleId="Heading7">
    <w:name w:val="heading 7"/>
    <w:basedOn w:val="Normal"/>
    <w:next w:val="BodyText"/>
    <w:qFormat/>
    <w:pPr>
      <w:numPr>
        <w:ilvl w:val="6"/>
        <w:numId w:val="37"/>
      </w:numPr>
      <w:spacing w:after="240"/>
      <w:outlineLvl w:val="6"/>
    </w:pPr>
  </w:style>
  <w:style w:type="paragraph" w:styleId="Heading8">
    <w:name w:val="heading 8"/>
    <w:basedOn w:val="Normal"/>
    <w:next w:val="BodyText"/>
    <w:qFormat/>
    <w:pPr>
      <w:numPr>
        <w:ilvl w:val="7"/>
        <w:numId w:val="37"/>
      </w:numPr>
      <w:spacing w:after="240"/>
      <w:outlineLvl w:val="7"/>
    </w:pPr>
  </w:style>
  <w:style w:type="paragraph" w:styleId="Heading9">
    <w:name w:val="heading 9"/>
    <w:basedOn w:val="Normal"/>
    <w:next w:val="BodyText"/>
    <w:qFormat/>
    <w:pPr>
      <w:numPr>
        <w:ilvl w:val="8"/>
        <w:numId w:val="37"/>
      </w:numPr>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pPr>
      <w:spacing w:after="240"/>
      <w:ind w:left="720" w:right="720"/>
    </w:pPr>
  </w:style>
  <w:style w:type="paragraph" w:styleId="BodyText">
    <w:name w:val="Body Text"/>
    <w:basedOn w:val="Normal"/>
    <w:pPr>
      <w:spacing w:after="240"/>
      <w:ind w:firstLine="720"/>
    </w:p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style>
  <w:style w:type="paragraph" w:styleId="BodyTextIndent">
    <w:name w:val="Body Text Indent"/>
    <w:basedOn w:val="Normal"/>
    <w:pPr>
      <w:spacing w:after="240"/>
      <w:ind w:lef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paragraph" w:styleId="Closing">
    <w:name w:val="Closing"/>
    <w:basedOn w:val="Normal"/>
    <w:next w:val="Signature"/>
    <w:pPr>
      <w:keepNext/>
      <w:spacing w:after="600"/>
    </w:pPr>
  </w:style>
  <w:style w:type="paragraph" w:styleId="Signature">
    <w:name w:val="Signature"/>
    <w:basedOn w:val="Normal"/>
    <w:next w:val="BodyText"/>
    <w:pPr>
      <w:tabs>
        <w:tab w:val="right" w:leader="underscore" w:pos="9360"/>
      </w:tabs>
      <w:spacing w:after="240"/>
      <w:ind w:left="5040"/>
    </w:pPr>
  </w:style>
  <w:style w:type="paragraph" w:styleId="Date">
    <w:name w:val="Date"/>
    <w:basedOn w:val="Normal"/>
    <w:next w:val="BodyText"/>
    <w:pPr>
      <w:spacing w:after="480"/>
    </w:pPr>
  </w:style>
  <w:style w:type="paragraph" w:styleId="EnvelopeAddress">
    <w:name w:val="envelope address"/>
    <w:basedOn w:val="Normal"/>
    <w:pPr>
      <w:framePr w:w="7920" w:h="1980" w:hSpace="180" w:wrap="auto" w:hAnchor="page" w:xAlign="center" w:yAlign="bottom" w:hRule="exact"/>
      <w:ind w:left="2880"/>
    </w:p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pPr>
      <w:spacing w:after="120" w:line="240" w:lineRule="exact"/>
      <w:ind w:left="432" w:hanging="432"/>
    </w:pPr>
    <w:rPr>
      <w:sz w:val="20"/>
    </w:rPr>
  </w:style>
  <w:style w:type="paragraph" w:styleId="Header">
    <w:name w:val="header"/>
    <w:basedOn w:val="Normal"/>
    <w:pPr>
      <w:tabs>
        <w:tab w:val="center" w:pos="4680"/>
        <w:tab w:val="right" w:pos="9360"/>
      </w:tabs>
    </w:pPr>
  </w:style>
  <w:style w:type="paragraph" w:styleId="ListBullet">
    <w:name w:val="List Bullet"/>
    <w:basedOn w:val="Normal"/>
    <w:autoRedefine/>
    <w:rsid w:val="00422356"/>
    <w:pPr>
      <w:numPr>
        <w:numId w:val="1"/>
      </w:numPr>
      <w:spacing w:after="240"/>
      <w:jc w:val="both"/>
    </w:pPr>
  </w:style>
  <w:style w:type="paragraph" w:styleId="ListBullet2">
    <w:name w:val="List Bullet 2"/>
    <w:basedOn w:val="Normal"/>
    <w:autoRedefine/>
    <w:pPr>
      <w:numPr>
        <w:numId w:val="22"/>
      </w:numPr>
      <w:tabs>
        <w:tab w:val="clear" w:pos="720"/>
      </w:tabs>
      <w:spacing w:after="240"/>
      <w:ind w:left="1440" w:hanging="720"/>
    </w:pPr>
  </w:style>
  <w:style w:type="paragraph" w:styleId="ListBullet3">
    <w:name w:val="List Bullet 3"/>
    <w:basedOn w:val="Normal"/>
    <w:autoRedefine/>
    <w:pPr>
      <w:numPr>
        <w:numId w:val="23"/>
      </w:numPr>
    </w:pPr>
  </w:style>
  <w:style w:type="paragraph" w:styleId="ListBullet4">
    <w:name w:val="List Bullet 4"/>
    <w:basedOn w:val="Normal"/>
    <w:autoRedefine/>
    <w:pPr>
      <w:numPr>
        <w:numId w:val="24"/>
      </w:numPr>
    </w:pPr>
  </w:style>
  <w:style w:type="paragraph" w:styleId="ListBullet5">
    <w:name w:val="List Bullet 5"/>
    <w:basedOn w:val="Normal"/>
    <w:autoRedefine/>
    <w:pPr>
      <w:numPr>
        <w:numId w:val="25"/>
      </w:numPr>
    </w:pPr>
  </w:style>
  <w:style w:type="paragraph" w:styleId="ListContinue">
    <w:name w:val="List Continue"/>
    <w:basedOn w:val="Normal"/>
    <w:pPr>
      <w:spacing w:after="240"/>
      <w:ind w:left="720"/>
    </w:pPr>
  </w:style>
  <w:style w:type="paragraph" w:styleId="ListContinue2">
    <w:name w:val="List Continue 2"/>
    <w:basedOn w:val="Normal"/>
    <w:pPr>
      <w:spacing w:line="480" w:lineRule="auto"/>
      <w:ind w:left="720"/>
    </w:pPr>
  </w:style>
  <w:style w:type="paragraph" w:styleId="ListContinue3">
    <w:name w:val="List Continue 3"/>
    <w:basedOn w:val="Normal"/>
    <w:pPr>
      <w:spacing w:after="240"/>
      <w:ind w:left="1440"/>
    </w:pPr>
  </w:style>
  <w:style w:type="paragraph" w:styleId="ListContinue4">
    <w:name w:val="List Continue 4"/>
    <w:basedOn w:val="Normal"/>
    <w:pPr>
      <w:spacing w:line="480" w:lineRule="auto"/>
      <w:ind w:left="1440"/>
    </w:pPr>
  </w:style>
  <w:style w:type="paragraph" w:styleId="ListContinue5">
    <w:name w:val="List Continue 5"/>
    <w:basedOn w:val="Normal"/>
    <w:pPr>
      <w:spacing w:after="240"/>
      <w:ind w:left="2160"/>
    </w:pPr>
  </w:style>
  <w:style w:type="paragraph" w:styleId="ListNumber">
    <w:name w:val="List Number"/>
    <w:basedOn w:val="Normal"/>
    <w:pPr>
      <w:numPr>
        <w:numId w:val="32"/>
      </w:numPr>
      <w:spacing w:after="240"/>
    </w:pPr>
  </w:style>
  <w:style w:type="paragraph" w:styleId="ListNumber2">
    <w:name w:val="List Number 2"/>
    <w:basedOn w:val="Normal"/>
    <w:pPr>
      <w:numPr>
        <w:numId w:val="31"/>
      </w:numPr>
      <w:spacing w:after="240"/>
    </w:pPr>
  </w:style>
  <w:style w:type="paragraph" w:styleId="ListNumber3">
    <w:name w:val="List Number 3"/>
    <w:basedOn w:val="Normal"/>
    <w:pPr>
      <w:numPr>
        <w:numId w:val="33"/>
      </w:numPr>
      <w:spacing w:after="240"/>
    </w:pPr>
  </w:style>
  <w:style w:type="paragraph" w:styleId="ListNumber4">
    <w:name w:val="List Number 4"/>
    <w:basedOn w:val="Normal"/>
    <w:pPr>
      <w:numPr>
        <w:numId w:val="34"/>
      </w:numPr>
      <w:spacing w:after="240"/>
    </w:pPr>
  </w:style>
  <w:style w:type="paragraph" w:styleId="ListNumber5">
    <w:name w:val="List Number 5"/>
    <w:basedOn w:val="Normal"/>
    <w:pPr>
      <w:numPr>
        <w:numId w:val="35"/>
      </w:numPr>
      <w:spacing w:after="240"/>
    </w:pPr>
  </w:style>
  <w:style w:type="character" w:styleId="PageNumber">
    <w:name w:val="page number"/>
    <w:basedOn w:val="DefaultParagraphFont"/>
  </w:style>
  <w:style w:type="paragraph" w:styleId="ReLine" w:customStyle="1">
    <w:name w:val="ReLine"/>
    <w:basedOn w:val="Normal"/>
    <w:pPr>
      <w:ind w:left="720" w:right="1440" w:hanging="720"/>
    </w:pPr>
    <w:rPr>
      <w:b/>
      <w:bCs/>
    </w:rPr>
  </w:style>
  <w:style w:type="paragraph" w:styleId="Salutation">
    <w:name w:val="Salutation"/>
    <w:basedOn w:val="Normal"/>
    <w:next w:val="BodyTextFirstIndent"/>
    <w:pPr>
      <w:spacing w:after="240"/>
    </w:pPr>
  </w:style>
  <w:style w:type="paragraph" w:styleId="Subtitle">
    <w:name w:val="Subtitle"/>
    <w:basedOn w:val="Normal"/>
    <w:next w:val="BodyText"/>
    <w:qFormat/>
    <w:pPr>
      <w:spacing w:after="480"/>
      <w:jc w:val="center"/>
    </w:pPr>
    <w:rPr>
      <w:b/>
      <w:kern w:val="28"/>
    </w:rPr>
  </w:style>
  <w:style w:type="paragraph" w:styleId="Title">
    <w:name w:val="Title"/>
    <w:basedOn w:val="Normal"/>
    <w:next w:val="BodyText"/>
    <w:qFormat/>
    <w:pPr>
      <w:spacing w:after="480"/>
      <w:jc w:val="center"/>
    </w:pPr>
    <w:rPr>
      <w:rFonts w:ascii="Times New Roman Bold" w:hAnsi="Times New Roman Bold"/>
      <w:kern w:val="28"/>
    </w:rPr>
  </w:style>
  <w:style w:type="paragraph" w:styleId="TOC1">
    <w:name w:val="toc 1"/>
    <w:basedOn w:val="Normal"/>
    <w:next w:val="Normal"/>
    <w:autoRedefine/>
    <w:semiHidden/>
    <w:pPr>
      <w:keepNext/>
      <w:tabs>
        <w:tab w:val="left" w:pos="720"/>
        <w:tab w:val="right" w:leader="dot" w:pos="9360"/>
      </w:tabs>
      <w:spacing w:before="240"/>
      <w:ind w:left="720" w:right="720" w:hanging="720"/>
    </w:pPr>
    <w:rPr>
      <w:b/>
    </w:rPr>
  </w:style>
  <w:style w:type="paragraph" w:styleId="TOC2">
    <w:name w:val="toc 2"/>
    <w:basedOn w:val="Normal"/>
    <w:next w:val="Normal"/>
    <w:autoRedefine/>
    <w:semiHidden/>
    <w:pPr>
      <w:tabs>
        <w:tab w:val="left" w:pos="1440"/>
        <w:tab w:val="right" w:leader="dot" w:pos="9360"/>
      </w:tabs>
      <w:ind w:left="1440" w:right="720" w:hanging="720"/>
    </w:pPr>
  </w:style>
  <w:style w:type="paragraph" w:styleId="TOC3">
    <w:name w:val="toc 3"/>
    <w:basedOn w:val="Normal"/>
    <w:next w:val="Normal"/>
    <w:autoRedefine/>
    <w:semiHidden/>
    <w:pPr>
      <w:ind w:left="2160" w:right="720" w:hanging="720"/>
    </w:pPr>
  </w:style>
  <w:style w:type="paragraph" w:styleId="TOC4">
    <w:name w:val="toc 4"/>
    <w:basedOn w:val="Normal"/>
    <w:next w:val="Normal"/>
    <w:autoRedefine/>
    <w:semiHidden/>
    <w:pPr>
      <w:ind w:left="2880" w:right="720" w:hanging="720"/>
    </w:pPr>
  </w:style>
  <w:style w:type="paragraph" w:styleId="TOC5">
    <w:name w:val="toc 5"/>
    <w:basedOn w:val="Normal"/>
    <w:next w:val="Normal"/>
    <w:autoRedefine/>
    <w:semiHidden/>
    <w:pPr>
      <w:ind w:left="3600" w:right="720" w:hanging="720"/>
    </w:pPr>
  </w:style>
  <w:style w:type="paragraph" w:styleId="TOC6">
    <w:name w:val="toc 6"/>
    <w:basedOn w:val="Normal"/>
    <w:next w:val="Normal"/>
    <w:autoRedefine/>
    <w:semiHidden/>
    <w:pPr>
      <w:ind w:left="4320" w:right="720" w:hanging="720"/>
    </w:pPr>
  </w:style>
  <w:style w:type="paragraph" w:styleId="TOC7">
    <w:name w:val="toc 7"/>
    <w:basedOn w:val="Normal"/>
    <w:next w:val="Normal"/>
    <w:autoRedefine/>
    <w:semiHidden/>
    <w:pPr>
      <w:ind w:left="5040" w:right="720" w:hanging="720"/>
    </w:pPr>
  </w:style>
  <w:style w:type="paragraph" w:styleId="TOC8">
    <w:name w:val="toc 8"/>
    <w:basedOn w:val="Normal"/>
    <w:next w:val="Normal"/>
    <w:autoRedefine/>
    <w:semiHidden/>
    <w:pPr>
      <w:ind w:left="5760" w:right="720" w:hanging="720"/>
    </w:pPr>
  </w:style>
  <w:style w:type="paragraph" w:styleId="TOC9">
    <w:name w:val="toc 9"/>
    <w:basedOn w:val="Normal"/>
    <w:next w:val="Normal"/>
    <w:autoRedefine/>
    <w:semiHidden/>
    <w:pPr>
      <w:ind w:left="6480" w:right="720" w:hanging="720"/>
    </w:p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rsid w:val="00430820"/>
    <w:rPr>
      <w:rFonts w:ascii="Tahoma" w:hAnsi="Tahoma" w:cs="Tahoma"/>
      <w:sz w:val="16"/>
      <w:szCs w:val="16"/>
    </w:rPr>
  </w:style>
  <w:style w:type="paragraph" w:styleId="Title2" w:customStyle="1">
    <w:name w:val="Title 2"/>
    <w:basedOn w:val="Normal"/>
    <w:pPr>
      <w:spacing w:after="240"/>
      <w:jc w:val="center"/>
    </w:pPr>
    <w:rPr>
      <w:rFonts w:ascii="Times New Roman Bold" w:hAnsi="Times New Roman Bold"/>
      <w:b/>
      <w:bCs/>
      <w:sz w:val="32"/>
      <w:u w:val="single"/>
    </w:rPr>
  </w:style>
  <w:style w:type="character" w:styleId="BalloonTextChar" w:customStyle="1">
    <w:name w:val="Balloon Text Char"/>
    <w:link w:val="BalloonText"/>
    <w:rsid w:val="00430820"/>
    <w:rPr>
      <w:rFonts w:ascii="Tahoma" w:hAnsi="Tahoma" w:cs="Tahoma"/>
      <w:sz w:val="16"/>
      <w:szCs w:val="16"/>
    </w:rPr>
  </w:style>
  <w:style w:type="character" w:styleId="DocID" w:customStyle="1">
    <w:name w:val="DocID"/>
    <w:rsid w:val="00D7072D"/>
    <w:rPr>
      <w:rFonts w:ascii="Times New Roman" w:hAnsi="Times New Roman" w:cs="Times New Roman"/>
      <w:b w:val="0"/>
      <w:i w:val="0"/>
      <w:caps w:val="0"/>
      <w:color w:val="auto"/>
      <w:spacing w:val="0"/>
      <w:sz w:val="16"/>
      <w:u w:val="none"/>
    </w:rPr>
  </w:style>
  <w:style w:type="character" w:styleId="FooterChar" w:customStyle="1">
    <w:name w:val="Footer Char"/>
    <w:basedOn w:val="DefaultParagraphFont"/>
    <w:link w:val="Footer"/>
    <w:rsid w:val="00A95851"/>
    <w:rPr>
      <w:sz w:val="24"/>
    </w:rPr>
  </w:style>
  <w:style w:type="paragraph" w:styleId="MacPacTrailer" w:customStyle="1">
    <w:name w:val="MacPac Trailer"/>
    <w:basedOn w:val="Normal"/>
    <w:rsid w:val="00A95851"/>
    <w:pPr>
      <w:widowControl w:val="0"/>
    </w:pPr>
    <w:rPr>
      <w:sz w:val="16"/>
      <w:szCs w:val="22"/>
    </w:rPr>
  </w:style>
  <w:style w:type="character" w:styleId="PlaceholderText">
    <w:name w:val="Placeholder Text"/>
    <w:basedOn w:val="DefaultParagraphFont"/>
    <w:uiPriority w:val="99"/>
    <w:semiHidden/>
    <w:rsid w:val="00A95851"/>
    <w:rPr>
      <w:color w:val="808080"/>
    </w:rPr>
  </w:style>
  <w:style w:type="character" w:styleId="CommentReference">
    <w:name w:val="annotation reference"/>
    <w:basedOn w:val="DefaultParagraphFont"/>
    <w:semiHidden/>
    <w:unhideWhenUsed/>
    <w:rsid w:val="00724561"/>
    <w:rPr>
      <w:sz w:val="16"/>
      <w:szCs w:val="16"/>
    </w:rPr>
  </w:style>
  <w:style w:type="paragraph" w:styleId="CommentText">
    <w:name w:val="annotation text"/>
    <w:basedOn w:val="Normal"/>
    <w:link w:val="CommentTextChar"/>
    <w:unhideWhenUsed/>
    <w:rsid w:val="00724561"/>
    <w:rPr>
      <w:sz w:val="20"/>
    </w:rPr>
  </w:style>
  <w:style w:type="character" w:styleId="CommentTextChar" w:customStyle="1">
    <w:name w:val="Comment Text Char"/>
    <w:basedOn w:val="DefaultParagraphFont"/>
    <w:link w:val="CommentText"/>
    <w:rsid w:val="00724561"/>
  </w:style>
  <w:style w:type="paragraph" w:styleId="CommentSubject">
    <w:name w:val="annotation subject"/>
    <w:basedOn w:val="CommentText"/>
    <w:next w:val="CommentText"/>
    <w:link w:val="CommentSubjectChar"/>
    <w:semiHidden/>
    <w:unhideWhenUsed/>
    <w:rsid w:val="00724561"/>
    <w:rPr>
      <w:b/>
      <w:bCs/>
    </w:rPr>
  </w:style>
  <w:style w:type="character" w:styleId="CommentSubjectChar" w:customStyle="1">
    <w:name w:val="Comment Subject Char"/>
    <w:basedOn w:val="CommentTextChar"/>
    <w:link w:val="CommentSubject"/>
    <w:semiHidden/>
    <w:rsid w:val="00724561"/>
    <w:rPr>
      <w:b/>
      <w:bCs/>
    </w:rPr>
  </w:style>
  <w:style w:type="paragraph" w:styleId="Revision">
    <w:name w:val="Revision"/>
    <w:hidden/>
    <w:uiPriority w:val="99"/>
    <w:semiHidden/>
    <w:rsid w:val="00724561"/>
    <w:rPr>
      <w:sz w:val="24"/>
    </w:rPr>
  </w:style>
  <w:style w:type="paragraph" w:styleId="a" w:customStyle="1">
    <w:name w:val="_"/>
    <w:basedOn w:val="Normal"/>
    <w:rsid w:val="00EE1D90"/>
    <w:pPr>
      <w:widowControl w:val="0"/>
      <w:tabs>
        <w:tab w:val="left" w:pos="-1080"/>
        <w:tab w:val="left" w:pos="-720"/>
        <w:tab w:val="left" w:pos="0"/>
        <w:tab w:val="left" w:pos="720"/>
        <w:tab w:val="left" w:pos="990"/>
      </w:tabs>
      <w:ind w:left="990" w:hanging="270"/>
    </w:pPr>
    <w:rPr>
      <w:rFonts w:ascii="CG Times" w:hAnsi="CG Times"/>
      <w:snapToGrid w:val="0"/>
    </w:rPr>
  </w:style>
  <w:style w:type="character" w:styleId="Mention">
    <w:name w:val="Mention"/>
    <w:basedOn w:val="DefaultParagraphFont"/>
    <w:uiPriority w:val="99"/>
    <w:unhideWhenUsed/>
    <w:rsid w:val="000043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b62f342-a4c8-4d24-a0bf-a40954be95c2}" enabled="1" method="Privileged" siteId="{5489db09-6aff-49b2-b68f-9e7c26e33e83}" removed="0"/>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