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Factorial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Series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Steven C. Poling, Esq.</w:t>
              <w:br/>
              <w:t>35555 W. Twelve Mile Rd., Suite 100</w:t>
              <w:br/>
              <w:t>Farmington Hills, MI, 48331</w:t>
              <w:br/>
              <w:t>(248) 991-6632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4"/>
        <w:gridCol w:w="7921"/>
      </w:tblGrid>
      <w:tr>
        <w:trPr/>
        <w:tc>
          <w:tcPr>
            <w:tcW w:w="2284" w:type="dxa"/>
            <w:tcBorders/>
            <w:vAlign w:val="center"/>
          </w:tcPr>
          <w:p>
            <w:pPr>
              <w:pStyle w:val="TableContents"/>
              <w:bidi w:val="0"/>
              <w:spacing w:before="0" w:after="283"/>
              <w:jc w:val="left"/>
              <w:rPr/>
            </w:pPr>
            <w:r>
              <w:rPr/>
              <w:t>1</w:t>
            </w:r>
          </w:p>
        </w:tc>
        <w:tc>
          <w:tcPr>
            <w:tcW w:w="792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Mercedes-Benz Corporate Investments LLC</w:t>
            </w:r>
          </w:p>
        </w:tc>
      </w:tr>
      <w:tr>
        <w:trPr/>
        <w:tc>
          <w:tcPr>
            <w:tcW w:w="2284" w:type="dxa"/>
            <w:tcBorders/>
            <w:vAlign w:val="center"/>
          </w:tcPr>
          <w:p>
            <w:pPr>
              <w:pStyle w:val="TableContents"/>
              <w:bidi w:val="0"/>
              <w:spacing w:before="0" w:after="283"/>
              <w:jc w:val="left"/>
              <w:rPr/>
            </w:pPr>
            <w:r>
              <w:rPr/>
              <w:t>2</w:t>
            </w:r>
          </w:p>
        </w:tc>
        <w:tc>
          <w:tcPr>
            <w:tcW w:w="792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84" w:type="dxa"/>
            <w:tcBorders/>
            <w:vAlign w:val="center"/>
          </w:tcPr>
          <w:p>
            <w:pPr>
              <w:pStyle w:val="TableContents"/>
              <w:bidi w:val="0"/>
              <w:spacing w:before="0" w:after="283"/>
              <w:jc w:val="left"/>
              <w:rPr/>
            </w:pPr>
            <w:r>
              <w:rPr/>
              <w:t>3</w:t>
            </w:r>
          </w:p>
        </w:tc>
        <w:tc>
          <w:tcPr>
            <w:tcW w:w="7921" w:type="dxa"/>
            <w:tcBorders/>
            <w:vAlign w:val="center"/>
          </w:tcPr>
          <w:p>
            <w:pPr>
              <w:pStyle w:val="TableContents"/>
              <w:bidi w:val="0"/>
              <w:spacing w:before="0" w:after="283"/>
              <w:jc w:val="left"/>
              <w:rPr/>
            </w:pPr>
            <w:r>
              <w:rPr/>
              <w:t>SEC use only</w:t>
            </w:r>
          </w:p>
        </w:tc>
      </w:tr>
      <w:tr>
        <w:trPr/>
        <w:tc>
          <w:tcPr>
            <w:tcW w:w="2284" w:type="dxa"/>
            <w:tcBorders/>
            <w:vAlign w:val="center"/>
          </w:tcPr>
          <w:p>
            <w:pPr>
              <w:pStyle w:val="TableContents"/>
              <w:bidi w:val="0"/>
              <w:spacing w:before="0" w:after="283"/>
              <w:jc w:val="left"/>
              <w:rPr/>
            </w:pPr>
            <w:r>
              <w:rPr/>
              <w:t>4</w:t>
            </w:r>
          </w:p>
        </w:tc>
        <w:tc>
          <w:tcPr>
            <w:tcW w:w="792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84" w:type="dxa"/>
            <w:tcBorders/>
            <w:vAlign w:val="center"/>
          </w:tcPr>
          <w:p>
            <w:pPr>
              <w:pStyle w:val="TableContents"/>
              <w:bidi w:val="0"/>
              <w:spacing w:before="0" w:after="283"/>
              <w:jc w:val="left"/>
              <w:rPr/>
            </w:pPr>
            <w:r>
              <w:rPr/>
              <w:t>5</w:t>
            </w:r>
          </w:p>
        </w:tc>
        <w:tc>
          <w:tcPr>
            <w:tcW w:w="792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6</w:t>
            </w:r>
          </w:p>
        </w:tc>
        <w:tc>
          <w:tcPr>
            <w:tcW w:w="792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8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8,669,995.00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8,669,995.00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84" w:type="dxa"/>
            <w:tcBorders/>
            <w:vAlign w:val="center"/>
          </w:tcPr>
          <w:p>
            <w:pPr>
              <w:pStyle w:val="TableContents"/>
              <w:bidi w:val="0"/>
              <w:spacing w:before="0" w:after="283"/>
              <w:jc w:val="left"/>
              <w:rPr/>
            </w:pPr>
            <w:r>
              <w:rPr/>
              <w:t>11</w:t>
            </w:r>
          </w:p>
        </w:tc>
        <w:tc>
          <w:tcPr>
            <w:tcW w:w="792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8,669,995.00</w:t>
            </w:r>
          </w:p>
        </w:tc>
      </w:tr>
      <w:tr>
        <w:trPr/>
        <w:tc>
          <w:tcPr>
            <w:tcW w:w="2284" w:type="dxa"/>
            <w:tcBorders/>
            <w:vAlign w:val="center"/>
          </w:tcPr>
          <w:p>
            <w:pPr>
              <w:pStyle w:val="TableContents"/>
              <w:bidi w:val="0"/>
              <w:spacing w:before="0" w:after="283"/>
              <w:jc w:val="left"/>
              <w:rPr/>
            </w:pPr>
            <w:r>
              <w:rPr/>
              <w:t>12</w:t>
            </w:r>
          </w:p>
        </w:tc>
        <w:tc>
          <w:tcPr>
            <w:tcW w:w="792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13</w:t>
            </w:r>
          </w:p>
        </w:tc>
        <w:tc>
          <w:tcPr>
            <w:tcW w:w="792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8.1 % </w:t>
            </w:r>
          </w:p>
        </w:tc>
      </w:tr>
      <w:tr>
        <w:trPr/>
        <w:tc>
          <w:tcPr>
            <w:tcW w:w="2284" w:type="dxa"/>
            <w:tcBorders/>
            <w:vAlign w:val="center"/>
          </w:tcPr>
          <w:p>
            <w:pPr>
              <w:pStyle w:val="TableContents"/>
              <w:bidi w:val="0"/>
              <w:spacing w:before="0" w:after="283"/>
              <w:jc w:val="left"/>
              <w:rPr/>
            </w:pPr>
            <w:r>
              <w:rPr/>
              <w:t>14</w:t>
            </w:r>
          </w:p>
        </w:tc>
        <w:tc>
          <w:tcPr>
            <w:tcW w:w="792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This percentage is based on a total of 107,023,245 shares of Series A Common Stock issued and outstanding as of June 5, 2026 upon completion of the Business Combination , as reported by the Issuer on its Form 8-K on June 10, 2026, and assumes the exchange of all 15,512,744 shares of Series B Common Stock (each of which is exchangeable for one share of Series A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Series A 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Factorial Energy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805 Middlesex Turnpike, Billerica, MASSACHUSETTS , 01821.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on Schedule 13D relates to MBCI's (as defined in Item 2 below) beneficial ownership interest in shares of Series A Common Stock, par value $0.000001 per share (the "Series A Common Stock") of Factorial Energy Inc. (f/k/a Cartesian Growth Corporation III) (the "Issuer"). The Issuer's principal executive offices are located at 805 Middlesex Turnpike, Billerica, MA 01821.</w:t>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This Schedule 13D is filed on behalf of Mercedes-Benz Corporate Investments LLC ("MBCI"). MBCI is a wholly-owned indirect subsidiary of Mercedes-Benz Group AG, a publicly-traded German corporation ("MB"). MBCI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The principal business address of MBCI is 35555 W. Twelve Mile Rd., Suite 100, Farmington Hills, MI 48331.</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The business purpose of MBCI is to serve as an investment vehicle for MB.</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0"/>
              <w:jc w:val="left"/>
              <w:rPr/>
            </w:pPr>
            <w:r>
              <w:rPr/>
              <w:t>During the past five years, MBCI has not been convicted in a criminal proceeding (excluding traffic violations and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0"/>
              <w:jc w:val="left"/>
              <w:rPr/>
            </w:pPr>
            <w:r>
              <w:rPr/>
              <w:t>During the past five years, MBCI has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0"/>
              <w:jc w:val="left"/>
              <w:rPr/>
            </w:pPr>
            <w:r>
              <w:rPr/>
              <w:t>The jurisdiction of organization of MBCI is set forth in subsection (a) above.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The shares of Series A Common Stock reported herein as beneficially owned by MBCI were acquired in connection with a business combination (the "Business Combination") pursuant to the Business Combination Agreement, dated December 17, 2025, by and among the Issuer, Fenway MS, Inc., a Delaware corporation and wholly-owned subsidiary of the Issuer, and Factorial Inc., a Delaware corporation ("Factorial") (as amended by Amendment No. 1 to Business Combination Agreement, dated as of March 26, 2026, and Amendment No. 2 to Business Combination Agreement, dated as of May 18, 2026, the "Business Combination Agreement"). In December 2021, Factorial issued and sold to MBCI (i) 2,205,032 shares of Series D redeemable preferred stock of Factorial, and (ii) warrants exercisable for 137,814 shares of common stock of Factorial, and in August 2025, Factorial issued and sold to MBCI a secured convertible promissory note in the aggregate principal amount of $2,000,000 (collectively, the "Factorial securities"). On June 5, 2026, as a result of the completion of the Business Combination (the "Closing"), the Factorial securities (including accrued and unpaid interest, in the case of the promissory note) directly held by MBCI were converted into an aggregate of 8,669,995 shares of Series A Common Stock.</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The disclosure in Item 3 of this Schedule 13D is incorporated by reference into this Item 4. MBCI holds its securities of the Issuer for investment purposes. In connection with the completion of the Business Combination, Uwe Keller, Director of Battery Development at Mercedes-Benz Group AG, who was previously a director of Factorial, was elected to the board of the Issuer. MBCI expects to review from time to time its investment in the Issuer and may, depending on the market and other conditions and subject to applicable law: (i) acquire beneficial ownership of additional securities of the Issuer in the open market, in privately negotiated transactions or otherwise; (ii) dispose of all or part of its holdings of securities of the Issuer; or (iii) take other actions which could involve one or more of the types of transactions or have one or more of the results described in Item 4 of Schedule 13D. Except as set forth herein, MBCI does not have any plans or proposals which relate to, or could result in, any of the matters referred to in paragraphs (a) through (j), inclusive, of the instructions to Item 4 of Schedule 13D. MBCI may, at any time and from time to time, review or reconsider its position and/or change its purpose and/or formulate plans or proposals with respect thereto.</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As of the date hereof, MBCI directly holds 8,669,995 shares of Series A Common Stock, which represents approximately 8.1% of the Series A Common Stock issued and outstanding as of June 5, 2026 upon completion of the Business Combination, and assumes the exchange of all 15,512,744 shares of Series B Common Stock, par value $0.000001 per share (the "Series B Common Stock") (each of which is exchangeable for one share of Series A Common Stock).</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See Item 5(a) above.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See Item 4 above.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0"/>
              <w:jc w:val="left"/>
              <w:rPr/>
            </w:pPr>
            <w:r>
              <w:rPr/>
              <w:t>Except as set forth in this Schedule 13D, to the knowledge of MBCI, no other person had the right to receive or the power to direct the receipt of dividends from, or the proceeds from the sale of, the shares of Series A Common Stock covered by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Amended and Restated Registration Rights Agreement In connection with the completion of the Business Combination, MBCI entered into an Amended and Restated Registration Rights Agreement (the "Registration Rights Agreement") with the Issuer, CGC III Sponsor LLC, a Delaware limited liability company, and certain other holders of shares of Series A Common Stock party thereto, pursuant to which MBCI is entitled to registration rights with respect to its shares of Series A Common Stock as described below. The Registration Rights Agreement provides that, within 30 calendar days following the Closing, the Issuer will file with the SEC (at the Issuer's sole cost and expense) a resale registration statement registering the resale of certain shares of Series A Common Stock held by or issuable to the parties thereto, and will use its commercially reasonable efforts to have the resale registration statement declared effective as soon as reasonably practicable after the filing thereof. The holders (including MBCI) are also entitled to customary piggyback registration rights and demand registration rights, including underwritten demands. The Registration Rights Agreement also includes customary indemnification provisions under which the Issuer is obligated to indemnify holders of registrable securities in the event of material misstatements or omissions in an applicable registration statement, and holders of registrable securities are obligated to indemnify the Issuer for material misstatements or omissions attributable to them. Except as otherwise set forth in this Schedule 13D, there are no contracts, arrangements, understandings or relationships between MBCI and any other person with respect to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Exhibit Description</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Mercedes-Benz Corporate Investments LLC</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8"/>
        <w:gridCol w:w="4147"/>
      </w:tblGrid>
      <w:tr>
        <w:trPr/>
        <w:tc>
          <w:tcPr>
            <w:tcW w:w="60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Holly Wu</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Holly Wu, Vice President, Mergers &amp; Acquisitions</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1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Steven C. Poling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Steven C. Poling, Assistant Secretary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1590</Words>
  <Characters>8383</Characters>
  <CharactersWithSpaces>9900</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