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9874d1_8k.htm"/>
      <w:bookmarkStart w:id="1" w:name="kstm269874d1_8k"/>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Filed by Factorial Inc.</w:t>
      </w:r>
    </w:p>
    <w:p>
      <w:pPr>
        <w:pStyle w:val="TextBody"/>
        <w:bidi w:val="0"/>
        <w:spacing w:before="0" w:after="0"/>
        <w:ind w:left="0"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Pursuant to Rule 425</w:t>
      </w:r>
    </w:p>
    <w:p>
      <w:pPr>
        <w:pStyle w:val="TextBody"/>
        <w:bidi w:val="0"/>
        <w:spacing w:before="0" w:after="0"/>
        <w:ind w:left="0"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under the Securities Act of 1933, as amended</w:t>
      </w:r>
    </w:p>
    <w:p>
      <w:pPr>
        <w:pStyle w:val="TextBody"/>
        <w:bidi w:val="0"/>
        <w:spacing w:before="0" w:after="0"/>
        <w:ind w:left="0"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and deemed filed pursuant to Rule 14a-12</w:t>
      </w:r>
    </w:p>
    <w:p>
      <w:pPr>
        <w:pStyle w:val="TextBody"/>
        <w:bidi w:val="0"/>
        <w:spacing w:before="0" w:after="0"/>
        <w:ind w:left="0"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under the Securities Exchange Act of 1934, as amended</w:t>
      </w:r>
    </w:p>
    <w:p>
      <w:pPr>
        <w:pStyle w:val="TextBody"/>
        <w:bidi w:val="0"/>
        <w:spacing w:before="0" w:after="0"/>
        <w:ind w:left="0"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Subject Company: Cartesian Growth Corporation III</w:t>
      </w:r>
    </w:p>
    <w:p>
      <w:pPr>
        <w:pStyle w:val="TextBody"/>
        <w:bidi w:val="0"/>
        <w:spacing w:before="0" w:after="0"/>
        <w:ind w:left="0"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(Commission File No. 001-42629)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b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rPr>
        <w:t>March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Cartesian Growth Corporation III</w:t>
      </w:r>
      <w:r>
        <w:rPr>
          <w:rFonts w:ascii="Times New Roman;Times;Serif" w:hAnsi="Times New Roman;Times;Serif"/>
          <w:b w:val="false"/>
          <w:i w:val="false"/>
          <w:caps w:val="false"/>
          <w:smallCaps w:val="false"/>
          <w:sz w:val="20"/>
        </w:rPr>
        <w:b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933" w:type="dxa"/>
        <w:jc w:val="left"/>
        <w:tblInd w:w="0" w:type="dxa"/>
        <w:tblLayout w:type="fixed"/>
        <w:tblCellMar>
          <w:top w:w="0" w:type="dxa"/>
          <w:left w:w="0" w:type="dxa"/>
          <w:bottom w:w="0" w:type="dxa"/>
          <w:right w:w="0" w:type="dxa"/>
        </w:tblCellMar>
      </w:tblPr>
      <w:tblGrid>
        <w:gridCol w:w="1202"/>
        <w:gridCol w:w="1218"/>
        <w:gridCol w:w="1399"/>
        <w:gridCol w:w="1399"/>
        <w:gridCol w:w="862"/>
        <w:gridCol w:w="853"/>
      </w:tblGrid>
      <w:tr>
        <w:trPr/>
        <w:tc>
          <w:tcPr>
            <w:tcW w:w="2420" w:type="dxa"/>
            <w:gridSpan w:val="2"/>
            <w:tcBorders/>
            <w:vAlign w:val="center"/>
          </w:tcPr>
          <w:p>
            <w:pPr>
              <w:pStyle w:val="TableContents"/>
              <w:bidi w:val="0"/>
              <w:spacing w:before="0" w:after="283"/>
              <w:jc w:val="center"/>
              <w:rPr>
                <w:sz w:val="20"/>
              </w:rPr>
            </w:pPr>
            <w:r>
              <w:rPr>
                <w:rFonts w:ascii="Times New Roman;Times;Serif" w:hAnsi="Times New Roman;Times;Serif"/>
                <w:b/>
                <w:sz w:val="20"/>
              </w:rPr>
              <w:t>Cayman Islands</w:t>
              <w:br/>
            </w:r>
            <w:r>
              <w:rPr>
                <w:sz w:val="20"/>
              </w:rPr>
              <w:t>(State or other jurisdiction</w:t>
              <w:br/>
              <w:t>of incorporation)</w:t>
            </w:r>
          </w:p>
        </w:tc>
        <w:tc>
          <w:tcPr>
            <w:tcW w:w="2798" w:type="dxa"/>
            <w:gridSpan w:val="2"/>
            <w:tcBorders/>
            <w:vAlign w:val="center"/>
          </w:tcPr>
          <w:p>
            <w:pPr>
              <w:pStyle w:val="TableContents"/>
              <w:bidi w:val="0"/>
              <w:spacing w:before="0" w:after="283"/>
              <w:jc w:val="center"/>
              <w:rPr>
                <w:sz w:val="20"/>
              </w:rPr>
            </w:pPr>
            <w:r>
              <w:rPr>
                <w:rFonts w:ascii="Times New Roman;Times;Serif" w:hAnsi="Times New Roman;Times;Serif"/>
                <w:b/>
                <w:sz w:val="20"/>
              </w:rPr>
              <w:t>001-42629</w:t>
              <w:br/>
            </w:r>
            <w:r>
              <w:rPr>
                <w:sz w:val="20"/>
              </w:rPr>
              <w:t>(Commission File Number)</w:t>
            </w:r>
          </w:p>
        </w:tc>
        <w:tc>
          <w:tcPr>
            <w:tcW w:w="1715" w:type="dxa"/>
            <w:gridSpan w:val="2"/>
            <w:tcBorders/>
            <w:vAlign w:val="center"/>
          </w:tcPr>
          <w:p>
            <w:pPr>
              <w:pStyle w:val="TableContents"/>
              <w:bidi w:val="0"/>
              <w:spacing w:before="0" w:after="283"/>
              <w:jc w:val="center"/>
              <w:rPr>
                <w:sz w:val="20"/>
              </w:rPr>
            </w:pPr>
            <w:r>
              <w:rPr>
                <w:rFonts w:ascii="Times New Roman;Times;Serif" w:hAnsi="Times New Roman;Times;Serif"/>
                <w:b/>
                <w:sz w:val="20"/>
              </w:rPr>
              <w:t>N/A</w:t>
            </w:r>
            <w:r>
              <w:rPr>
                <w:b/>
                <w:sz w:val="20"/>
              </w:rPr>
              <w:br/>
            </w:r>
            <w:r>
              <w:rPr>
                <w:sz w:val="20"/>
              </w:rPr>
              <w:t>(I.R.S. Employer</w:t>
              <w:br/>
              <w:t>Identification No.)</w:t>
            </w:r>
          </w:p>
        </w:tc>
      </w:tr>
      <w:tr>
        <w:trPr/>
        <w:tc>
          <w:tcPr>
            <w:tcW w:w="2420" w:type="dxa"/>
            <w:gridSpan w:val="2"/>
            <w:tcBorders/>
            <w:vAlign w:val="center"/>
          </w:tcPr>
          <w:p>
            <w:pPr>
              <w:pStyle w:val="TableContents"/>
              <w:bidi w:val="0"/>
              <w:spacing w:before="0" w:after="283"/>
              <w:jc w:val="center"/>
              <w:rPr/>
            </w:pPr>
            <w:r>
              <w:rPr/>
              <w:t> </w:t>
            </w:r>
          </w:p>
        </w:tc>
        <w:tc>
          <w:tcPr>
            <w:tcW w:w="2798" w:type="dxa"/>
            <w:gridSpan w:val="2"/>
            <w:tcBorders/>
            <w:vAlign w:val="center"/>
          </w:tcPr>
          <w:p>
            <w:pPr>
              <w:pStyle w:val="TableContents"/>
              <w:bidi w:val="0"/>
              <w:spacing w:before="0" w:after="283"/>
              <w:jc w:val="center"/>
              <w:rPr/>
            </w:pPr>
            <w:r>
              <w:rPr/>
              <w:t> </w:t>
            </w:r>
          </w:p>
        </w:tc>
        <w:tc>
          <w:tcPr>
            <w:tcW w:w="1715" w:type="dxa"/>
            <w:gridSpan w:val="2"/>
            <w:tcBorders/>
            <w:vAlign w:val="center"/>
          </w:tcPr>
          <w:p>
            <w:pPr>
              <w:pStyle w:val="TableContents"/>
              <w:bidi w:val="0"/>
              <w:spacing w:before="0" w:after="283"/>
              <w:jc w:val="center"/>
              <w:rPr/>
            </w:pPr>
            <w:r>
              <w:rPr/>
              <w:t> </w:t>
            </w:r>
          </w:p>
        </w:tc>
      </w:tr>
      <w:tr>
        <w:trPr/>
        <w:tc>
          <w:tcPr>
            <w:tcW w:w="3819" w:type="dxa"/>
            <w:gridSpan w:val="3"/>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505 Fifth Avenue, 15th Floor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3114" w:type="dxa"/>
            <w:gridSpan w:val="3"/>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10017</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r>
        <w:trPr/>
        <w:tc>
          <w:tcPr>
            <w:tcW w:w="3819" w:type="dxa"/>
            <w:gridSpan w:val="3"/>
            <w:tcBorders/>
            <w:vAlign w:val="center"/>
          </w:tcPr>
          <w:p>
            <w:pPr>
              <w:pStyle w:val="TableContents"/>
              <w:bidi w:val="0"/>
              <w:spacing w:before="0" w:after="283"/>
              <w:jc w:val="left"/>
              <w:rPr/>
            </w:pPr>
            <w:r>
              <w:rPr/>
              <w:t> </w:t>
            </w:r>
          </w:p>
        </w:tc>
        <w:tc>
          <w:tcPr>
            <w:tcW w:w="3114" w:type="dxa"/>
            <w:gridSpan w:val="3"/>
            <w:tcBorders/>
            <w:vAlign w:val="center"/>
          </w:tcPr>
          <w:p>
            <w:pPr>
              <w:pStyle w:val="TableContents"/>
              <w:bidi w:val="0"/>
              <w:spacing w:before="0" w:after="283"/>
              <w:jc w:val="left"/>
              <w:rPr/>
            </w:pPr>
            <w:r>
              <w:rPr/>
              <w:t> </w:t>
            </w:r>
          </w:p>
        </w:tc>
      </w:tr>
      <w:tr>
        <w:trPr/>
        <w:tc>
          <w:tcPr>
            <w:tcW w:w="1202" w:type="dxa"/>
            <w:tcBorders/>
            <w:vAlign w:val="center"/>
          </w:tcPr>
          <w:p>
            <w:pPr>
              <w:pStyle w:val="TableContents"/>
              <w:bidi w:val="0"/>
              <w:spacing w:before="0" w:after="283"/>
              <w:jc w:val="left"/>
              <w:rPr/>
            </w:pPr>
            <w:r>
              <w:rPr/>
              <w:t> </w:t>
            </w:r>
          </w:p>
        </w:tc>
        <w:tc>
          <w:tcPr>
            <w:tcW w:w="4878" w:type="dxa"/>
            <w:gridSpan w:val="4"/>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(212) 461-6363</w:t>
            </w:r>
            <w:r>
              <w:rPr>
                <w:rFonts w:ascii="Times New Roman;Times;Serif" w:hAnsi="Times New Roman;Times;Serif"/>
                <w:b w:val="false"/>
                <w:i w:val="false"/>
                <w:caps w:val="false"/>
                <w:smallCaps w:val="false"/>
                <w:sz w:val="20"/>
              </w:rPr>
              <w:br/>
              <w:t>(Registrant’s telephone number, including area code)</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 Applicable</w:t>
            </w:r>
            <w:r>
              <w:rPr>
                <w:rFonts w:ascii="Times New Roman;Times;Serif" w:hAnsi="Times New Roman;Times;Serif"/>
                <w:b w:val="false"/>
                <w:i w:val="false"/>
                <w:caps w:val="false"/>
                <w:smallCaps w:val="false"/>
                <w:sz w:val="20"/>
              </w:rPr>
              <w:br/>
              <w:t>(Former name or former address, if changed since last report)</w:t>
            </w:r>
          </w:p>
        </w:tc>
        <w:tc>
          <w:tcPr>
            <w:tcW w:w="853" w:type="dxa"/>
            <w:tcBorders/>
            <w:vAlign w:val="center"/>
          </w:tcPr>
          <w:p>
            <w:pPr>
              <w:pStyle w:val="TableContents"/>
              <w:bidi w:val="0"/>
              <w:spacing w:before="0" w:after="283"/>
              <w:jc w:val="left"/>
              <w:rPr/>
            </w:pPr>
            <w:r>
              <w:rPr/>
              <w:t> </w:t>
            </w:r>
          </w:p>
        </w:tc>
      </w:tr>
      <w:tr>
        <w:trPr/>
        <w:tc>
          <w:tcPr>
            <w:tcW w:w="1202"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before="0" w:after="283"/>
              <w:jc w:val="left"/>
              <w:rPr/>
            </w:pPr>
            <w:r>
              <w:rPr/>
              <w:t> </w:t>
            </w:r>
          </w:p>
        </w:tc>
        <w:tc>
          <w:tcPr>
            <w:tcW w:w="1399" w:type="dxa"/>
            <w:tcBorders/>
            <w:vAlign w:val="center"/>
          </w:tcPr>
          <w:p>
            <w:pPr>
              <w:pStyle w:val="TableContents"/>
              <w:bidi w:val="0"/>
              <w:spacing w:before="0" w:after="283"/>
              <w:jc w:val="left"/>
              <w:rPr/>
            </w:pPr>
            <w:r>
              <w:rPr/>
              <w:t> </w:t>
            </w:r>
          </w:p>
        </w:tc>
        <w:tc>
          <w:tcPr>
            <w:tcW w:w="1399"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Wingdings" w:hAnsi="Wingdings"/>
                <w:sz w:val="20"/>
              </w:rPr>
            </w:pPr>
            <w:r>
              <w:rPr>
                <w:rFonts w:ascii="Wingdings" w:hAnsi="Wingdings"/>
                <w:sz w:val="20"/>
              </w:rPr>
              <w:t>x</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002"/>
        <w:gridCol w:w="60"/>
        <w:gridCol w:w="827"/>
        <w:gridCol w:w="60"/>
        <w:gridCol w:w="2256"/>
      </w:tblGrid>
      <w:tr>
        <w:trPr/>
        <w:tc>
          <w:tcPr>
            <w:tcW w:w="7002"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27"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Trading </w:t>
              <w:br/>
              <w:t>Symbol(s)</w:t>
            </w:r>
          </w:p>
        </w:tc>
        <w:tc>
          <w:tcPr>
            <w:tcW w:w="60" w:type="dxa"/>
            <w:tcBorders/>
            <w:tcMar>
              <w:bottom w:w="0" w:type="dxa"/>
            </w:tcMar>
            <w:vAlign w:val="center"/>
          </w:tcPr>
          <w:p>
            <w:pPr>
              <w:pStyle w:val="TableContents"/>
              <w:bidi w:val="0"/>
              <w:spacing w:before="0" w:after="283"/>
              <w:jc w:val="center"/>
              <w:rPr/>
            </w:pPr>
            <w:r>
              <w:rPr/>
              <w:t> </w:t>
            </w:r>
          </w:p>
        </w:tc>
        <w:tc>
          <w:tcPr>
            <w:tcW w:w="2256"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w:t>
              <w:br/>
              <w:t xml:space="preserve">on </w:t>
              <w:br/>
              <w:t>which registered</w:t>
            </w:r>
          </w:p>
        </w:tc>
      </w:tr>
      <w:tr>
        <w:trPr/>
        <w:tc>
          <w:tcPr>
            <w:tcW w:w="7002"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Units, each consisting of one Class A ordinary share and one-half of one redeemable warrant</w:t>
            </w:r>
          </w:p>
        </w:tc>
        <w:tc>
          <w:tcPr>
            <w:tcW w:w="60" w:type="dxa"/>
            <w:tcBorders/>
            <w:tcMar>
              <w:bottom w:w="0" w:type="dxa"/>
            </w:tcMar>
            <w:vAlign w:val="center"/>
          </w:tcPr>
          <w:p>
            <w:pPr>
              <w:pStyle w:val="TableContents"/>
              <w:bidi w:val="0"/>
              <w:spacing w:before="0" w:after="283"/>
              <w:jc w:val="both"/>
              <w:rPr/>
            </w:pPr>
            <w:r>
              <w:rPr/>
              <w:t> </w:t>
            </w:r>
          </w:p>
        </w:tc>
        <w:tc>
          <w:tcPr>
            <w:tcW w:w="827"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CGCTU</w:t>
            </w:r>
          </w:p>
        </w:tc>
        <w:tc>
          <w:tcPr>
            <w:tcW w:w="60" w:type="dxa"/>
            <w:tcBorders/>
            <w:tcMar>
              <w:bottom w:w="0" w:type="dxa"/>
            </w:tcMar>
            <w:vAlign w:val="center"/>
          </w:tcPr>
          <w:p>
            <w:pPr>
              <w:pStyle w:val="TableContents"/>
              <w:bidi w:val="0"/>
              <w:spacing w:before="0" w:after="283"/>
              <w:jc w:val="center"/>
              <w:rPr/>
            </w:pPr>
            <w:r>
              <w:rPr/>
              <w:t> </w:t>
            </w:r>
          </w:p>
        </w:tc>
        <w:tc>
          <w:tcPr>
            <w:tcW w:w="2256"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The Nasdaq Stock Market LLC</w:t>
            </w:r>
          </w:p>
        </w:tc>
      </w:tr>
      <w:tr>
        <w:trPr/>
        <w:tc>
          <w:tcPr>
            <w:tcW w:w="7002"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 ordinary shares, par value $0.0001 per share</w:t>
            </w:r>
          </w:p>
        </w:tc>
        <w:tc>
          <w:tcPr>
            <w:tcW w:w="60" w:type="dxa"/>
            <w:tcBorders/>
            <w:tcMar>
              <w:bottom w:w="0" w:type="dxa"/>
            </w:tcMar>
            <w:vAlign w:val="center"/>
          </w:tcPr>
          <w:p>
            <w:pPr>
              <w:pStyle w:val="TableContents"/>
              <w:bidi w:val="0"/>
              <w:spacing w:before="0" w:after="283"/>
              <w:jc w:val="left"/>
              <w:rPr/>
            </w:pPr>
            <w:r>
              <w:rPr/>
              <w:t> </w:t>
            </w:r>
          </w:p>
        </w:tc>
        <w:tc>
          <w:tcPr>
            <w:tcW w:w="827"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CGCT</w:t>
            </w:r>
          </w:p>
        </w:tc>
        <w:tc>
          <w:tcPr>
            <w:tcW w:w="60" w:type="dxa"/>
            <w:tcBorders/>
            <w:tcMar>
              <w:bottom w:w="0" w:type="dxa"/>
            </w:tcMar>
            <w:vAlign w:val="center"/>
          </w:tcPr>
          <w:p>
            <w:pPr>
              <w:pStyle w:val="TableContents"/>
              <w:bidi w:val="0"/>
              <w:spacing w:before="0" w:after="283"/>
              <w:jc w:val="center"/>
              <w:rPr/>
            </w:pPr>
            <w:r>
              <w:rPr/>
              <w:t> </w:t>
            </w:r>
          </w:p>
        </w:tc>
        <w:tc>
          <w:tcPr>
            <w:tcW w:w="2256"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The Nasdaq Stock Market LLC</w:t>
            </w:r>
          </w:p>
        </w:tc>
      </w:tr>
      <w:tr>
        <w:trPr/>
        <w:tc>
          <w:tcPr>
            <w:tcW w:w="7002"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Warrants, each whole warrant exercisable for one Class A ordinary share at an exercise price of $11.50</w:t>
            </w:r>
          </w:p>
        </w:tc>
        <w:tc>
          <w:tcPr>
            <w:tcW w:w="60" w:type="dxa"/>
            <w:tcBorders/>
            <w:tcMar>
              <w:bottom w:w="0" w:type="dxa"/>
            </w:tcMar>
            <w:vAlign w:val="center"/>
          </w:tcPr>
          <w:p>
            <w:pPr>
              <w:pStyle w:val="TableContents"/>
              <w:bidi w:val="0"/>
              <w:spacing w:before="0" w:after="283"/>
              <w:jc w:val="both"/>
              <w:rPr/>
            </w:pPr>
            <w:r>
              <w:rPr/>
              <w:t> </w:t>
            </w:r>
          </w:p>
        </w:tc>
        <w:tc>
          <w:tcPr>
            <w:tcW w:w="827"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CGCTW</w:t>
            </w:r>
          </w:p>
        </w:tc>
        <w:tc>
          <w:tcPr>
            <w:tcW w:w="60" w:type="dxa"/>
            <w:tcBorders/>
            <w:tcMar>
              <w:bottom w:w="0" w:type="dxa"/>
            </w:tcMar>
            <w:vAlign w:val="center"/>
          </w:tcPr>
          <w:p>
            <w:pPr>
              <w:pStyle w:val="TableContents"/>
              <w:bidi w:val="0"/>
              <w:spacing w:before="0" w:after="283"/>
              <w:jc w:val="center"/>
              <w:rPr/>
            </w:pPr>
            <w:r>
              <w:rPr/>
              <w:t> </w:t>
            </w:r>
          </w:p>
        </w:tc>
        <w:tc>
          <w:tcPr>
            <w:tcW w:w="2256"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830"/>
        <w:gridCol w:w="3695"/>
      </w:tblGrid>
      <w:tr>
        <w:trPr/>
        <w:tc>
          <w:tcPr>
            <w:tcW w:w="830" w:type="dxa"/>
            <w:tcBorders/>
            <w:vAlign w:val="center"/>
          </w:tcPr>
          <w:p>
            <w:pPr>
              <w:pStyle w:val="TableContents"/>
              <w:bidi w:val="0"/>
              <w:spacing w:before="0" w:after="283"/>
              <w:jc w:val="left"/>
              <w:rPr>
                <w:b/>
                <w:sz w:val="20"/>
              </w:rPr>
            </w:pPr>
            <w:r>
              <w:rPr>
                <w:b/>
                <w:sz w:val="20"/>
              </w:rPr>
              <w:t>Item 1.01</w:t>
            </w:r>
          </w:p>
        </w:tc>
        <w:tc>
          <w:tcPr>
            <w:tcW w:w="3695" w:type="dxa"/>
            <w:tcBorders/>
            <w:vAlign w:val="center"/>
          </w:tcPr>
          <w:p>
            <w:pPr>
              <w:pStyle w:val="TableContents"/>
              <w:bidi w:val="0"/>
              <w:spacing w:before="0" w:after="283"/>
              <w:jc w:val="both"/>
              <w:rPr>
                <w:b/>
                <w:sz w:val="20"/>
              </w:rPr>
            </w:pPr>
            <w:r>
              <w:rPr>
                <w:b/>
                <w:sz w:val="20"/>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to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on a Current Report on Form 8-K of Cartesian Growth Corporation III, a Cayman Islands exempted company (“Cartesian III”), filed with the U.S. Securities and Exchange Commission (the “SEC”) on December 18, 2025 (the “Prior 8-K”), Cartesian III announced that it had entered into a business combination agreement, dated December 17, 2025 (the “Business Combination Agreement” and, the transactions described within, the “Business Combination”), with Fenway MS, Inc., a Delaware corporation (“Merger Sub”), and Factorial Inc., a Delaware corporation (“Factorial”). Capitalized terms used but not expressly defined in this Current Report on Form 8-K shall have the meanings ascribed to them in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2026, Cartesian III, Merger Sub and Factorial entered into an Amendment to the Business Combination Agreement (the “BCA Amendment”). The BCA Amendment, among other things, (A) amends the sixth paragraph of the Preamble and inserts a new clause (a) into Section 2.1 of the Business Combination Agreement to provide that the CGC Shareholder Redemption shall occur at least one day prior to the Domestication, thereby clarifying the timing and sequencing of the Shareholder Redemption relative to the Domestication; (B) amends certain definitions, including the definition of “Ancillary Documents” to remove references to the CGC Private Warrant Exchange Agreement, the definition of “Company Convertible Notes” to mean any convertible note or other equity-linked debt instrument convertible into Equity Securities of the Company or any of its subsidiaries outstanding as of the Merger Effective Time; (C) amends clause (b)(iii) of Section 5.8 of the Business Combination Agreement to bifurcate the previously singular “Nasdaq Proposal” into two distinct proposals to be submitted to Cartesian III’s shareholders for approval: (i) the adoption and approval of the issuance of CGC Shares in connection with the transactions contemplated by the Business Combination Agreement and (ii) the adoption and approval of the issuance of CGC Shares in connection with the PIPE Financing, and consequently update the definition of “Nasdaq Proposal” to read “Nasdaq Proposals;” and (D) amend and restate Sections 5.21 and 5.22 of the Business Combination Agreement to remove the provisions related to the CGC Public Warrants Exchange and the CGC Private Warrants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BCA Amendment does not purport to be complete and is qualified in its entirety by reference to the full text of the BCA Amendment, a copy of which is attached hereto as Exhibit 2.1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to Sponsor Support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on the Prior 8-K, Cartesian III announced that it had entered into a sponsor support agreement, dated December 17, 2025 (the “Sponsor Support Agreement”), with CGC III Sponsor LLC, a Cayman Islands exempted limited company (the “Sponsor”), and Factorial.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2026, Sponsor and Factorial entered into an Amendment to the Sponsor Support Agreement (the “SSA Amendment”). The SSA Amendment (a) deletes the provision in Section 1 of the Sponsor Support Agreement that required the Sponsor, until the closing of the Business Combination or the earlier termination of the Business Combination Agreement, to cause all of its CGC Private Warrants to be present for quorum purposes at any meeting or written consent of the Cartesian III warrant holders and to vote or consent such warrants in favor of the Warrant Amendment; and (b) amends and restates Section 2 of the Sponsor Support Agreement in its entirety to read “[Reserved.],” thereby removing the provisions relating to the CGC Private Warrant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SSA Amendment does not purport to be complete and is qualified in its entirety by reference to the full text of the SSA Amendment, a copy of which is attached hereto as Exhibit 10.1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includes forward-looking statements.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These forward-looking statements may include, but are not limited to, statements regarding future events or the future financial or operating performance of Factorial or Cartesian III. For example, projections of Factorial’s future financial performance, manufacturing capabilities and operations, Factorial’s business plans, and other projections concerning key performance metrics or milestones are forward-looking statements. Such forward-looking statements are subject to risks, uncertainties, and other factors which could cause actual results to differ materially from those expressed or implied by such forward-looking statements. These forward-looking statements should not be relied upon as representing Cartesian III’s and Factorial’s assessments as of any date subsequent to the date of this Current Report on Form 8-K. Accordingly, undue reliance should not be placed upon the forward-looking statements. Neither Cartesian III, Factorial nor any of their respective affiliates undertake any obligation to update these forward-looking statements,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about the Business Combination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relates to the proposed business combination between Factorial and Cartesian III pursuant to that certain Business Combination Agreement, dated as of December 17, 2025, by and among Cartesian III, Fenway MS, Inc., a Delaware corporation, and Factorial. The proposed Business Combination will be submitted to shareholders of Cartesian III for their consideration. Cartesian III and Factorial intend to file a registration statement on Form S-4 with the Securities and Exchange Commission (“SEC”), which will include a definitive proxy statement to be distributed to Cartesian III’s shareholders in connection with Cartesian III’s solicitations of proxies from its shareholders with respect to the proposed business combination and other matters to be described in the Form S-4, as well as the prospectus relating to the offer of the securities to be issued to the stockholders of Factorial in connection with the completion of the proposed Business Combination. After that registration statement has been filed and declared effective, Cartesian III will mail a definitive proxy statement/prospectus and other relevant documents relating to the proposed Business Combination and other matters to be described in the registration statement to Factorial stockholders and Cartesian III shareholders as of a record date to be established for voting on the proposed Business Combination. Before making any voting or investment decision, Cartesian III shareholders, Factorial stockholders, and other interested persons are urged to read these documents and any amendments thereto, as well as any other relevant documents filed with the SEC by Cartesian III in connection with the proposed Business Combination and other matters to be described in those documents when they become available, because they will contain important information about Cartesian III, Factorial and the proposed Business Combination. Shareholders will also be able to obtain free copies of the preliminary proxy statement/prospectus, the definitive proxy statement/prospectus and other documents filed by Cartesian III with the SEC, once available, without charge, at the SEC’s website located at www.sec.gov, or by directing a written request to Cartesian Growth Corporation III, 505 Fifth Avenue, 15th Floor, New York, New York 10017.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Cartesian III, Factorial, and their respective directors and executive officers may be deemed to be participants in the solicitations of proxies from Cartesian III’s shareholders with respect to the proposed Business Combination and the other matters set forth in the proxy statement/prospectus. Information regarding Cartesian III’s directors and executive officers, and a description of their interests in Cartesian III is contained in Cartesian III’s final prospectus for its initial public offering filed with the SEC on May 5, 2025, which is available free of charge at the SEC’s website located at www.sec.gov, or by directing a request to Cartesian Growth Corporation III, 505 Fifth Avenue, 15th Floor, New York, New York 10017. Additional information regarding the interests of such participants in the proxy solicitation and a description of their direct and indirect interests, will be contained in the proxy statement/prospectus relating to the proposed Business Combination when it becomes available. Shareholders, potential investors and other interested persons should read the proxy statement/prospectus carefully when it becomes available before making any voting or investment decisions. You may obtain free copies of these documents from the sources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a substitute for the registration statement filed by Cartesian III or for any other document that Cartesian III and Factorial may file with the SEC in connection with the proposed Business Combination. INVESTORS AND SECURITY HOLDERS ARE URGED TO READ THE DOCUMENTS FILED WITH THE SEC CAREFULLY AND IN THEIR ENTIRETY WHEN THEY BECOME AVAILABLE BECAUSE THEY WILL CONTAIN IMPORTANT INFORMATION. Investors and security holders may obtain free copies of other documents filed with the SEC by Cartesian III, without charge, at the SEC’s website located at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shall not constitute an offer to sell, or the solicitation of an offer to buy, or a recommendation to purchase, any securities, in any jurisdiction, or the solicitation of any vote, consent or approval in any jurisdiction in connection with the proposed Business Combination or any related transactions, nor shall there be any sale of securities in any states or jurisdictions in which such offer, solicitation or sale would be unlawful. This communication is not, and under no circumstances is to be construed as, a prospectus, an advertisement or a public offering of the securities described herein in the United States or any other jurisdiction. No offer of securities shall be made except by means of a prospectus meeting the requirements of Section 10 of the Securities Act, or exemptions therefrom. INVESTMENT IN ANY SECURITIES DESCRIBED HEREIN HAS NOT BEEN APPROVED BY THE SEC OR ANY OTHER REGULATORY AUTHORITY NOR HAS ANY AUTHORITY PASSED UPON OR ENDORSED THE MERITS OF THE OFFERING OR THE ACCURACY OR ADEQUACY OF THE INFORMATION CONTAINED HEREIN.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b/>
                <w:sz w:val="20"/>
              </w:rPr>
            </w:pPr>
            <w:r>
              <w:rPr>
                <w:b/>
                <w:sz w:val="20"/>
              </w:rPr>
              <w:t>Item 9.01</w:t>
            </w:r>
          </w:p>
        </w:tc>
        <w:tc>
          <w:tcPr>
            <w:tcW w:w="2960" w:type="dxa"/>
            <w:tcBorders/>
            <w:vAlign w:val="center"/>
          </w:tcPr>
          <w:p>
            <w:pPr>
              <w:pStyle w:val="TableContents"/>
              <w:bidi w:val="0"/>
              <w:spacing w:before="0" w:after="283"/>
              <w:jc w:val="both"/>
              <w:rPr>
                <w:b/>
                <w:sz w:val="20"/>
              </w:rPr>
            </w:pPr>
            <w:r>
              <w:rPr>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bottom w:val="single" w:sz="8" w:space="0" w:color="000000"/>
            </w:tcBorders>
            <w:vAlign w:val="center"/>
          </w:tcPr>
          <w:p>
            <w:pPr>
              <w:pStyle w:val="TableContents"/>
              <w:bidi w:val="0"/>
              <w:spacing w:before="0" w:after="283"/>
              <w:jc w:val="center"/>
              <w:rPr>
                <w:b/>
                <w:sz w:val="20"/>
              </w:rPr>
            </w:pPr>
            <w:r>
              <w:rPr>
                <w:b/>
                <w:sz w:val="20"/>
              </w:rPr>
              <w:t>Description</w:t>
            </w:r>
          </w:p>
        </w:tc>
      </w:tr>
      <w:tr>
        <w:trPr/>
        <w:tc>
          <w:tcPr>
            <w:tcW w:w="725" w:type="dxa"/>
            <w:tcBorders/>
            <w:tcMar>
              <w:bottom w:w="0" w:type="dxa"/>
            </w:tcMar>
            <w:vAlign w:val="center"/>
          </w:tcPr>
          <w:p>
            <w:pPr>
              <w:pStyle w:val="TableContents"/>
              <w:bidi w:val="0"/>
              <w:spacing w:before="0" w:after="283"/>
              <w:jc w:val="center"/>
              <w:rPr/>
            </w:pPr>
            <w:hyperlink w:anchor="tm269874d1_ex2-1.htm">
              <w:r>
                <w:rPr>
                  <w:rStyle w:val="InternetLink"/>
                  <w:sz w:val="20"/>
                </w:rPr>
                <w:t>2.1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w:anchor="tm269874d1_ex2-1.htm">
              <w:r>
                <w:rPr>
                  <w:rStyle w:val="InternetLink"/>
                  <w:sz w:val="20"/>
                </w:rPr>
                <w:t>Amendment to Business Combination Agreement, dated as of March 26, 2026, by and among Cartesian Growth Corporation III, Fenway MS, Inc., and Factorial Inc.</w:t>
              </w:r>
            </w:hyperlink>
          </w:p>
        </w:tc>
      </w:tr>
      <w:tr>
        <w:trPr/>
        <w:tc>
          <w:tcPr>
            <w:tcW w:w="725" w:type="dxa"/>
            <w:tcBorders/>
            <w:tcMar>
              <w:bottom w:w="0" w:type="dxa"/>
            </w:tcMar>
            <w:vAlign w:val="center"/>
          </w:tcPr>
          <w:p>
            <w:pPr>
              <w:pStyle w:val="TableContents"/>
              <w:bidi w:val="0"/>
              <w:spacing w:before="0" w:after="283"/>
              <w:jc w:val="center"/>
              <w:rPr/>
            </w:pPr>
            <w:hyperlink w:anchor="tm269874d1_ex10-1.htm">
              <w:r>
                <w:rPr>
                  <w:rStyle w:val="InternetLink"/>
                  <w:sz w:val="20"/>
                </w:rPr>
                <w:t>10.1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w:anchor="tm269874d1_ex10-1.htm">
              <w:r>
                <w:rPr>
                  <w:rStyle w:val="InternetLink"/>
                  <w:sz w:val="20"/>
                </w:rPr>
                <w:t>Amendment to Sponsor Support Agreement, dated as of March 26, 2026, by and among CGC III Sponsor LLC and Factorial Inc.</w:t>
              </w:r>
            </w:hyperlink>
          </w:p>
        </w:tc>
      </w:tr>
      <w:tr>
        <w:trPr/>
        <w:tc>
          <w:tcPr>
            <w:tcW w:w="725" w:type="dxa"/>
            <w:tcBorders/>
            <w:tcMar>
              <w:bottom w:w="0" w:type="dxa"/>
            </w:tcMar>
            <w:vAlign w:val="center"/>
          </w:tcPr>
          <w:p>
            <w:pPr>
              <w:pStyle w:val="TableContents"/>
              <w:bidi w:val="0"/>
              <w:spacing w:before="0" w:after="283"/>
              <w:jc w:val="center"/>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sz w:val="20"/>
              </w:rPr>
            </w:pPr>
            <w:r>
              <w:rPr>
                <w:sz w:val="20"/>
              </w:rPr>
              <w:t>Cover Page Interactive Data File, formatted in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024" w:type="dxa"/>
        <w:jc w:val="left"/>
        <w:tblInd w:w="0" w:type="dxa"/>
        <w:tblLayout w:type="fixed"/>
        <w:tblCellMar>
          <w:top w:w="0" w:type="dxa"/>
          <w:left w:w="0" w:type="dxa"/>
          <w:bottom w:w="0" w:type="dxa"/>
          <w:right w:w="0" w:type="dxa"/>
        </w:tblCellMar>
      </w:tblPr>
      <w:tblGrid>
        <w:gridCol w:w="477"/>
        <w:gridCol w:w="3472"/>
        <w:gridCol w:w="75"/>
      </w:tblGrid>
      <w:tr>
        <w:trPr/>
        <w:tc>
          <w:tcPr>
            <w:tcW w:w="3949" w:type="dxa"/>
            <w:gridSpan w:val="2"/>
            <w:tcBorders/>
            <w:vAlign w:val="center"/>
          </w:tcPr>
          <w:p>
            <w:pPr>
              <w:pStyle w:val="TableContents"/>
              <w:bidi w:val="0"/>
              <w:spacing w:before="0" w:after="283"/>
              <w:jc w:val="left"/>
              <w:rPr/>
            </w:pPr>
            <w:r>
              <w:rPr>
                <w:rFonts w:ascii="Times New Roman;Times;Serif" w:hAnsi="Times New Roman;Times;Serif"/>
                <w:b/>
                <w:caps/>
                <w:sz w:val="20"/>
              </w:rPr>
              <w:t>Cartesian Growth Corporation III</w:t>
            </w:r>
            <w:r>
              <w:rPr/>
              <w:t> </w:t>
            </w:r>
          </w:p>
        </w:tc>
        <w:tc>
          <w:tcPr>
            <w:tcW w:w="75" w:type="dxa"/>
            <w:tcBorders/>
            <w:vAlign w:val="center"/>
          </w:tcPr>
          <w:p>
            <w:pPr>
              <w:pStyle w:val="TableContents"/>
              <w:bidi w:val="0"/>
              <w:spacing w:before="0" w:after="283"/>
              <w:jc w:val="left"/>
              <w:rPr/>
            </w:pPr>
            <w:r>
              <w:rPr/>
              <w:t> </w:t>
            </w:r>
          </w:p>
        </w:tc>
      </w:tr>
      <w:tr>
        <w:trPr/>
        <w:tc>
          <w:tcPr>
            <w:tcW w:w="477" w:type="dxa"/>
            <w:tcBorders/>
            <w:vAlign w:val="center"/>
          </w:tcPr>
          <w:p>
            <w:pPr>
              <w:pStyle w:val="TableContents"/>
              <w:bidi w:val="0"/>
              <w:spacing w:before="0" w:after="283"/>
              <w:jc w:val="left"/>
              <w:rPr/>
            </w:pPr>
            <w:r>
              <w:rPr/>
              <w:t> </w:t>
            </w:r>
          </w:p>
        </w:tc>
        <w:tc>
          <w:tcPr>
            <w:tcW w:w="347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47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Peter Yu</w:t>
            </w:r>
          </w:p>
        </w:tc>
        <w:tc>
          <w:tcPr>
            <w:tcW w:w="75" w:type="dxa"/>
            <w:tcBorders/>
            <w:vAlign w:val="center"/>
          </w:tcPr>
          <w:p>
            <w:pPr>
              <w:pStyle w:val="TableContents"/>
              <w:bidi w:val="0"/>
              <w:spacing w:before="0" w:after="283"/>
              <w:jc w:val="left"/>
              <w:rPr/>
            </w:pPr>
            <w:r>
              <w:rPr/>
              <w:t> </w:t>
            </w:r>
          </w:p>
        </w:tc>
      </w:tr>
      <w:tr>
        <w:trPr/>
        <w:tc>
          <w:tcPr>
            <w:tcW w:w="477" w:type="dxa"/>
            <w:tcBorders/>
            <w:vAlign w:val="center"/>
          </w:tcPr>
          <w:p>
            <w:pPr>
              <w:pStyle w:val="TableContents"/>
              <w:bidi w:val="0"/>
              <w:spacing w:before="0" w:after="283"/>
              <w:jc w:val="left"/>
              <w:rPr/>
            </w:pPr>
            <w:r>
              <w:rPr/>
              <w:t> </w:t>
            </w:r>
          </w:p>
        </w:tc>
        <w:tc>
          <w:tcPr>
            <w:tcW w:w="34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Peter Yu</w:t>
            </w:r>
          </w:p>
        </w:tc>
        <w:tc>
          <w:tcPr>
            <w:tcW w:w="75" w:type="dxa"/>
            <w:tcBorders/>
            <w:vAlign w:val="center"/>
          </w:tcPr>
          <w:p>
            <w:pPr>
              <w:pStyle w:val="TableContents"/>
              <w:bidi w:val="0"/>
              <w:spacing w:before="0" w:after="283"/>
              <w:jc w:val="left"/>
              <w:rPr/>
            </w:pPr>
            <w:r>
              <w:rPr/>
              <w:t> </w:t>
            </w:r>
          </w:p>
        </w:tc>
      </w:tr>
      <w:tr>
        <w:trPr/>
        <w:tc>
          <w:tcPr>
            <w:tcW w:w="477" w:type="dxa"/>
            <w:tcBorders/>
            <w:vAlign w:val="center"/>
          </w:tcPr>
          <w:p>
            <w:pPr>
              <w:pStyle w:val="TableContents"/>
              <w:bidi w:val="0"/>
              <w:spacing w:before="0" w:after="283"/>
              <w:jc w:val="left"/>
              <w:rPr/>
            </w:pPr>
            <w:r>
              <w:rPr/>
              <w:t> </w:t>
            </w:r>
          </w:p>
        </w:tc>
        <w:tc>
          <w:tcPr>
            <w:tcW w:w="34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9874d1_ex2-1.htm"/>
      <w:bookmarkStart w:id="3" w:name="kstm269874d1_ex21"/>
      <w:bookmarkEnd w:id="2"/>
      <w:bookmarkEnd w:id="3"/>
      <w:r>
        <w:rPr/>
        <w:t> </w:t>
      </w:r>
      <w:r>
        <w:br w:type="page"/>
      </w:r>
    </w:p>
    <w:p>
      <w:pPr>
        <w:pStyle w:val="TextBody"/>
        <w:bidi w:val="0"/>
        <w:jc w:val="right"/>
        <w:rPr>
          <w:b/>
        </w:rPr>
      </w:pPr>
      <w:r>
        <w:rPr>
          <w:b/>
        </w:rPr>
        <w:t>Exhibit 2.1</w:t>
      </w:r>
    </w:p>
    <w:p>
      <w:pPr>
        <w:pStyle w:val="TextBody"/>
        <w:bidi w:val="0"/>
        <w:spacing w:before="0" w:after="283"/>
        <w:jc w:val="left"/>
        <w:rPr/>
      </w:pPr>
      <w:r>
        <w:rPr/>
        <w:t> </w:t>
      </w:r>
    </w:p>
    <w:p>
      <w:pPr>
        <w:pStyle w:val="TextBody"/>
        <w:shd w:fill="FFFFFF" w:val="clear"/>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amendMENT</w:t>
      </w:r>
    </w:p>
    <w:p>
      <w:pPr>
        <w:pStyle w:val="TextBody"/>
        <w:shd w:fill="FFFFFF" w:val="clear"/>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to THE</w:t>
      </w:r>
    </w:p>
    <w:p>
      <w:pPr>
        <w:pStyle w:val="TextBody"/>
        <w:shd w:fill="FFFFFF" w:val="clear"/>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BUSINESS COMBINATION AGREEMENT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rPr>
      </w:pPr>
      <w:r>
        <w:rPr>
          <w:caps/>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(this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dated as of March 26, 2026, to the Business Combination Agreement, dated as of December 17, 2025 (the “</w:t>
      </w:r>
      <w:r>
        <w:rPr>
          <w:rFonts w:ascii="Times New Roman;Times;Serif" w:hAnsi="Times New Roman;Times;Serif"/>
          <w:b w:val="false"/>
          <w:i w:val="false"/>
          <w:caps w:val="false"/>
          <w:smallCaps w:val="false"/>
          <w:sz w:val="20"/>
          <w:u w:val="single"/>
        </w:rPr>
        <w:t>Business Combination Agreement</w:t>
      </w:r>
      <w:r>
        <w:rPr>
          <w:rFonts w:ascii="Times New Roman;Times;Serif" w:hAnsi="Times New Roman;Times;Serif"/>
          <w:b w:val="false"/>
          <w:i w:val="false"/>
          <w:caps w:val="false"/>
          <w:smallCaps w:val="false"/>
          <w:sz w:val="20"/>
        </w:rPr>
        <w:t>”), is by and among Cartesian Growth Corporation III, a Cayman Islands exempted company (“</w:t>
      </w:r>
      <w:r>
        <w:rPr>
          <w:rFonts w:ascii="Times New Roman;Times;Serif" w:hAnsi="Times New Roman;Times;Serif"/>
          <w:b w:val="false"/>
          <w:i w:val="false"/>
          <w:caps w:val="false"/>
          <w:smallCaps w:val="false"/>
          <w:sz w:val="20"/>
          <w:u w:val="single"/>
        </w:rPr>
        <w:t>CGC</w:t>
      </w:r>
      <w:r>
        <w:rPr>
          <w:rFonts w:ascii="Times New Roman;Times;Serif" w:hAnsi="Times New Roman;Times;Serif"/>
          <w:b w:val="false"/>
          <w:i w:val="false"/>
          <w:caps w:val="false"/>
          <w:smallCaps w:val="false"/>
          <w:sz w:val="20"/>
        </w:rPr>
        <w:t>”), Fenway MS, Inc., a Delaware corporation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and Factorial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Each of CGC, Merger Sub and the Company shall individually be referred to herein as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Capitalized terms not otherwise defined in this Amendment have the meanings given such terms in the Business Combination Agreement.</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8.3 of the Business Combination Agreement provides for the amendment of the Business Combination Agreement in accordance with the terms set forth therein; and</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desire to amend the Business Combination Agreement as set forth below.</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mutual covenants and agreements herein contained, and intending to be legally bound hereby, the Parties hereby agree as follows:</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AMENDMENTS TO THE BUSINESS COMBINATION AGREEMENT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sixth paragraph of the Preamble to the Business Combination Agreement is hereby amended and restated in its entirety to read as follows:</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WHEREAS, at least one day prior to the Domestication, the CGC Shareholder Redemption shall occur.”</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eleventh paragraph of the Preamble to the Business Combination Agreement is hereby amended and restated in its entirety to read as follows:</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WHEREAS, at the Closing, CGC, certain CGC Shareholders, Cantor Fitzgerald &amp; Co. (“</w:t>
      </w:r>
      <w:r>
        <w:rPr>
          <w:rFonts w:ascii="Times New Roman;Times;Serif" w:hAnsi="Times New Roman;Times;Serif"/>
          <w:b/>
          <w:i/>
          <w:caps w:val="false"/>
          <w:smallCaps w:val="false"/>
          <w:sz w:val="20"/>
        </w:rPr>
        <w:t>Cantor</w:t>
      </w:r>
      <w:r>
        <w:rPr>
          <w:rFonts w:ascii="Times New Roman;Times;Serif" w:hAnsi="Times New Roman;Times;Serif"/>
          <w:b w:val="false"/>
          <w:i w:val="false"/>
          <w:caps w:val="false"/>
          <w:smallCaps w:val="false"/>
          <w:sz w:val="20"/>
        </w:rPr>
        <w:t>”), and certain stockholders of the Company will enter into an Amended and Restated Registration Rights Agreement, substantially in the form attached hereto as </w:t>
      </w:r>
      <w:r>
        <w:rPr>
          <w:rFonts w:ascii="Times New Roman;Times;Serif" w:hAnsi="Times New Roman;Times;Serif"/>
          <w:b/>
          <w:i w:val="false"/>
          <w:caps w:val="false"/>
          <w:smallCaps w:val="false"/>
          <w:sz w:val="20"/>
        </w:rPr>
        <w:t>Exhibit C </w:t>
      </w:r>
      <w:r>
        <w:rPr>
          <w:rFonts w:ascii="Times New Roman;Times;Serif" w:hAnsi="Times New Roman;Times;Serif"/>
          <w:b w:val="false"/>
          <w:i w:val="false"/>
          <w:caps w:val="false"/>
          <w:smallCaps w:val="false"/>
          <w:sz w:val="20"/>
        </w:rPr>
        <w:t>(the “</w:t>
      </w:r>
      <w:r>
        <w:rPr>
          <w:rFonts w:ascii="Times New Roman;Times;Serif" w:hAnsi="Times New Roman;Times;Serif"/>
          <w:b/>
          <w:i/>
          <w:caps w:val="false"/>
          <w:smallCaps w:val="false"/>
          <w:sz w:val="20"/>
        </w:rPr>
        <w:t>Registration Rights Agreement</w:t>
      </w:r>
      <w:r>
        <w:rPr>
          <w:rFonts w:ascii="Times New Roman;Times;Serif" w:hAnsi="Times New Roman;Times;Serif"/>
          <w:b w:val="false"/>
          <w:i w:val="false"/>
          <w:caps w:val="false"/>
          <w:smallCaps w:val="false"/>
          <w:sz w:val="20"/>
        </w:rPr>
        <w:t>”), pursuant to which, among other things, the parties will be granted certain registration rights with respect to their respective CGC Shares, in each case, on the terms and subject to the conditions therein;”</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definition of “Ancillary Documents” set forth in Section 1.1 of the Business Combination Agreement is hereby amended and restated in its entirety to read as follows:</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Ancillary Documents</w:t>
      </w:r>
      <w:r>
        <w:rPr>
          <w:rFonts w:ascii="Times New Roman;Times;Serif" w:hAnsi="Times New Roman;Times;Serif"/>
          <w:b w:val="false"/>
          <w:i w:val="false"/>
          <w:caps w:val="false"/>
          <w:smallCaps w:val="false"/>
          <w:sz w:val="20"/>
        </w:rPr>
        <w:t>” means the (a) Registration Rights Agreement, (b) Sponsor Support Agreement, (c) Investor Stock Purchase Agreements, (d) Stockholder Support Agreements, and (e) each other agreement, document, instrument and/or certificate contemplated by this Agreement executed or to be executed in connection with the transactions contemplated hereby.”</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definition of “Company Convertible Notes” set forth in Section 1.1 of the Business Combination Agreement is hereby amended and restated in its entirety to read as follows:</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Company Convertible Notes</w:t>
      </w:r>
      <w:r>
        <w:rPr>
          <w:rFonts w:ascii="Times New Roman;Times;Serif" w:hAnsi="Times New Roman;Times;Serif"/>
          <w:b w:val="false"/>
          <w:i w:val="false"/>
          <w:caps w:val="false"/>
          <w:smallCaps w:val="false"/>
          <w:sz w:val="20"/>
        </w:rPr>
        <w:t>” means any convertible note or other equity-linked debt instrument convertible into Equity Securities of the Company or any of its subsidiaries outstanding as of the Merger Effective Time.”</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definition of “Required Transaction Proposals” set forth in Section 1.1 of the Business Combination Agreement is hereby amended and restated in its entirety to read as follows:</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Required Transaction Proposals</w:t>
      </w:r>
      <w:r>
        <w:rPr>
          <w:rFonts w:ascii="Times New Roman;Times;Serif" w:hAnsi="Times New Roman;Times;Serif"/>
          <w:b w:val="false"/>
          <w:i w:val="false"/>
          <w:caps w:val="false"/>
          <w:smallCaps w:val="false"/>
          <w:sz w:val="20"/>
        </w:rPr>
        <w:t>” means, collectively, the Business Combination Proposal, the Domestication Proposal, the Nasdaq Proposals, the Equity Incentive Plan Proposal and the Required Governing Document Proposals.”</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definition of “Nasdaq Proposal” set forth in Section 1.1 of the Business Combination Agreement is hereby amended and restated in its entirety to read as follows:</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Nasdaq Proposals</w:t>
      </w:r>
      <w:r>
        <w:rPr>
          <w:rFonts w:ascii="Times New Roman;Times;Serif" w:hAnsi="Times New Roman;Times;Serif"/>
          <w:b w:val="false"/>
          <w:i w:val="false"/>
          <w:caps w:val="false"/>
          <w:smallCaps w:val="false"/>
          <w:sz w:val="20"/>
        </w:rPr>
        <w:t>” has the meaning set forth in Section 5.8.”</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following clause (a) is hereby inserted into Section 2.1 of the Business Combination Agreement, directly following the preamble to such Section, and existing clauses (a) and (b) are hereby re-designated clauses (b) and (c) accordingly:</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Pre-Domestication Actions</w:t>
      </w:r>
      <w:r>
        <w:rPr>
          <w:rFonts w:ascii="Times New Roman;Times;Serif" w:hAnsi="Times New Roman;Times;Serif"/>
          <w:b w:val="false"/>
          <w:i w:val="false"/>
          <w:caps w:val="false"/>
          <w:smallCaps w:val="false"/>
          <w:sz w:val="20"/>
        </w:rPr>
        <w:t>. Upon the terms and subject to the conditions set forth in this Agreement, at least one day prior to the Domestication the CGC Shareholder Redemption shall occur upon the delivery of instructions by CGC to the Transfer Agent to effectuate the Shareholder Redemption, at which time CGC’s obligation to complete the Shareholder Redemption shall become irrevocable.”</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Clause (b)(iii) of Section 5.8 of the Business Combination is hereby amended and restated in its entirety to read as follows:</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adoption and approval of the issuance of the CGC Shares in connection with the transactions contemplated by this Agreement (the “</w:t>
      </w:r>
      <w:r>
        <w:rPr>
          <w:rFonts w:ascii="Times New Roman;Times;Serif" w:hAnsi="Times New Roman;Times;Serif"/>
          <w:b/>
          <w:i/>
          <w:caps w:val="false"/>
          <w:smallCaps w:val="false"/>
          <w:sz w:val="20"/>
        </w:rPr>
        <w:t>BCA Stock Issuance Proposal</w:t>
      </w:r>
      <w:r>
        <w:rPr>
          <w:rFonts w:ascii="Times New Roman;Times;Serif" w:hAnsi="Times New Roman;Times;Serif"/>
          <w:b w:val="false"/>
          <w:i w:val="false"/>
          <w:caps w:val="false"/>
          <w:smallCaps w:val="false"/>
          <w:sz w:val="20"/>
        </w:rPr>
        <w:t>”) and the PIPE Financing (the “</w:t>
      </w:r>
      <w:r>
        <w:rPr>
          <w:rFonts w:ascii="Times New Roman;Times;Serif" w:hAnsi="Times New Roman;Times;Serif"/>
          <w:b/>
          <w:i/>
          <w:caps w:val="false"/>
          <w:smallCaps w:val="false"/>
          <w:sz w:val="20"/>
        </w:rPr>
        <w:t>PIPE Stock Issuance Proposal</w:t>
      </w:r>
      <w:r>
        <w:rPr>
          <w:rFonts w:ascii="Times New Roman;Times;Serif" w:hAnsi="Times New Roman;Times;Serif"/>
          <w:b w:val="false"/>
          <w:i w:val="false"/>
          <w:caps w:val="false"/>
          <w:smallCaps w:val="false"/>
          <w:sz w:val="20"/>
        </w:rPr>
        <w:t>”) as required by Nasdaq listing requirements (each such proposal, a “</w:t>
      </w:r>
      <w:r>
        <w:rPr>
          <w:rFonts w:ascii="Times New Roman;Times;Serif" w:hAnsi="Times New Roman;Times;Serif"/>
          <w:b/>
          <w:i/>
          <w:caps w:val="false"/>
          <w:smallCaps w:val="false"/>
          <w:sz w:val="20"/>
        </w:rPr>
        <w:t>Nasdaq Proposal</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caps w:val="false"/>
          <w:smallCaps w:val="false"/>
          <w:sz w:val="20"/>
        </w:rPr>
        <w:t>Nasdaq Proposals</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Section 5.21 of the Business Combination Agreement is hereby amended and restated in its entirety to read as follows:</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[Reserved.]”</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Section 5.22 of the Business Combination Agreement is hereby amended and restated in its entirety to read as follows:</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[Reserved.]”</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MISCELLANEOUS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No Further Amendment</w:t>
      </w:r>
      <w:r>
        <w:rPr>
          <w:rFonts w:ascii="Times New Roman;Times;Serif" w:hAnsi="Times New Roman;Times;Serif"/>
          <w:b w:val="false"/>
          <w:i w:val="false"/>
          <w:caps w:val="false"/>
          <w:smallCaps w:val="false"/>
          <w:sz w:val="20"/>
        </w:rPr>
        <w:t>. Except as expressly amended hereby, the Business Combination Agreement is in all respects ratified and confirmed and all the terms, conditions, and provisions thereof shall remain in full force and effect. This Amendment is limited precisely as written and shall not be deemed to be an amendment to any other term or condition of the Business Combination Agreement or any of the documents referred to therein.</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Effect of Amendment</w:t>
      </w:r>
      <w:r>
        <w:rPr>
          <w:rFonts w:ascii="Times New Roman;Times;Serif" w:hAnsi="Times New Roman;Times;Serif"/>
          <w:b w:val="false"/>
          <w:i w:val="false"/>
          <w:caps w:val="false"/>
          <w:smallCaps w:val="false"/>
          <w:sz w:val="20"/>
        </w:rPr>
        <w:t>. This Amendment shall form a part of the Business Combination Agreement for all purposes, and each party thereto and hereto shall be bound hereby. From and after the execution of this Amendment by the Parties, any reference to the Business Combination Agreement shall be deemed a reference to the Business Combination Agreement as amended hereby.</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Amendment shall be governed by, and construed in accordance with, the Laws of the State of New York applicable to contracts executed in and to be performed in that State. Any Action arising out of or relating to this Amendment shall, to the fullest extent permitted by applicable Law, be heard and determined exclusively in any New York State court or Federal court of the United States of America sitting in New York City in the Borough of Manhattan.</w:t>
      </w:r>
    </w:p>
    <w:p>
      <w:pPr>
        <w:pStyle w:val="TextBody"/>
        <w:shd w:fill="FFFFFF" w:val="clear"/>
        <w:bidi w:val="0"/>
        <w:spacing w:before="0" w:after="0"/>
        <w:ind w:left="360" w:right="0" w:firstLine="36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36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or other provision of this Amendment is invalid, illegal or incapable of being enforced by any rule of law, or public policy, all other conditions and provisions of this Amendment shall nevertheless remain in full force and effect so long as the economic or legal substance of the transactions contemplated hereby is not affected in any manner materially adverse to any Party.</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Amendment may be executed and delivered (including by facsimile or portable document format (pdf) transmission) in one or more counterparts, and by the different Parties in separate counterparts, each of which when executed shall be deemed to be an original but all of which taken together shall constitute one and the same agreement.</w:t>
      </w:r>
    </w:p>
    <w:p>
      <w:pPr>
        <w:pStyle w:val="TextBody"/>
        <w:shd w:fill="FFFFFF" w:val="clear"/>
        <w:bidi w:val="0"/>
        <w:spacing w:before="0" w:after="0"/>
        <w:ind w:left="360" w:right="0" w:firstLine="36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Amendment to be executed as of the date first written above by their respective officers thereunto duly authorized.</w:t>
      </w:r>
    </w:p>
    <w:p>
      <w:pPr>
        <w:pStyle w:val="TextBody"/>
        <w:shd w:fill="FFFFFF" w:val="clear"/>
        <w:bidi w:val="0"/>
        <w:spacing w:before="0" w:after="0"/>
        <w:ind w:left="0" w:right="0" w:firstLine="1440"/>
        <w:jc w:val="both"/>
        <w:rPr>
          <w:caps w:val="false"/>
          <w:smallCaps w:val="false"/>
        </w:rPr>
      </w:pPr>
      <w:r>
        <w:rPr>
          <w:caps w:val="false"/>
          <w:smallCaps w:val="false"/>
        </w:rPr>
        <w:t> </w:t>
      </w:r>
    </w:p>
    <w:tbl>
      <w:tblPr>
        <w:tblW w:w="4054" w:type="dxa"/>
        <w:jc w:val="left"/>
        <w:tblInd w:w="0" w:type="dxa"/>
        <w:tblLayout w:type="fixed"/>
        <w:tblCellMar>
          <w:top w:w="0" w:type="dxa"/>
          <w:left w:w="0" w:type="dxa"/>
          <w:bottom w:w="0" w:type="dxa"/>
          <w:right w:w="0" w:type="dxa"/>
        </w:tblCellMar>
      </w:tblPr>
      <w:tblGrid>
        <w:gridCol w:w="105"/>
        <w:gridCol w:w="626"/>
        <w:gridCol w:w="3323"/>
      </w:tblGrid>
      <w:tr>
        <w:trPr/>
        <w:tc>
          <w:tcPr>
            <w:tcW w:w="105" w:type="dxa"/>
            <w:tcBorders/>
            <w:vAlign w:val="center"/>
          </w:tcPr>
          <w:p>
            <w:pPr>
              <w:pStyle w:val="TableContents"/>
              <w:bidi w:val="0"/>
              <w:spacing w:before="0" w:after="283"/>
              <w:jc w:val="left"/>
              <w:rPr/>
            </w:pPr>
            <w:r>
              <w:rPr/>
              <w:t> </w:t>
            </w:r>
          </w:p>
        </w:tc>
        <w:tc>
          <w:tcPr>
            <w:tcW w:w="394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CARTESIAN GROWTH CORPORATION III</w:t>
            </w:r>
          </w:p>
        </w:tc>
      </w:tr>
      <w:tr>
        <w:trPr/>
        <w:tc>
          <w:tcPr>
            <w:tcW w:w="105" w:type="dxa"/>
            <w:tcBorders/>
            <w:vAlign w:val="center"/>
          </w:tcPr>
          <w:p>
            <w:pPr>
              <w:pStyle w:val="TableContents"/>
              <w:bidi w:val="0"/>
              <w:spacing w:before="0" w:after="283"/>
              <w:jc w:val="left"/>
              <w:rPr/>
            </w:pPr>
            <w:r>
              <w:rPr/>
              <w:t> </w:t>
            </w:r>
          </w:p>
        </w:tc>
        <w:tc>
          <w:tcPr>
            <w:tcW w:w="3949" w:type="dxa"/>
            <w:gridSpan w:val="2"/>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2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Peter Yu</w:t>
            </w:r>
          </w:p>
        </w:tc>
      </w:tr>
      <w:tr>
        <w:trPr/>
        <w:tc>
          <w:tcPr>
            <w:tcW w:w="105"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3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Peter Yu</w:t>
            </w:r>
          </w:p>
        </w:tc>
      </w:tr>
      <w:tr>
        <w:trPr/>
        <w:tc>
          <w:tcPr>
            <w:tcW w:w="105"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3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&amp; Chief Executive Officer</w:t>
            </w:r>
          </w:p>
        </w:tc>
      </w:tr>
      <w:tr>
        <w:trPr/>
        <w:tc>
          <w:tcPr>
            <w:tcW w:w="105" w:type="dxa"/>
            <w:tcBorders/>
            <w:vAlign w:val="center"/>
          </w:tcPr>
          <w:p>
            <w:pPr>
              <w:pStyle w:val="TableContents"/>
              <w:bidi w:val="0"/>
              <w:spacing w:before="0" w:after="283"/>
              <w:jc w:val="left"/>
              <w:rPr/>
            </w:pPr>
            <w:r>
              <w:rPr/>
              <w:t> </w:t>
            </w:r>
          </w:p>
        </w:tc>
        <w:tc>
          <w:tcPr>
            <w:tcW w:w="3949" w:type="dxa"/>
            <w:gridSpan w:val="2"/>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394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FENWAY MS, INC.</w:t>
            </w:r>
          </w:p>
        </w:tc>
      </w:tr>
      <w:tr>
        <w:trPr/>
        <w:tc>
          <w:tcPr>
            <w:tcW w:w="105" w:type="dxa"/>
            <w:tcBorders/>
            <w:vAlign w:val="center"/>
          </w:tcPr>
          <w:p>
            <w:pPr>
              <w:pStyle w:val="TableContents"/>
              <w:bidi w:val="0"/>
              <w:spacing w:before="0" w:after="283"/>
              <w:jc w:val="left"/>
              <w:rPr/>
            </w:pPr>
            <w:r>
              <w:rPr/>
              <w:t> </w:t>
            </w:r>
          </w:p>
        </w:tc>
        <w:tc>
          <w:tcPr>
            <w:tcW w:w="3949" w:type="dxa"/>
            <w:gridSpan w:val="2"/>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2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Peter Yu</w:t>
            </w:r>
          </w:p>
        </w:tc>
      </w:tr>
      <w:tr>
        <w:trPr/>
        <w:tc>
          <w:tcPr>
            <w:tcW w:w="105"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3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Peter Yu</w:t>
            </w:r>
          </w:p>
        </w:tc>
      </w:tr>
      <w:tr>
        <w:trPr/>
        <w:tc>
          <w:tcPr>
            <w:tcW w:w="105"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3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President</w:t>
            </w:r>
          </w:p>
        </w:tc>
      </w:tr>
      <w:tr>
        <w:trPr/>
        <w:tc>
          <w:tcPr>
            <w:tcW w:w="105" w:type="dxa"/>
            <w:tcBorders/>
            <w:vAlign w:val="center"/>
          </w:tcPr>
          <w:p>
            <w:pPr>
              <w:pStyle w:val="TableContents"/>
              <w:bidi w:val="0"/>
              <w:spacing w:before="0" w:after="283"/>
              <w:jc w:val="left"/>
              <w:rPr/>
            </w:pPr>
            <w:r>
              <w:rPr/>
              <w:t> </w:t>
            </w:r>
          </w:p>
        </w:tc>
        <w:tc>
          <w:tcPr>
            <w:tcW w:w="3949" w:type="dxa"/>
            <w:gridSpan w:val="2"/>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394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FACTORIAL INC.</w:t>
            </w:r>
          </w:p>
        </w:tc>
      </w:tr>
      <w:tr>
        <w:trPr/>
        <w:tc>
          <w:tcPr>
            <w:tcW w:w="105" w:type="dxa"/>
            <w:tcBorders/>
            <w:vAlign w:val="center"/>
          </w:tcPr>
          <w:p>
            <w:pPr>
              <w:pStyle w:val="TableContents"/>
              <w:bidi w:val="0"/>
              <w:spacing w:before="0" w:after="283"/>
              <w:jc w:val="left"/>
              <w:rPr/>
            </w:pPr>
            <w:r>
              <w:rPr/>
              <w:t> </w:t>
            </w:r>
          </w:p>
        </w:tc>
        <w:tc>
          <w:tcPr>
            <w:tcW w:w="3949" w:type="dxa"/>
            <w:gridSpan w:val="2"/>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2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Siyu Huang</w:t>
            </w:r>
          </w:p>
        </w:tc>
      </w:tr>
      <w:tr>
        <w:trPr/>
        <w:tc>
          <w:tcPr>
            <w:tcW w:w="105"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3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Siyu Huang</w:t>
            </w:r>
          </w:p>
        </w:tc>
      </w:tr>
      <w:tr>
        <w:trPr/>
        <w:tc>
          <w:tcPr>
            <w:tcW w:w="105"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3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left"/>
        <w:rPr/>
      </w:pPr>
      <w:bookmarkStart w:id="4" w:name="tm269874d1_ex10-1.htm"/>
      <w:bookmarkStart w:id="5" w:name="kstm269874d1_ex101"/>
      <w:bookmarkEnd w:id="4"/>
      <w:bookmarkEnd w:id="5"/>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shd w:fill="FFFFFF" w:val="clear"/>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amendMENT</w:t>
      </w:r>
    </w:p>
    <w:p>
      <w:pPr>
        <w:pStyle w:val="TextBody"/>
        <w:shd w:fill="FFFFFF" w:val="clear"/>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to THE</w:t>
      </w:r>
    </w:p>
    <w:p>
      <w:pPr>
        <w:pStyle w:val="TextBody"/>
        <w:shd w:fill="FFFFFF" w:val="clear"/>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SPONSOR SUPPORT AGREEMENT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(this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dated as of March 26, 2026, to the Sponsor Support Agreement, dated as of December 17, 2025 (the “</w:t>
      </w:r>
      <w:r>
        <w:rPr>
          <w:rFonts w:ascii="Times New Roman;Times;Serif" w:hAnsi="Times New Roman;Times;Serif"/>
          <w:b w:val="false"/>
          <w:i w:val="false"/>
          <w:caps w:val="false"/>
          <w:smallCaps w:val="false"/>
          <w:sz w:val="20"/>
          <w:u w:val="single"/>
        </w:rPr>
        <w:t>Sponsor Support Agreement</w:t>
      </w:r>
      <w:r>
        <w:rPr>
          <w:rFonts w:ascii="Times New Roman;Times;Serif" w:hAnsi="Times New Roman;Times;Serif"/>
          <w:b w:val="false"/>
          <w:i w:val="false"/>
          <w:caps w:val="false"/>
          <w:smallCaps w:val="false"/>
          <w:sz w:val="20"/>
        </w:rPr>
        <w:t>”), is by and between CGC III Sponsor LLC, a Cayman Islands limited liability company (“</w:t>
      </w:r>
      <w:r>
        <w:rPr>
          <w:rFonts w:ascii="Times New Roman;Times;Serif" w:hAnsi="Times New Roman;Times;Serif"/>
          <w:b w:val="false"/>
          <w:i w:val="false"/>
          <w:caps w:val="false"/>
          <w:smallCaps w:val="false"/>
          <w:sz w:val="20"/>
          <w:u w:val="single"/>
        </w:rPr>
        <w:t>Sponsor</w:t>
      </w:r>
      <w:r>
        <w:rPr>
          <w:rFonts w:ascii="Times New Roman;Times;Serif" w:hAnsi="Times New Roman;Times;Serif"/>
          <w:b w:val="false"/>
          <w:i w:val="false"/>
          <w:caps w:val="false"/>
          <w:smallCaps w:val="false"/>
          <w:sz w:val="20"/>
        </w:rPr>
        <w:t>”) and Factorial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Each of Sponsor and the Company shall individually be referred to herein as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Capitalized terms not otherwise defined in this Amendment have the meanings given such terms in the Sponsor Support Agreement.</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desire to amend the Sponsor Support Agreement as set forth below.</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mutual covenants and agreements herein contained, and intending to be legally bound hereby, the Parties hereby agree as follows:</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w:t>
      </w:r>
    </w:p>
    <w:p>
      <w:pPr>
        <w:pStyle w:val="TextBody"/>
        <w:shd w:fill="FFFFFF" w:val="clear"/>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AMENDMENTS TO THE SPONSOR SUPPORT AGREEMENT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final sentence of Section 1 of the Sponsor Support Agreement is hereby deleted.</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Section 2 of the Sponsor Support Agreement is hereby amended and restated in its entirety to read as follows:</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[Reserved.]”</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MISCELLANEOUS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No Further Amendment</w:t>
      </w:r>
      <w:r>
        <w:rPr>
          <w:rFonts w:ascii="Times New Roman;Times;Serif" w:hAnsi="Times New Roman;Times;Serif"/>
          <w:b w:val="false"/>
          <w:i w:val="false"/>
          <w:caps w:val="false"/>
          <w:smallCaps w:val="false"/>
          <w:sz w:val="20"/>
        </w:rPr>
        <w:t>. Except as expressly amended hereby, the Sponsor Support Agreement is in all respects ratified and confirmed and all the terms, conditions, and provisions thereof shall remain in full force and effect. This Amendment is limited precisely as written and shall not be deemed to be an amendment to any other term or condition of the Sponsor Support Agreement or any of the documents referred to therein.</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Effect of Amendment</w:t>
      </w:r>
      <w:r>
        <w:rPr>
          <w:rFonts w:ascii="Times New Roman;Times;Serif" w:hAnsi="Times New Roman;Times;Serif"/>
          <w:b w:val="false"/>
          <w:i w:val="false"/>
          <w:caps w:val="false"/>
          <w:smallCaps w:val="false"/>
          <w:sz w:val="20"/>
        </w:rPr>
        <w:t>. This Amendment shall form a part of the Sponsor Support Agreement for all purposes, and each party thereto and hereto shall be bound hereby. From and after the execution of this Amendment by the Parties, any reference to the Sponsor Support Agreement shall be deemed a reference to the Sponsor Support Agreement as amended hereby.</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Amendment shall be governed by, and construed in accordance with, the Laws of the State of New York applicable to contracts executed in and to be performed in that State. Any Action arising out of or relating to this Amendment shall, to the fullest extent permitted by applicable Law, be heard and determined exclusively in any New York State court or Federal court of the United States of America sitting in New York City in the Borough of Manhattan.</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or other provision of this Amendment is invalid, illegal or incapable of being enforced by any rule of law, or public policy, all other conditions and provisions of this Amendment shall nevertheless remain in full force and effect so long as the economic or legal substance of the transactions contemplated hereby is not affected in any manner materially adverse to any Party.</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Amendment may be executed and delivered (including by facsimile or portable document format (pdf) transmission) in one or more counterparts, and by the different Parties in separate counterparts, each of which when executed shall be deemed to be an original but all of which taken together shall constitute one and the same agreement.</w:t>
      </w:r>
    </w:p>
    <w:p>
      <w:pPr>
        <w:pStyle w:val="TextBody"/>
        <w:shd w:fill="FFFFFF" w:val="clear"/>
        <w:bidi w:val="0"/>
        <w:spacing w:before="0" w:after="0"/>
        <w:ind w:left="360" w:right="0" w:firstLine="36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Amendment to be executed as of the date first written above by their respective officers thereunto duly authorized.</w:t>
      </w:r>
    </w:p>
    <w:p>
      <w:pPr>
        <w:pStyle w:val="TextBody"/>
        <w:shd w:fill="FFFFFF" w:val="clear"/>
        <w:bidi w:val="0"/>
        <w:spacing w:before="0" w:after="0"/>
        <w:ind w:left="0" w:right="0" w:firstLine="1440"/>
        <w:jc w:val="both"/>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105"/>
        <w:gridCol w:w="575"/>
        <w:gridCol w:w="2015"/>
      </w:tblGrid>
      <w:tr>
        <w:trPr/>
        <w:tc>
          <w:tcPr>
            <w:tcW w:w="105" w:type="dxa"/>
            <w:tcBorders/>
            <w:vAlign w:val="center"/>
          </w:tcPr>
          <w:p>
            <w:pPr>
              <w:pStyle w:val="TableContents"/>
              <w:bidi w:val="0"/>
              <w:spacing w:before="0" w:after="283"/>
              <w:jc w:val="left"/>
              <w:rPr/>
            </w:pPr>
            <w:r>
              <w:rPr/>
              <w:t> </w:t>
            </w:r>
          </w:p>
        </w:tc>
        <w:tc>
          <w:tcPr>
            <w:tcW w:w="259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CGC III SPONSOR LLC</w:t>
            </w:r>
          </w:p>
        </w:tc>
      </w:tr>
      <w:tr>
        <w:trPr/>
        <w:tc>
          <w:tcPr>
            <w:tcW w:w="105" w:type="dxa"/>
            <w:tcBorders/>
            <w:vAlign w:val="center"/>
          </w:tcPr>
          <w:p>
            <w:pPr>
              <w:pStyle w:val="TableContents"/>
              <w:bidi w:val="0"/>
              <w:spacing w:before="0" w:after="283"/>
              <w:jc w:val="left"/>
              <w:rPr/>
            </w:pPr>
            <w:r>
              <w:rPr/>
              <w:t> </w:t>
            </w:r>
          </w:p>
        </w:tc>
        <w:tc>
          <w:tcPr>
            <w:tcW w:w="2590" w:type="dxa"/>
            <w:gridSpan w:val="2"/>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Peter Yu</w:t>
            </w:r>
          </w:p>
        </w:tc>
      </w:tr>
      <w:tr>
        <w:trPr/>
        <w:tc>
          <w:tcPr>
            <w:tcW w:w="10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Peter Yu</w:t>
            </w:r>
          </w:p>
        </w:tc>
      </w:tr>
      <w:tr>
        <w:trPr/>
        <w:tc>
          <w:tcPr>
            <w:tcW w:w="10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w:t>
            </w:r>
          </w:p>
        </w:tc>
      </w:tr>
      <w:tr>
        <w:trPr/>
        <w:tc>
          <w:tcPr>
            <w:tcW w:w="105" w:type="dxa"/>
            <w:tcBorders/>
            <w:vAlign w:val="center"/>
          </w:tcPr>
          <w:p>
            <w:pPr>
              <w:pStyle w:val="TableContents"/>
              <w:bidi w:val="0"/>
              <w:spacing w:before="0" w:after="283"/>
              <w:jc w:val="left"/>
              <w:rPr/>
            </w:pPr>
            <w:r>
              <w:rPr/>
              <w:t> </w:t>
            </w:r>
          </w:p>
        </w:tc>
        <w:tc>
          <w:tcPr>
            <w:tcW w:w="2590" w:type="dxa"/>
            <w:gridSpan w:val="2"/>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59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FACTORIAL INC.</w:t>
            </w:r>
          </w:p>
        </w:tc>
      </w:tr>
      <w:tr>
        <w:trPr/>
        <w:tc>
          <w:tcPr>
            <w:tcW w:w="105" w:type="dxa"/>
            <w:tcBorders/>
            <w:vAlign w:val="center"/>
          </w:tcPr>
          <w:p>
            <w:pPr>
              <w:pStyle w:val="TableContents"/>
              <w:bidi w:val="0"/>
              <w:spacing w:before="0" w:after="283"/>
              <w:jc w:val="left"/>
              <w:rPr/>
            </w:pPr>
            <w:r>
              <w:rPr/>
              <w:t> </w:t>
            </w:r>
          </w:p>
        </w:tc>
        <w:tc>
          <w:tcPr>
            <w:tcW w:w="2590" w:type="dxa"/>
            <w:gridSpan w:val="2"/>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Siyu Huang</w:t>
            </w:r>
          </w:p>
        </w:tc>
      </w:tr>
      <w:tr>
        <w:trPr/>
        <w:tc>
          <w:tcPr>
            <w:tcW w:w="10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Siyu Huang</w:t>
            </w:r>
          </w:p>
        </w:tc>
      </w:tr>
      <w:tr>
        <w:trPr/>
        <w:tc>
          <w:tcPr>
            <w:tcW w:w="10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3908</Words>
  <Characters>21634</Characters>
  <CharactersWithSpaces>25619</CharactersWithSpaces>
  <Paragraphs>390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