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0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056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Duva Jason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Factorial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FAC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FACTORIAL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805 MIDDLESEX TURNPIKE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01821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44,681</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jc w:val="right"/>
              <w:ind w:right="694"/>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jc w:val="right"/>
              <w:ind w:right="294"/>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01/23/2035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52,913</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05/08/2032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366,840</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08/24/2032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190,207</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03/12/2035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168,104</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0.88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295,446</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2.64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10/07/2035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Series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15,260</w:t>
            </w:r>
          </w:p>
        </w:tc>
        <w:tc>
          <w:tcPr>
            <w:tcW w:w="60" w:type="dxa"/>
            <w:vAlign w:val="bottom"/>
          </w:tcPr>
          <w:p>
            <w:pPr>
              <w:spacing w:after="0"/>
              <w:rPr>
                <w:sz w:val="24"/>
                <w:szCs w:val="24"/>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20"/>
                <w:szCs w:val="20"/>
                <w:color w:val="0000FF"/>
              </w:rPr>
              <w:t>2.64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August 25, 2023, with the remainder vesting in thirty-six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shall vest on September 22, 2026, with the remainder vesting in thirty-six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ind w:left="6580"/>
        <w:spacing w:after="0" w:line="183" w:lineRule="auto"/>
        <w:rPr>
          <w:sz w:val="20"/>
          <w:szCs w:val="20"/>
          <w:color w:val="auto"/>
        </w:rPr>
      </w:pPr>
      <w:r>
        <w:rPr>
          <w:rFonts w:ascii="Times New Roman" w:cs="Times New Roman" w:eastAsia="Times New Roman" w:hAnsi="Times New Roman"/>
          <w:sz w:val="20"/>
          <w:szCs w:val="20"/>
          <w:color w:val="0000FF"/>
        </w:rPr>
        <w:t xml:space="preserve">/s/ Richard Wei, Attorney-  </w:t>
      </w:r>
      <w:r>
        <w:rPr>
          <w:rFonts w:ascii="Times New Roman" w:cs="Times New Roman" w:eastAsia="Times New Roman" w:hAnsi="Times New Roman"/>
          <w:sz w:val="39"/>
          <w:szCs w:val="39"/>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112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505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505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constitutes and appoints each of Siyu Huang and Richard Wei, signing singly, and with full power of substitution, the undersigned’s true and lawful attorney-in-fact to:</w:t>
      </w:r>
    </w:p>
    <w:p>
      <w:pPr>
        <w:spacing w:after="0" w:line="18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(1)       execute for and on behalf of the undersigned, in the undersigned’s capacity as an officer, director, and/or securityholder of Factorial Energy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spacing w:after="0" w:line="20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15,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Jason Duva</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Jason Duva</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534001" TargetMode="External"/><Relationship Id="rId11" Type="http://schemas.openxmlformats.org/officeDocument/2006/relationships/hyperlink" Target="http://www.sec.gov/cgi-bin/browse-edgar?action=getcompany&amp;CIK=00020496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2026-06-12T15:15:09Z</dcterms:created>
  <dcterms:modified xsi:type="dcterms:W3CDTF">2026-06-12T15:15:09Z</dcterms:modified>
</cp:coreProperties>
</file>