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200" w:right="200" w:hanging="0"/>
        <w:jc w:val="left"/>
        <w:rPr/>
      </w:pPr>
      <w:hyperlink w:anchor="TOC">
        <w:bookmarkStart w:id="0" w:name="tmb-20260331xposam.htm"/>
        <w:bookmarkStart w:id="1" w:name="kstmb20260331xposam"/>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2" w:name="_3d80fd9b_3bab_4834_abe5_f6e38dda7091"/>
      <w:bookmarkStart w:id="3" w:name="_Hlk232009908"/>
      <w:bookmarkEnd w:id="2"/>
      <w:bookmarkEnd w:id="3"/>
      <w:r>
        <w:rPr>
          <w:rFonts w:ascii="Times New Roman;Times;serif" w:hAnsi="Times New Roman;Times;serif"/>
          <w:b/>
          <w:sz w:val="20"/>
        </w:rPr>
        <w:t>As filed with the Securities and Exchange Commission on June 10, 2026</w:t>
      </w:r>
    </w:p>
    <w:p>
      <w:pPr>
        <w:pStyle w:val="TextBody"/>
        <w:bidi w:val="0"/>
        <w:spacing w:before="0" w:after="0"/>
        <w:ind w:left="200" w:right="200" w:hanging="0"/>
        <w:jc w:val="center"/>
        <w:rPr/>
      </w:pPr>
      <w:r>
        <w:rPr/>
        <w:t>​</w:t>
      </w:r>
    </w:p>
    <w:p>
      <w:pPr>
        <w:pStyle w:val="TextBody"/>
        <w:bidi w:val="0"/>
        <w:spacing w:before="0" w:after="0"/>
        <w:ind w:left="200" w:right="200" w:hanging="0"/>
        <w:jc w:val="right"/>
        <w:rPr>
          <w:rFonts w:ascii="Times New Roman;Times;serif" w:hAnsi="Times New Roman;Times;serif"/>
          <w:b/>
          <w:sz w:val="20"/>
        </w:rPr>
      </w:pPr>
      <w:r>
        <w:rPr>
          <w:rFonts w:ascii="Times New Roman;Times;serif" w:hAnsi="Times New Roman;Times;serif"/>
          <w:b/>
          <w:sz w:val="20"/>
        </w:rPr>
        <w:t>Registration No. 333-294663</w:t>
      </w:r>
    </w:p>
    <w:p>
      <w:pPr>
        <w:pStyle w:val="TextBody"/>
        <w:bidi w:val="0"/>
        <w:spacing w:before="0" w:after="0"/>
        <w:ind w:left="200" w:right="200" w:hanging="0"/>
        <w:jc w:val="right"/>
        <w:rPr/>
      </w:pPr>
      <w:r>
        <w:rPr/>
        <w:t>​</w:t>
      </w:r>
    </w:p>
    <w:p>
      <w:pPr>
        <w:pStyle w:val="TextBody"/>
        <w:pBdr>
          <w:top w:val="single" w:sz="24" w:space="1" w:color="000000"/>
          <w:bottom w:val="single" w:sz="8" w:space="1" w:color="000000"/>
        </w:pBdr>
        <w:bidi w:val="0"/>
        <w:spacing w:before="0" w:after="0"/>
        <w:ind w:left="200" w:right="200" w:hanging="0"/>
        <w:jc w:val="center"/>
        <w:rPr/>
      </w:pPr>
      <w:r>
        <w:rPr/>
        <w:t>​</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200" w:right="20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Post-Effective Amendment No. 1</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to</w:t>
      </w:r>
    </w:p>
    <w:p>
      <w:pPr>
        <w:pStyle w:val="TextBody"/>
        <w:bidi w:val="0"/>
        <w:spacing w:before="0" w:after="0"/>
        <w:ind w:left="200" w:right="200" w:hanging="0"/>
        <w:jc w:val="center"/>
        <w:rPr>
          <w:rFonts w:ascii="Times New Roman;Times;serif" w:hAnsi="Times New Roman;Times;serif"/>
          <w:sz w:val="28"/>
        </w:rPr>
      </w:pPr>
      <w:r>
        <w:rPr>
          <w:rFonts w:ascii="Times New Roman;Times;serif" w:hAnsi="Times New Roman;Times;serif"/>
          <w:b/>
          <w:sz w:val="28"/>
        </w:rPr>
        <w:t>FORM </w:t>
      </w:r>
      <w:r>
        <w:rPr>
          <w:rFonts w:ascii="Times New Roman;Times;serif" w:hAnsi="Times New Roman;Times;serif"/>
          <w:b/>
          <w:i w:val="false"/>
          <w:caps w:val="false"/>
          <w:smallCaps w:val="false"/>
          <w:sz w:val="28"/>
        </w:rPr>
        <w:t>S-4</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REGISTRATION STATEMENT</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UNDER</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THE SECURITIES ACT OF 1933</w:t>
      </w:r>
    </w:p>
    <w:p>
      <w:pPr>
        <w:pStyle w:val="TextBody"/>
        <w:bidi w:val="0"/>
        <w:spacing w:before="0" w:after="0"/>
        <w:ind w:left="200" w:right="200" w:hanging="0"/>
        <w:jc w:val="center"/>
        <w:rPr>
          <w:rFonts w:ascii="Times New Roman;Times;serif" w:hAnsi="Times New Roman;Times;serif"/>
          <w:b/>
          <w:sz w:val="28"/>
        </w:rPr>
      </w:pPr>
      <w:r>
        <w:rPr>
          <w:rFonts w:ascii="Times New Roman;Times;serif" w:hAnsi="Times New Roman;Times;serif"/>
          <w:b/>
          <w:sz w:val="28"/>
        </w:rPr>
        <w:t>FACTORIAL ENERGY INC.</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200" w:right="200" w:hanging="0"/>
        <w:jc w:val="left"/>
        <w:rPr/>
      </w:pPr>
      <w:r>
        <w:rPr/>
        <w:t>​</w:t>
      </w:r>
    </w:p>
    <w:tbl>
      <w:tblPr>
        <w:tblW w:w="7160" w:type="dxa"/>
        <w:jc w:val="left"/>
        <w:tblInd w:w="200" w:type="dxa"/>
        <w:tblLayout w:type="fixed"/>
        <w:tblCellMar>
          <w:top w:w="0" w:type="dxa"/>
          <w:left w:w="0" w:type="dxa"/>
          <w:bottom w:w="0" w:type="dxa"/>
          <w:right w:w="0" w:type="dxa"/>
        </w:tblCellMar>
      </w:tblPr>
      <w:tblGrid>
        <w:gridCol w:w="2581"/>
        <w:gridCol w:w="286"/>
        <w:gridCol w:w="2386"/>
        <w:gridCol w:w="286"/>
        <w:gridCol w:w="1621"/>
      </w:tblGrid>
      <w:tr>
        <w:trPr/>
        <w:tc>
          <w:tcPr>
            <w:tcW w:w="25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1610" cy="175260"/>
                      <wp:effectExtent l="0" t="0" r="0" b="0"/>
                      <wp:wrapNone/>
                      <wp:docPr id="1" name="Frame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81610" cy="175260"/>
                      <wp:effectExtent l="0" t="0" r="0" b="0"/>
                      <wp:wrapNone/>
                      <wp:docPr id="2" name="Frame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0"/>
              <w:ind w:left="0" w:right="0" w:hanging="0"/>
              <w:jc w:val="left"/>
              <w:rPr/>
            </w:pPr>
            <w:r>
              <w:rPr/>
              <w:t>​</w: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286" w:type="dxa"/>
            <w:tcBorders/>
            <w:vAlign w:val="center"/>
          </w:tcPr>
          <w:p>
            <w:pPr>
              <w:pStyle w:val="TableContents"/>
              <w:bidi w:val="0"/>
              <w:spacing w:before="0" w:after="0"/>
              <w:ind w:left="0" w:right="0" w:hanging="0"/>
              <w:jc w:val="left"/>
              <w:rPr/>
            </w:pPr>
            <w:r>
              <w:rPr/>
              <w:t>  ​ ​</w:t>
            </w:r>
          </w:p>
        </w:tc>
        <w:tc>
          <w:tcPr>
            <w:tcW w:w="2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6770</w:t>
            </w:r>
          </w:p>
        </w:tc>
        <w:tc>
          <w:tcPr>
            <w:tcW w:w="286" w:type="dxa"/>
            <w:tcBorders/>
            <w:vAlign w:val="center"/>
          </w:tcPr>
          <w:p>
            <w:pPr>
              <w:pStyle w:val="TableContents"/>
              <w:bidi w:val="0"/>
              <w:spacing w:before="0" w:after="0"/>
              <w:ind w:left="0" w:right="0" w:hanging="0"/>
              <w:jc w:val="left"/>
              <w:rPr/>
            </w:pPr>
            <w:r>
              <w:rPr/>
              <w:t>  ​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42-2967285</w:t>
            </w:r>
          </w:p>
        </w:tc>
      </w:tr>
      <w:tr>
        <w:trPr/>
        <w:tc>
          <w:tcPr>
            <w:tcW w:w="25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286" w:type="dxa"/>
            <w:tcBorders/>
            <w:vAlign w:val="center"/>
          </w:tcPr>
          <w:p>
            <w:pPr>
              <w:pStyle w:val="TableContents"/>
              <w:bidi w:val="0"/>
              <w:spacing w:before="0" w:after="0"/>
              <w:ind w:left="0" w:right="0" w:hanging="0"/>
              <w:jc w:val="left"/>
              <w:rPr/>
            </w:pPr>
            <w:r>
              <w:rPr/>
              <w:t> </w:t>
            </w:r>
          </w:p>
        </w:tc>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(Primary Standard Industrial</w:t>
              <w:br/>
              <w:t>Classification Code)</w:t>
            </w:r>
          </w:p>
        </w:tc>
        <w:tc>
          <w:tcPr>
            <w:tcW w:w="286" w:type="dxa"/>
            <w:tcBorders/>
            <w:vAlign w:val="center"/>
          </w:tcPr>
          <w:p>
            <w:pPr>
              <w:pStyle w:val="TableContents"/>
              <w:bidi w:val="0"/>
              <w:spacing w:before="0" w:after="0"/>
              <w:ind w:left="0" w:right="0" w:hanging="0"/>
              <w:jc w:val="left"/>
              <w:rPr/>
            </w:pPr>
            <w:r>
              <w:rPr/>
              <w:t> </w:t>
            </w:r>
          </w:p>
        </w:tc>
        <w:tc>
          <w:tcPr>
            <w:tcW w:w="16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200" w:right="200" w:hanging="0"/>
        <w:jc w:val="left"/>
        <w:rPr/>
      </w:pPr>
      <w:r>
        <w:rPr/>
        <w:t>​</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805 Middlesex Turnpike</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Billerica, MA 01821</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Telephone: (617) 315-9733</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(Address, including zip code, and telephone number, including area code, of Registrant’s principal executive offices)</w:t>
      </w:r>
    </w:p>
    <w:p>
      <w:pPr>
        <w:pStyle w:val="TextBody"/>
        <w:bidi w:val="0"/>
        <w:spacing w:before="0" w:after="0"/>
        <w:ind w:left="200" w:right="200" w:hanging="0"/>
        <w:jc w:val="center"/>
        <w:rPr/>
      </w:pPr>
      <w:r>
        <w:rPr/>
        <w:t>​</w:t>
      </w:r>
    </w:p>
    <w:p>
      <w:pPr>
        <w:pStyle w:val="TextBody"/>
        <w:bidi w:val="0"/>
        <w:spacing w:before="0" w:after="0"/>
        <w:ind w:left="200" w:right="200" w:hanging="0"/>
        <w:jc w:val="center"/>
        <w:rPr>
          <w:rFonts w:ascii="Times New Roman;Times;serif" w:hAnsi="Times New Roman;Times;serif"/>
          <w:b/>
          <w:i/>
          <w:sz w:val="20"/>
        </w:rPr>
      </w:pPr>
      <w:r>
        <w:rPr>
          <w:rFonts w:ascii="Times New Roman;Times;serif" w:hAnsi="Times New Roman;Times;serif"/>
          <w:b/>
          <w:i/>
          <w:sz w:val="20"/>
        </w:rPr>
        <w:t>Copies to:</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Jocelyn M. Arel, Esq.</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Jeffrey A. Letalien, Esq.</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Goodwin Procter LLP</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620 Eighth Avenue</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New York, New York 10018</w:t>
      </w:r>
    </w:p>
    <w:p>
      <w:pPr>
        <w:pStyle w:val="TextBody"/>
        <w:bidi w:val="0"/>
        <w:spacing w:before="0" w:after="60"/>
        <w:ind w:left="200" w:right="200" w:hanging="0"/>
        <w:jc w:val="center"/>
        <w:rPr>
          <w:rFonts w:ascii="Times New Roman;Times;serif" w:hAnsi="Times New Roman;Times;serif"/>
          <w:b/>
          <w:sz w:val="20"/>
        </w:rPr>
      </w:pPr>
      <w:r>
        <w:rPr>
          <w:rFonts w:ascii="Times New Roman;Times;serif" w:hAnsi="Times New Roman;Times;serif"/>
          <w:b/>
          <w:sz w:val="20"/>
        </w:rPr>
        <w:t>Tel: (212) 813-8800</w:t>
      </w:r>
    </w:p>
    <w:p>
      <w:pPr>
        <w:pStyle w:val="TextBody"/>
        <w:bidi w:val="0"/>
        <w:spacing w:before="0" w:after="60"/>
        <w:ind w:left="200" w:right="200" w:firstLine="360"/>
        <w:jc w:val="both"/>
        <w:rPr>
          <w:rFonts w:ascii="Times New Roman;Times;serif" w:hAnsi="Times New Roman;Times;serif"/>
          <w:sz w:val="20"/>
        </w:rPr>
      </w:pPr>
      <w:r>
        <w:rPr>
          <w:rFonts w:ascii="Times New Roman;Times;serif" w:hAnsi="Times New Roman;Times;serif"/>
          <w:b/>
          <w:sz w:val="20"/>
        </w:rPr>
        <w:t>Approximate date of commencement of proposed sale to the public</w:t>
      </w:r>
      <w:r>
        <w:rPr>
          <w:rFonts w:ascii="Times New Roman;Times;serif" w:hAnsi="Times New Roman;Times;serif"/>
          <w:sz w:val="20"/>
        </w:rPr>
        <w:t>: From time to time after the Registration Statement became effective.</w:t>
      </w:r>
    </w:p>
    <w:p>
      <w:pPr>
        <w:pStyle w:val="TextBody"/>
        <w:bidi w:val="0"/>
        <w:spacing w:before="0" w:after="60"/>
        <w:ind w:left="200" w:right="200" w:firstLine="360"/>
        <w:jc w:val="both"/>
        <w:rPr>
          <w:rFonts w:ascii="Times New Roman;Times;serif" w:hAnsi="Times New Roman;Times;serif"/>
          <w:sz w:val="20"/>
        </w:rPr>
      </w:pPr>
      <w:r>
        <w:rPr>
          <w:rFonts w:ascii="Times New Roman;Times;serif" w:hAnsi="Times New Roman;Times;serif"/>
          <w:sz w:val="20"/>
        </w:rPr>
        <w:t>If the securities being registered on this Form are being offered in connection with the formation of a holding company and there is compliance with General Instruction G, check the following box. ☐</w:t>
      </w:r>
    </w:p>
    <w:p>
      <w:pPr>
        <w:pStyle w:val="TextBody"/>
        <w:bidi w:val="0"/>
        <w:spacing w:before="0" w:after="60"/>
        <w:ind w:left="200" w:right="200" w:firstLine="360"/>
        <w:jc w:val="both"/>
        <w:rPr>
          <w:rFonts w:ascii="Times New Roman;Times;serif" w:hAnsi="Times New Roman;Times;serif"/>
          <w:sz w:val="20"/>
        </w:rPr>
      </w:pPr>
      <w:r>
        <w:rPr>
          <w:rFonts w:ascii="Times New Roman;Times;serif" w:hAnsi="Times New Roman;Times;serif"/>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60"/>
        <w:ind w:left="200" w:right="200" w:firstLine="360"/>
        <w:jc w:val="both"/>
        <w:rPr>
          <w:rFonts w:ascii="Times New Roman;Times;serif" w:hAnsi="Times New Roman;Times;serif"/>
          <w:sz w:val="20"/>
        </w:rPr>
      </w:pPr>
      <w:r>
        <w:rPr>
          <w:rFonts w:ascii="Times New Roman;Times;serif" w:hAnsi="Times New Roman;Times;serif"/>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200" w:right="200" w:firstLine="36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200" w:right="200" w:hanging="0"/>
        <w:jc w:val="left"/>
        <w:rPr/>
      </w:pPr>
      <w:r>
        <w:rPr/>
        <w:t>​</w:t>
      </w:r>
    </w:p>
    <w:p>
      <w:pPr>
        <w:pStyle w:val="Normal"/>
        <w:bidi w:val="0"/>
        <w:spacing w:before="0" w:after="720"/>
        <w:ind w:left="200" w:right="200" w:hanging="0"/>
        <w:jc w:val="left"/>
        <w:rPr>
          <w:sz w:val="4"/>
          <w:szCs w:val="4"/>
        </w:rPr>
      </w:pPr>
      <w:r>
        <w:rPr>
          <w:sz w:val="4"/>
          <w:szCs w:val="4"/>
        </w:rPr>
      </w:r>
      <w:bookmarkStart w:id="4" w:name="Tc_rxGOfvK4Xk6ipntyqOBnsg_2_3"/>
      <w:bookmarkStart w:id="5" w:name="Tc_Z7fHkNKRRkiTjFVmVmkJjQ_1_3"/>
      <w:bookmarkStart w:id="6" w:name="Tc_y5ngUiBDW0eqDGmccFIF8A_1_1"/>
      <w:bookmarkStart w:id="7" w:name="Tc_hlyIWXyzVUCcDkpZLpEnNA_0_4"/>
      <w:bookmarkStart w:id="8" w:name="Tc_RlJnAcGCBEKT-lr1LtLIBA_0_3"/>
      <w:bookmarkStart w:id="9" w:name="Tc_vI7mUkOyY0edGAHXlNrrPw_0_1"/>
      <w:bookmarkStart w:id="10" w:name="Tc_OknfiPdYLE23cFxEx_Hcsw_0_0"/>
      <w:bookmarkStart w:id="11" w:name="_89309b05_d3ff_436a_b5b4_ffdbd8b0c28f"/>
      <w:bookmarkStart w:id="12" w:name="Tc_rxGOfvK4Xk6ipntyqOBnsg_2_3"/>
      <w:bookmarkStart w:id="13" w:name="Tc_Z7fHkNKRRkiTjFVmVmkJjQ_1_3"/>
      <w:bookmarkStart w:id="14" w:name="Tc_y5ngUiBDW0eqDGmccFIF8A_1_1"/>
      <w:bookmarkStart w:id="15" w:name="Tc_hlyIWXyzVUCcDkpZLpEnNA_0_4"/>
      <w:bookmarkStart w:id="16" w:name="Tc_RlJnAcGCBEKT-lr1LtLIBA_0_3"/>
      <w:bookmarkStart w:id="17" w:name="Tc_vI7mUkOyY0edGAHXlNrrPw_0_1"/>
      <w:bookmarkStart w:id="18" w:name="Tc_OknfiPdYLE23cFxEx_Hcsw_0_0"/>
      <w:bookmarkStart w:id="19" w:name="_89309b05_d3ff_436a_b5b4_ffdbd8b0c28f"/>
      <w:bookmarkEnd w:id="12"/>
      <w:bookmarkEnd w:id="13"/>
      <w:bookmarkEnd w:id="14"/>
      <w:bookmarkEnd w:id="15"/>
      <w:bookmarkEnd w:id="16"/>
      <w:bookmarkEnd w:id="17"/>
      <w:bookmarkEnd w:id="18"/>
      <w:bookmarkEnd w:id="19"/>
    </w:p>
    <w:tbl>
      <w:tblPr>
        <w:tblW w:w="5255" w:type="dxa"/>
        <w:jc w:val="left"/>
        <w:tblInd w:w="200" w:type="dxa"/>
        <w:tblLayout w:type="fixed"/>
        <w:tblCellMar>
          <w:top w:w="0" w:type="dxa"/>
          <w:left w:w="0" w:type="dxa"/>
          <w:bottom w:w="0" w:type="dxa"/>
          <w:right w:w="0" w:type="dxa"/>
        </w:tblCellMar>
      </w:tblPr>
      <w:tblGrid>
        <w:gridCol w:w="1921"/>
        <w:gridCol w:w="316"/>
        <w:gridCol w:w="3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60"/>
        <w:ind w:left="200" w:right="200" w:firstLine="36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200" w:right="200" w:firstLine="360"/>
        <w:jc w:val="both"/>
        <w:rPr>
          <w:rFonts w:ascii="Times New Roman;Times;serif" w:hAnsi="Times New Roman;Times;serif"/>
          <w:sz w:val="20"/>
        </w:rPr>
      </w:pPr>
      <w:r>
        <w:rPr>
          <w:rFonts w:ascii="Times New Roman;Times;serif" w:hAnsi="Times New Roman;Times;serif"/>
          <w:sz w:val="20"/>
        </w:rPr>
        <w:t>If applicable, place an X in the box to designate the appropriate rule provision relied upon in conducting this transaction:</w:t>
      </w:r>
    </w:p>
    <w:p>
      <w:pPr>
        <w:pStyle w:val="TextBody"/>
        <w:bidi w:val="0"/>
        <w:spacing w:before="0" w:after="0"/>
        <w:ind w:left="200" w:right="200" w:hanging="0"/>
        <w:jc w:val="left"/>
        <w:rPr/>
      </w:pPr>
      <w:r>
        <w:rPr/>
        <w:t>​</w:t>
      </w:r>
    </w:p>
    <w:tbl>
      <w:tblPr>
        <w:tblW w:w="6257" w:type="dxa"/>
        <w:jc w:val="left"/>
        <w:tblInd w:w="200" w:type="dxa"/>
        <w:tblLayout w:type="fixed"/>
        <w:tblCellMar>
          <w:top w:w="0" w:type="dxa"/>
          <w:left w:w="0" w:type="dxa"/>
          <w:bottom w:w="0" w:type="dxa"/>
          <w:right w:w="0" w:type="dxa"/>
        </w:tblCellMar>
      </w:tblPr>
      <w:tblGrid>
        <w:gridCol w:w="2881"/>
        <w:gridCol w:w="3376"/>
      </w:tblGrid>
      <w:tr>
        <w:trPr/>
        <w:tc>
          <w:tcPr>
            <w:tcW w:w="2881"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ind w:left="0" w:right="0" w:hanging="0"/>
              <w:jc w:val="left"/>
              <w:rPr>
                <w:sz w:val="4"/>
                <w:szCs w:val="4"/>
              </w:rPr>
            </w:pPr>
            <w:r>
              <w:rPr>
                <w:sz w:val="4"/>
                <w:szCs w:val="4"/>
              </w:rPr>
            </w:r>
          </w:p>
        </w:tc>
      </w:tr>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829435" cy="175260"/>
                      <wp:effectExtent l="0" t="0" r="0" b="0"/>
                      <wp:wrapNone/>
                      <wp:docPr id="3" name="Frame3"/>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43760" cy="175260"/>
                      <wp:effectExtent l="0" t="0" r="0" b="0"/>
                      <wp:wrapNone/>
                      <wp:docPr id="4" name="Frame4"/>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Exchange Act Rule 13e-4(i)</w:t>
              <w:br/>
              <w:t>(Cross-Border Issuer Tender Offer)</w:t>
            </w:r>
          </w:p>
        </w:tc>
        <w:tc>
          <w:tcPr>
            <w:tcW w:w="3376"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Exchange Act Rule 14d-1(d)</w:t>
              <w:br/>
              <w:t>(Cross-Border Third-Party Tender Offer)</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b/>
          <w:sz w:val="20"/>
        </w:rPr>
      </w:pPr>
      <w:r>
        <w:rPr>
          <w:rFonts w:ascii="Times New Roman;Times;serif" w:hAnsi="Times New Roman;Times;serif"/>
          <w:b/>
          <w:sz w:val="20"/>
        </w:rPr>
        <w:t>This post-effective amendment No. 1 to registration statement shall hereinafter become effective in accordance with Section 8(c) of the Securities Act of 1933, as amended, or on such date as the Securities and Exchange Commission, acting pursuant to said Section 8(c), may determine.</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pBdr>
          <w:top w:val="single" w:sz="8" w:space="1" w:color="000000"/>
          <w:bottom w:val="single" w:sz="24" w:space="1" w:color="000000"/>
        </w:pBdr>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0" w:name="_233bab3b_76b1_4c3a_914a_18ed6f882653"/>
      <w:bookmarkEnd w:id="20"/>
      <w:r>
        <w:rPr>
          <w:rFonts w:ascii="Times New Roman;Times;serif" w:hAnsi="Times New Roman;Times;serif"/>
          <w:b/>
          <w:sz w:val="20"/>
        </w:rPr>
        <w:t>EXPLANATORY NOTE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Post-Effective Amendment No. 1 (this “Amendment”) to Registration Statement No. 333-294663, declared effective as of May 6, 2026 (as amended, the “Registration Statement”), is being filed pursuant to Rule 414(d) under the Securities Act of 1933, as amended (the “Securities Act”), by Factorial Energy Inc., a Delaware corporation (“New Factorial” or the “PubCo”), as the successor to Cartesian Growth Corporation III, a Cayman Islands exempted company limited by shares (“CGC”) to, among other things, (i) set forth additional information to reflect the Domestication (as defined below) and other material changes made in connection with or resulting from the succession, the closing of the Business Combination (as defined below) and as necessary to keep the Registration Statement from being misleading in any material respect, and (ii) provide financial statements and related notes of CGC and Factorial Inc., a Delaware corporation (“Factorial”).</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June 5, 2026, as contemplated by the Business Combination Agreement (as defined below) and described in the section titled “Proposal No. 1 - The Business Combination Proposal” of the final prospectus and definitive proxy statement of CGC, dated May 6, 2026 (the “Final Prospectus”) and filed with the U.S. Securities and Exchange Commission (the “Commission”), CGC changed its jurisdiction of incorporation from the Cayman Islands to the State of Delaware, as described further below (the “Domestication”), and changed its name to “Factorial Energy Inc.” New Factorial expressly adopts the Registration Statement, as modified by this Amendment, as its own registration statement for all purposes of the Securities Act and the Securities Exchange Act of 1934, as amended (the “Exchange Act”). For the purposes of this Amendment and the Registration Statement, references to the “Company,” the “Registrant,” “we,” “our,” “us” and similar terms mean, as of any time prior to the Domestication, CGC, and, as of any time after the Domestication, New Factorial. The information contained in this Amendment sets forth additional information to reflect the Domestication. All documents filed by the Company under Sections 13(a), 13(c), 14 or 15(d) of the Exchange Act before the effective date of the Domestication will not reflect the change in our jurisdiction of incorporation or capital structure.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Domestication was effected in the manner described in the section of the Registration Statement titled “Proposal No. 2 - The Domestication Proposal.” In the Domestication, CGC effected a deregistration under Part XII of the Cayman Islands Companies Act (As Revised) and, pursuant to Section 388 of the Delaware General Corporation Law (the “DGCL”), domesticated as a corporation incorporated under the laws of the State of Delaware.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the Domestication, immediately prior to the Domestication, (1) CGC effected the redemption of Class A ordinary shares of CGC, par value $0.0001 per share (the “CGC Class A Shares”), initially issued in CGC’s initial public offering (the “Public Shares” and the holders of Public Shares, the “Public Shareholders”) that were validly submitted for redemption and not withdrawn; and (2) each holder of each issued and outstanding CGC Class B ordinary shares of CGC, par value $0.0001 per share (the “CGC Class B Shares” or the “Founder Shares,” and together with the CGC Class A Shares, the “CGC Ordinary Shares”) irrevocably and unconditionally elected to convert, on a one-for-one basis, each CGC Class B Share held by it into one CGC Class A Share (the “Class B Share Conversion”). At the effective time of the Domestication, each outstanding CGC Class A Share (excluding Public Shares validly submitted for redemption, but including CGC Class A Shares issued upon the Class B Share Conversion) was reclassified as one share of Series A common stock, par value $0.00001 per share, of PubCo (the “PubCo Series A Common Stock”).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Trading of PubCo Series A Common Stock and the Pubco Public Warrants (as defined in the Final Prospectus) began on the Nasdaq Capital Market (“Nasdaq”) on June 8, 2026, under the new ticker symbols “FAC” and “FACWW,” respectively. Prior to the Domestication, the CGC Class A Shares and CGC Public Warrants (as defined in the Final Prospectus) traded under the ticker symbols “CGCT” and “CGCTW”, respectively, on the Nasdaq Stock Market LLC. Upon effectiveness of the Domestication, the CUSIP numbers relating to the PubCo Series A Common Stock and PubCo Public Warrants changed to 30347G103 and 30347G111, respectively.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rights of holders of PubCo Series A Common Stock are now governed by New Factorial’s Delaware certificate of incorporation, its Delaware bylaws and the DGCL, each of which is described in the Final Prospectus. The Final Prospectus formed part of the Registration Statement.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This Amendment sets forth additional information to reflect the Domestication and other material changes made in connection with or resulting from the succession, the closing of the business combination (the “Business Combination”) contemplated by that certain business combination agreement, dated as of December 17, 2025 (as amended by the Amendment No. 1 to Business Combination Agreement, dated as of March 26, 2026 and Amendment No. 2 to Business Combination Agreement, dated as of May 18, 2026, the “Business Combination Agreement”), by and among CGC, Fenway MS, Inc., a Delaware corporation and wholly-owned subsidiary of CGC (“Merger Sub”), and Factorial, and to keep the Registration Statement from being misleading in any material respect. All documents filed by the Company under Sections 13(a), 13(c), 14 or 15(d) of the Exchange Act before the effective date of the Domestication will not reflect the change in the Company’s name, jurisdiction of incorporation or capital </w:t>
      </w:r>
    </w:p>
    <w:p>
      <w:pPr>
        <w:pStyle w:val="TextBody"/>
        <w:bidi w:val="0"/>
        <w:spacing w:before="0" w:after="0"/>
        <w:ind w:left="200" w:right="200" w:hanging="0"/>
        <w:jc w:val="left"/>
        <w:rPr/>
      </w:pPr>
      <w:r>
        <w:rPr/>
        <w:t>​</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structure. On June 10, 2026, New Factorial filed a Current Report on Form 8-K disclosing the closing of the Business Combination and certain related transactions. Set forth below is the following additional information:</w:t>
      </w:r>
    </w:p>
    <w:tbl>
      <w:tblPr>
        <w:tblW w:w="9805" w:type="dxa"/>
        <w:jc w:val="left"/>
        <w:tblInd w:w="200" w:type="dxa"/>
        <w:tblLayout w:type="fixed"/>
        <w:tblCellMar>
          <w:top w:w="28" w:type="dxa"/>
          <w:left w:w="28" w:type="dxa"/>
          <w:bottom w:w="28" w:type="dxa"/>
          <w:right w:w="28" w:type="dxa"/>
        </w:tblCellMar>
      </w:tblPr>
      <w:tblGrid>
        <w:gridCol w:w="124"/>
        <w:gridCol w:w="239"/>
        <w:gridCol w:w="94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of PubCo as of and for the three months ended March 31, 2026 and for the year ended December 31, 2025;</w:t>
            </w:r>
          </w:p>
        </w:tc>
      </w:tr>
    </w:tbl>
    <w:tbl>
      <w:tblPr>
        <w:tblW w:w="9805" w:type="dxa"/>
        <w:jc w:val="left"/>
        <w:tblInd w:w="200" w:type="dxa"/>
        <w:tblLayout w:type="fixed"/>
        <w:tblCellMar>
          <w:top w:w="28" w:type="dxa"/>
          <w:left w:w="28" w:type="dxa"/>
          <w:bottom w:w="28" w:type="dxa"/>
          <w:right w:w="28" w:type="dxa"/>
        </w:tblCellMar>
      </w:tblPr>
      <w:tblGrid>
        <w:gridCol w:w="124"/>
        <w:gridCol w:w="241"/>
        <w:gridCol w:w="94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Management’s Discussion and Analysis of Financial Condition and Results of Operations of Factorial for the three months ended March 31, 2026 and 2025;</w:t>
            </w:r>
          </w:p>
        </w:tc>
      </w:tr>
    </w:tbl>
    <w:tbl>
      <w:tblPr>
        <w:tblW w:w="9805" w:type="dxa"/>
        <w:jc w:val="left"/>
        <w:tblInd w:w="200" w:type="dxa"/>
        <w:tblLayout w:type="fixed"/>
        <w:tblCellMar>
          <w:top w:w="28" w:type="dxa"/>
          <w:left w:w="28" w:type="dxa"/>
          <w:bottom w:w="28" w:type="dxa"/>
          <w:right w:w="28" w:type="dxa"/>
        </w:tblCellMar>
      </w:tblPr>
      <w:tblGrid>
        <w:gridCol w:w="124"/>
        <w:gridCol w:w="242"/>
        <w:gridCol w:w="9439"/>
      </w:tblGrid>
      <w:tr>
        <w:trPr/>
        <w:tc>
          <w:tcPr>
            <w:tcW w:w="124" w:type="dxa"/>
            <w:tcBorders/>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Management’s Discussion and Analysis of Financial Condition and Results of Operations of CGC for the three months ended March 31, 2026 and 2025;</w:t>
            </w:r>
          </w:p>
        </w:tc>
      </w:tr>
    </w:tbl>
    <w:tbl>
      <w:tblPr>
        <w:tblW w:w="9805" w:type="dxa"/>
        <w:jc w:val="left"/>
        <w:tblInd w:w="200" w:type="dxa"/>
        <w:tblLayout w:type="fixed"/>
        <w:tblCellMar>
          <w:top w:w="28" w:type="dxa"/>
          <w:left w:w="28" w:type="dxa"/>
          <w:bottom w:w="28" w:type="dxa"/>
          <w:right w:w="28" w:type="dxa"/>
        </w:tblCellMar>
      </w:tblPr>
      <w:tblGrid>
        <w:gridCol w:w="124"/>
        <w:gridCol w:w="243"/>
        <w:gridCol w:w="9438"/>
      </w:tblGrid>
      <w:tr>
        <w:trPr/>
        <w:tc>
          <w:tcPr>
            <w:tcW w:w="124" w:type="dxa"/>
            <w:tcBorders/>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3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of Factorial as of March 31, 2026 and for the three months ended March 31, 2026 and 2025; and</w:t>
            </w:r>
          </w:p>
        </w:tc>
      </w:tr>
    </w:tbl>
    <w:tbl>
      <w:tblPr>
        <w:tblW w:w="9805" w:type="dxa"/>
        <w:jc w:val="left"/>
        <w:tblInd w:w="200" w:type="dxa"/>
        <w:tblLayout w:type="fixed"/>
        <w:tblCellMar>
          <w:top w:w="28" w:type="dxa"/>
          <w:left w:w="28" w:type="dxa"/>
          <w:bottom w:w="28" w:type="dxa"/>
          <w:right w:w="28" w:type="dxa"/>
        </w:tblCellMar>
      </w:tblPr>
      <w:tblGrid>
        <w:gridCol w:w="124"/>
        <w:gridCol w:w="244"/>
        <w:gridCol w:w="94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3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consolidated condensed financial statements of CGC as of March 31, 2026 and for the three months ended March 31, 2026 and 2025.</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registration fees were paid at the time of filing of the Registration Statement. Because no additional securities are being registered, no further registration fee is required.</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21" w:name="TOC"/>
      <w:bookmarkStart w:id="22" w:name="_287645d8_734e_461a_9ea0_2bd2123fc769"/>
      <w:bookmarkEnd w:id="21"/>
      <w:bookmarkEnd w:id="22"/>
      <w:r>
        <w:rPr>
          <w:rFonts w:ascii="Times New Roman;Times;serif" w:hAnsi="Times New Roman;Times;serif"/>
          <w:b/>
          <w:sz w:val="20"/>
        </w:rPr>
        <w:t>TABLE OF CONTENTS</w:t>
      </w:r>
    </w:p>
    <w:tbl>
      <w:tblPr>
        <w:tblW w:w="9805" w:type="dxa"/>
        <w:jc w:val="left"/>
        <w:tblInd w:w="200" w:type="dxa"/>
        <w:tblLayout w:type="fixed"/>
        <w:tblCellMar>
          <w:top w:w="0" w:type="dxa"/>
          <w:left w:w="0" w:type="dxa"/>
          <w:bottom w:w="0" w:type="dxa"/>
          <w:right w:w="0" w:type="dxa"/>
        </w:tblCellMar>
      </w:tblPr>
      <w:tblGrid>
        <w:gridCol w:w="8948"/>
        <w:gridCol w:w="346"/>
        <w:gridCol w:w="511"/>
      </w:tblGrid>
      <w:tr>
        <w:trPr/>
        <w:tc>
          <w:tcPr>
            <w:tcW w:w="89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81980" cy="175260"/>
                      <wp:effectExtent l="0" t="0" r="0" b="0"/>
                      <wp:wrapNone/>
                      <wp:docPr id="5" name="Frame5"/>
                      <a:graphic xmlns:a="http://schemas.openxmlformats.org/drawingml/2006/main">
                        <a:graphicData uri="http://schemas.microsoft.com/office/word/2010/wordprocessingShape">
                          <wps:wsp>
                            <wps:cNvSpPr txBox="1"/>
                            <wps:spPr>
                              <a:xfrm>
                                <a:off x="0" y="0"/>
                                <a:ext cx="568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24485" cy="175260"/>
                      <wp:effectExtent l="0" t="0" r="0" b="0"/>
                      <wp:wrapNone/>
                      <wp:docPr id="6" name="Frame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9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948" w:type="dxa"/>
            <w:tcBorders/>
            <w:shd w:fill="CCEEFF" w:val="clear"/>
            <w:vAlign w:val="center"/>
          </w:tcPr>
          <w:p>
            <w:pPr>
              <w:pStyle w:val="TableContents"/>
              <w:pBdr/>
              <w:bidi w:val="0"/>
              <w:spacing w:before="0" w:after="0"/>
              <w:ind w:left="0" w:right="0" w:hanging="0"/>
              <w:jc w:val="left"/>
              <w:rPr/>
            </w:pPr>
            <w:hyperlink w:anchor="UNAUDITEDPROFORMACONDENSEDCOMBINEDFINANC">
              <w:r>
                <w:rPr>
                  <w:rStyle w:val="InternetLink"/>
                  <w:rFonts w:ascii="Times New Roman;Times;serif" w:hAnsi="Times New Roman;Times;serif"/>
                  <w:b w:val="false"/>
                  <w:i w:val="false"/>
                  <w:caps w:val="false"/>
                  <w:smallCaps w:val="false"/>
                  <w:sz w:val="20"/>
                </w:rPr>
                <w:t>UNAUDITED PRO FORMA CONDENSED COMBINED FINANCIAL INFORMATION OF PUBCO AS OF AND FOR THE THREE MONTHS ENDED MARCH 31, 2026 AND FOR THE YEAR ENDED DECEMBER 31, 2025</w:t>
              </w:r>
            </w:hyperlink>
          </w:p>
        </w:tc>
        <w:tc>
          <w:tcPr>
            <w:tcW w:w="346" w:type="dxa"/>
            <w:tcBorders/>
            <w:shd w:fill="CCEEFF" w:val="clear"/>
            <w:vAlign w:val="center"/>
          </w:tcPr>
          <w:p>
            <w:pPr>
              <w:pStyle w:val="TableContents"/>
              <w:bidi w:val="0"/>
              <w:spacing w:before="0" w:after="0"/>
              <w:ind w:left="0" w:right="0" w:hanging="0"/>
              <w:jc w:val="center"/>
              <w:rPr/>
            </w:pPr>
            <w:r>
              <w:rPr/>
              <w:t>​</w:t>
            </w:r>
          </w:p>
        </w:tc>
        <w:tc>
          <w:tcPr>
            <w:tcW w:w="51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948" w:type="dxa"/>
            <w:tcBorders/>
            <w:vAlign w:val="center"/>
          </w:tcPr>
          <w:p>
            <w:pPr>
              <w:pStyle w:val="TableContents"/>
              <w:pBdr/>
              <w:bidi w:val="0"/>
              <w:spacing w:before="0" w:after="0"/>
              <w:ind w:left="0" w:right="0" w:hanging="0"/>
              <w:jc w:val="left"/>
              <w:rPr/>
            </w:pPr>
            <w:hyperlink w:anchor="MANAGEMENTSDISCUSSIONANDANALYSIS_149345">
              <w:r>
                <w:rPr>
                  <w:rStyle w:val="InternetLink"/>
                  <w:rFonts w:ascii="Times New Roman;Times;serif" w:hAnsi="Times New Roman;Times;serif"/>
                  <w:b w:val="false"/>
                  <w:i w:val="false"/>
                  <w:caps w:val="false"/>
                  <w:smallCaps w:val="false"/>
                  <w:sz w:val="20"/>
                </w:rPr>
                <w:t>MANAGEMENT’S DISCUSSION AND ANALYSIS OF FINANCIAL CONDITION AND RESULTS OF OPERATIONS OF FACTORIAL FOR THE THREE MONTHS ENDED MARCH 31, 2026 AND 2025</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r>
      <w:tr>
        <w:trPr/>
        <w:tc>
          <w:tcPr>
            <w:tcW w:w="8948" w:type="dxa"/>
            <w:tcBorders/>
            <w:shd w:fill="CCEEFF" w:val="clear"/>
            <w:vAlign w:val="center"/>
          </w:tcPr>
          <w:p>
            <w:pPr>
              <w:pStyle w:val="TableContents"/>
              <w:pBdr/>
              <w:bidi w:val="0"/>
              <w:spacing w:before="0" w:after="0"/>
              <w:ind w:left="0" w:right="0" w:hanging="0"/>
              <w:jc w:val="left"/>
              <w:rPr/>
            </w:pPr>
            <w:hyperlink w:anchor="MANAGEMENTSDISCUSSIONCGC">
              <w:r>
                <w:rPr>
                  <w:rStyle w:val="InternetLink"/>
                  <w:rFonts w:ascii="Times New Roman;Times;serif" w:hAnsi="Times New Roman;Times;serif"/>
                  <w:b w:val="false"/>
                  <w:i w:val="false"/>
                  <w:caps w:val="false"/>
                  <w:smallCaps w:val="false"/>
                  <w:sz w:val="20"/>
                </w:rPr>
                <w:t>MANAGEMENT’S DISCUSSION AND ANALYSIS OF FINANCIAL CONDITION AND RESULTS OF OPERATIONS OF CGC FOR THE THREE MONTHS ENDED MARCH 31, 2026 AND 2025</w:t>
              </w:r>
            </w:hyperlink>
          </w:p>
        </w:tc>
        <w:tc>
          <w:tcPr>
            <w:tcW w:w="34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948" w:type="dxa"/>
            <w:tcBorders/>
            <w:vAlign w:val="center"/>
          </w:tcPr>
          <w:p>
            <w:pPr>
              <w:pStyle w:val="TableContents"/>
              <w:pBdr/>
              <w:bidi w:val="0"/>
              <w:spacing w:before="0" w:after="0"/>
              <w:ind w:left="0" w:right="0" w:hanging="0"/>
              <w:jc w:val="left"/>
              <w:rPr/>
            </w:pPr>
            <w:hyperlink w:anchor="INDEXTOFINANCIALSTATEMENTS_776555">
              <w:r>
                <w:rPr>
                  <w:rStyle w:val="InternetLink"/>
                  <w:rFonts w:ascii="Times New Roman;Times;serif" w:hAnsi="Times New Roman;Times;serif"/>
                  <w:b w:val="false"/>
                  <w:i w:val="false"/>
                  <w:caps w:val="false"/>
                  <w:smallCaps w:val="false"/>
                  <w:sz w:val="20"/>
                </w:rPr>
                <w:t>INDEX TO FINANCIAL STATEMENTS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23" w:name="UNAUDITEDPROFORMACONDENSEDCOMBINEDFINANC"/>
      <w:bookmarkStart w:id="24" w:name="_521a1c1f_fe82_43da_a503_0f09932f5c3d"/>
      <w:bookmarkEnd w:id="23"/>
      <w:bookmarkEnd w:id="24"/>
      <w:r>
        <w:rPr>
          <w:rFonts w:ascii="Times New Roman;Times;serif" w:hAnsi="Times New Roman;Times;serif"/>
          <w:b/>
          <w:sz w:val="20"/>
        </w:rPr>
        <w:t>UNAUDITED PRO FORMA CONDENSED COMBINED FINANCIAL INFORMATION</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 unless otherwise stated)</w:t>
      </w:r>
    </w:p>
    <w:p>
      <w:pPr>
        <w:pStyle w:val="TextBody"/>
        <w:bidi w:val="0"/>
        <w:spacing w:before="0" w:after="240"/>
        <w:ind w:left="200" w:right="200" w:firstLine="360"/>
        <w:jc w:val="left"/>
        <w:rPr>
          <w:rFonts w:ascii="Times New Roman;Times;serif" w:hAnsi="Times New Roman;Times;serif"/>
          <w:i/>
          <w:sz w:val="20"/>
        </w:rPr>
      </w:pPr>
      <w:r>
        <w:rPr>
          <w:rFonts w:ascii="Times New Roman;Times;serif" w:hAnsi="Times New Roman;Times;serif"/>
          <w:i/>
          <w:sz w:val="20"/>
        </w:rPr>
        <w:t>Capitalized terms used but not defined in this section shall have the meanings ascribed to them in the Current Report on Form 8-K (“Form 8-K”) filed with the Securities and Exchange Commission (the “Commission”) on June 10, 2026 and, if not defined in the Form 8-K, capitalized terms used but not defined in this section shall have the meanings ascribed to them in the definitive proxy statement/prospectus filed by Cartesian Growth Corporation III with the Commission on May 6, 2026, prior to the consummation of the business combination (the “Proxy Statement/Prospectus”).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Introduction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is selected unaudited pro forma condensed combined financial information to aid you in your analysis of the financial aspects of the Business Combination and related transactions.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unaudited pro forma condensed combined balance sheet as of March 31, 2026 gives pro forma effect to the Business Combination as if it was consummated on March 31, 2026. The unaudited pro forma condensed combined statements of operations for the three months ended March 31, 2026 and the year ended December 31, 2025 give pro forma effect to the Business Combination as if it was consummated on January 1, 2025, the beginning of the earliest period presented.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unaudited pro forma condensed combined financial information was derived from and should be read in conjunction with the following: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unaudited condensed consolidated financial statements as of and for the three months ended March 31, 2026, included as Exhibit 99.1 to the Form 8-K;</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rPr>
                <w:t>Factorial’s audited consolidated financial statements for the year ended December 31, 2025</w:t>
              </w:r>
            </w:hyperlink>
            <w:r>
              <w:rPr>
                <w:rFonts w:ascii="Times New Roman;Times;serif" w:hAnsi="Times New Roman;Times;serif"/>
                <w:b w:val="false"/>
                <w:i w:val="false"/>
                <w:caps w:val="false"/>
                <w:smallCaps w:val="false"/>
                <w:sz w:val="20"/>
              </w:rPr>
              <w:t>, included in the Proxy Statement/Prospectus;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rPr>
                <w:t>CGC’s unaudited condensed financial statements as of and for the three months ended March 31, 2026, included in the Quarterly Report on Form 10-Q filed with the Commission on May 15, 2026; and</w:t>
              </w:r>
            </w:hyperlink>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rPr>
                <w:t>CGC’s audited financial statements for the year ended December 31, 2025, included in the Annual Report on Form 10-K filed with the Commission on March 23, 2026 and incorporated herein by reference; and</w:t>
              </w:r>
            </w:hyperlink>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Common Stock is calculated based on shares outstanding as of the Merger Effective Time, and shares underlying vested and outstanding Factorial Options as of the Merger Effective Time for purposes of determining the Consideration Ratio.</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unaudited pro forma condensed combined financial information should also be read together with “Management’s Discussion and Analysis of Financial Condition and Results of Operations of Factorial” included in Exhibit 99.3 to the Form 8-K and incorporated by reference.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unaudited pro forma condensed combined financial information has been presented for illustrative purposes only and does not necessarily reflect what the actual results of operations of the combined company would have been had the Business Combination occurred on March 31, 2026 or January 1, 2025, respectively. The unaudited pro forma condensed combined financial information has been prepared, in accordance with Article 11 of Regulation S-X and is for informational purposes only. It is subject to several uncertainties and assumptions as described in the accompanying notes.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Further, the unaudited pro forma condensed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Description of the Transaction</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On December 17, 2025, CGC entered into the Business Combination Agreement with Factorial and Merger Sub, pursuant to which on June 5, 2026 (the “Merger Effective Time”) Merger Sub merged with and into Factorial, with Factorial surviving the merger as a wholly-owned subsidiary of CGC.</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board of directors of CGC has approved the Business Combination and the Domestication. In connection with, and as part of, the Domestication, CGC became a Delaware corporation and changed its corporate name to Factorial Energy, Inc. (“PubCo”) and all outstanding securities of CGC converted into securities of PubCo, as described in more detail in the Proxy Statement/Prospectus.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By virtue of the Merger and without any action on the part of any Party or any other person, the Aggregate Merger Consideration, equal to the Equity Value of $1.1 billion, consisting of a number of shares of PubCo Common Stock equal to the Equity Value divided by the Redemption Price, was issued as set forth in (i)-(iv) or reserved for issuance as set forth in (v)-(vi) below:</w:t>
      </w:r>
    </w:p>
    <w:tbl>
      <w:tblPr>
        <w:tblW w:w="9805" w:type="dxa"/>
        <w:jc w:val="left"/>
        <w:tblInd w:w="200" w:type="dxa"/>
        <w:tblLayout w:type="fixed"/>
        <w:tblCellMar>
          <w:top w:w="28" w:type="dxa"/>
          <w:left w:w="28" w:type="dxa"/>
          <w:bottom w:w="28" w:type="dxa"/>
          <w:right w:w="28" w:type="dxa"/>
        </w:tblCellMar>
      </w:tblPr>
      <w:tblGrid>
        <w:gridCol w:w="124"/>
        <w:gridCol w:w="211"/>
        <w:gridCol w:w="94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Merger Effective Time, each share of Factorial Common Stock that was issued and outstanding as of immediately prior to the Merger Effective Time (excluding treasury shares, dissenting shares and shares held by the Factorial Founders) was automatically canceled and converted into the right to receive a corresponding number of shares of PubCo Series A Common Stock equal to the Consideration Ratio and each share of Factorial’s capital stock that was issued and outstanding as of immediately prior to the Merger Effective Time held by the Factorial Founders was automatically canceled and converted into the right to receive a corresponding number of shares of PubCo Series B Common Stock equal to the Consideration Ratio;</w:t>
            </w:r>
          </w:p>
        </w:tc>
      </w:tr>
    </w:tbl>
    <w:tbl>
      <w:tblPr>
        <w:tblW w:w="7431" w:type="dxa"/>
        <w:jc w:val="left"/>
        <w:tblInd w:w="200" w:type="dxa"/>
        <w:tblLayout w:type="fixed"/>
        <w:tblCellMar>
          <w:top w:w="28" w:type="dxa"/>
          <w:left w:w="28" w:type="dxa"/>
          <w:bottom w:w="28" w:type="dxa"/>
          <w:right w:w="28" w:type="dxa"/>
        </w:tblCellMar>
      </w:tblPr>
      <w:tblGrid>
        <w:gridCol w:w="124"/>
        <w:gridCol w:w="271"/>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Factorial Common Stock set forth in (i) above gave effect to:</w:t>
            </w:r>
          </w:p>
        </w:tc>
      </w:tr>
    </w:tbl>
    <w:tbl>
      <w:tblPr>
        <w:tblW w:w="9805" w:type="dxa"/>
        <w:jc w:val="left"/>
        <w:tblInd w:w="200" w:type="dxa"/>
        <w:tblLayout w:type="fixed"/>
        <w:tblCellMar>
          <w:top w:w="28" w:type="dxa"/>
          <w:left w:w="28" w:type="dxa"/>
          <w:bottom w:w="28" w:type="dxa"/>
          <w:right w:w="28" w:type="dxa"/>
        </w:tblCellMar>
      </w:tblPr>
      <w:tblGrid>
        <w:gridCol w:w="124"/>
        <w:gridCol w:w="241"/>
        <w:gridCol w:w="94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each outstanding convertible debt instrument including accrued interest (including the Factorial Convertible Notes) into Factorial Common Stock pursuant to its terms;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each issued and outstanding share of Factorial Preferred Stock into a number of shares of Factorial Common Stock in accordance with the terms of Section 5.1 of the Factorial Certificate of Incorporation in effect immediately prior to the Merger Effective Time; and</w:t>
            </w:r>
          </w:p>
        </w:tc>
      </w:tr>
    </w:tbl>
    <w:tbl>
      <w:tblPr>
        <w:tblW w:w="9805" w:type="dxa"/>
        <w:jc w:val="left"/>
        <w:tblInd w:w="200" w:type="dxa"/>
        <w:tblLayout w:type="fixed"/>
        <w:tblCellMar>
          <w:top w:w="28" w:type="dxa"/>
          <w:left w:w="28" w:type="dxa"/>
          <w:bottom w:w="28" w:type="dxa"/>
          <w:right w:w="28" w:type="dxa"/>
        </w:tblCellMar>
      </w:tblPr>
      <w:tblGrid>
        <w:gridCol w:w="124"/>
        <w:gridCol w:w="241"/>
        <w:gridCol w:w="94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4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each issued and outstanding Factorial Warrant into a number of shares of Factorial Common Stock in accordance with the terms of the corresponding warrant agreements;</w:t>
            </w:r>
          </w:p>
        </w:tc>
      </w:tr>
    </w:tbl>
    <w:tbl>
      <w:tblPr>
        <w:tblW w:w="9805" w:type="dxa"/>
        <w:jc w:val="left"/>
        <w:tblInd w:w="200" w:type="dxa"/>
        <w:tblLayout w:type="fixed"/>
        <w:tblCellMar>
          <w:top w:w="28" w:type="dxa"/>
          <w:left w:w="28" w:type="dxa"/>
          <w:bottom w:w="28" w:type="dxa"/>
          <w:right w:w="28" w:type="dxa"/>
        </w:tblCellMar>
      </w:tblPr>
      <w:tblGrid>
        <w:gridCol w:w="124"/>
        <w:gridCol w:w="331"/>
        <w:gridCol w:w="9350"/>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3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Factorial Common Stock held immediately prior to the Merger Effective Time by Factorial as treasury stock was automatically cancelled and extinguished, and no consideration was paid with respect thereto;</w:t>
            </w:r>
          </w:p>
        </w:tc>
      </w:tr>
    </w:tbl>
    <w:tbl>
      <w:tblPr>
        <w:tblW w:w="9805" w:type="dxa"/>
        <w:jc w:val="left"/>
        <w:tblInd w:w="200" w:type="dxa"/>
        <w:tblLayout w:type="fixed"/>
        <w:tblCellMar>
          <w:top w:w="28" w:type="dxa"/>
          <w:left w:w="28" w:type="dxa"/>
          <w:bottom w:w="28" w:type="dxa"/>
          <w:right w:w="28" w:type="dxa"/>
        </w:tblCellMar>
      </w:tblPr>
      <w:tblGrid>
        <w:gridCol w:w="124"/>
        <w:gridCol w:w="316"/>
        <w:gridCol w:w="93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3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capital stock of Merger Sub issued and outstanding immediately prior to the Merger Effective Time was automatically cancelled and extinguished and converted into one share of Factorial Common Stock;</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and unexercised vested Factorial Option to purchase shares of Factorial Common Stock became a PubCo Option containing the same terms, conditions, vesting and other provisions as were historically applicable to such Factorial Options and each resulting PubCo Option became exercisable for the number of shares of PubCo Series A Common Stock equal to the Consideration Ratio multiplied by the number of shares of Factorial common stock subject to the Factorial Option as of immediately prior to the Merger Effective Time, rounded down to the nearest whole share, at an exercise price equal to the per share exercise price of the Factorial Option divided by the Consideration Ratio, rounded up to the nearest whole cent; and</w:t>
            </w:r>
          </w:p>
        </w:tc>
      </w:tr>
    </w:tbl>
    <w:tbl>
      <w:tblPr>
        <w:tblW w:w="9805" w:type="dxa"/>
        <w:jc w:val="left"/>
        <w:tblInd w:w="200" w:type="dxa"/>
        <w:tblLayout w:type="fixed"/>
        <w:tblCellMar>
          <w:top w:w="28" w:type="dxa"/>
          <w:left w:w="28" w:type="dxa"/>
          <w:bottom w:w="28" w:type="dxa"/>
          <w:right w:w="28" w:type="dxa"/>
        </w:tblCellMar>
      </w:tblPr>
      <w:tblGrid>
        <w:gridCol w:w="124"/>
        <w:gridCol w:w="316"/>
        <w:gridCol w:w="93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3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Factorial RSU that was outstanding with respect to shares of Factorial Common Stock was cancelled in exchange for a PubCo RSU under the PubCo Incentive Plan containing the same terms, conditions, vesting and other provisions as were historically applicable to such Factorial RSU, and each resulting PubCo RSU will settle into a number of shares of PubCo Series A Common Stock equal to a number of shares of PubCo Series A Common Stock as set forth on an allocation schedule, rounded down to the nearest whole share.</w:t>
            </w:r>
          </w:p>
        </w:tc>
      </w:tr>
    </w:tbl>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In addition, PubCo consummated the PIPE Financing pursuant to the PIPE Purchase Agreements. Under the Institutional Investor Stock Purchase Agreement, the Institutional Investor committed to purchase 7,500,000 shares of PubCo Series A Common Stock for an aggregate purchase price of $75.0 million at $10.00 per share. Prior to Closing, the Institutional Investor purchased 2,000,000 Class A ordinary shares of CGC in open market or privately negotiated transactions, which reduced its remaining PIPE Financing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purchase commitment on a share-for-share basis. Accordingly, through the PIPE Financing, PubCo issued 5,500,000 shares of PubCo Series A Common Stock to the Institutional Investor for an aggregate purchase price of $55.0 million. Under the Sponsor Investor Stock Purchase Agreement, the Sponsor Investor committed to purchase 2,400,168 shares of PubCo Series A Common Stock (based on the Merger Effective Time Redemption Price) for an aggregate purchase price of $25.0 million. Prior to Closing, the Sponsor Investor purchased 1,470,764 Class A ordinary shares of CGC in the open market, which reduced its remaining PIPE Financing purchase commitment on a share-for-share basis. Accordingly, through the PIPE Financing, PubCo issued 929,404 shares of PubCo Series A Common Stock to the Sponsor Investor at the closing Redemption Price of $10.41593671 per share, for an aggregate purchase price of approximately $9.7 million.</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In connection with the Institutional Investor’s open market purchases, and pursuant to the Letter Agreement among the Institutional Investor, Factorial and the Sponsor executed on May 18, 2026, the Sponsor transferred at Closing 90,000 shares of PubCo Series A Common Stock to the Institutional Investor, representing the $900,000 Differential Amount divided by $10.00, and Factorial reimbursed the Sponsor in cash for such Differential Amount. In addition, pursuant to the Investor Stock Purchase Agreements, the Sponsor transferred, directly or indirectly through forfeiture and reissuance, an aggregate of 750,000 shares of PubCo Series A Common Stock to the Institutional Investor and 250,000 shares of PubCo Series A Common Stock to the Sponsor Investor. After giving effect to these Sponsor share transfers, the Institutional Investor received 6,340,000 shares for $55.0 million, or an effective purchase price of approximately $8.68 per share, and the Sponsor Investor effectively received 1,179,404 shares for $9.7 million, or an effective purchase price of approximately $8.21 per share. Note that based on the nature of such Sponsor to investor transfers, no expense is recorded by PubCo as a result of the transfers.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diagram below depicts a simplified version of the combined company’s organizational structure immediately following the consummation of the Business Combination and the PIPE Financing:</w:t>
      </w:r>
    </w:p>
    <w:p>
      <w:pPr>
        <w:pStyle w:val="TextBody"/>
        <w:bidi w:val="0"/>
        <w:spacing w:before="0" w:after="240"/>
        <w:ind w:left="200" w:right="200" w:hanging="0"/>
        <w:jc w:val="center"/>
        <w:rPr/>
      </w:pPr>
      <w:r>
        <w:rPr/>
        <w:drawing>
          <wp:inline distT="0" distB="0" distL="0" distR="0">
            <wp:extent cx="5724525" cy="287464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5"/>
                    <a:stretch>
                      <a:fillRect/>
                    </a:stretch>
                  </pic:blipFill>
                  <pic:spPr bwMode="auto">
                    <a:xfrm>
                      <a:off x="0" y="0"/>
                      <a:ext cx="5724525" cy="2874645"/>
                    </a:xfrm>
                    <a:prstGeom prst="rect">
                      <a:avLst/>
                    </a:prstGeom>
                  </pic:spPr>
                </pic:pic>
              </a:graphicData>
            </a:graphic>
          </wp:inline>
        </w:drawing>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Set forth below is a calculation, on a per CGC Class A Ordinary Share basis, of the approximate net cash received by PubCo from the Trust Account and PIPE Financing. Such calculations are based upon (i) cash held in the Trust Account as of March 31, 2026 assuming the Merger Effective Time redemption price of $10.41593671 (“Redemption Price”) per Public Share and (ii) $64,681 of gross cash proceeds received from the PIPE Financing, and (iii) approximate transaction expenses of $22,057 including the estimated PIPE Financing transaction expenses of $3,750, Factorial’s approximate transaction expenses of $10,259, and CGC’s approximate transaction expenses of $8,048. Pursuant to the Investor Stock Purchase Agreements, the PIPE Investors were entitled to satisfy a portion of their respective purchase obligations through the acquisition of Public Shares and the non-redemption of such shares. In connection with the Closing, the Institutional Investor acquired 2,000,000 Public Shares and the Sponsor Investor acquired 1,470,764 Public Shares, each of which reduced such investor’s obligation to purchase shares of PubCo Common Stock at Closing on a share-for-share basis. The calculations set forth below give effect to those Public Share purchases in determining the number of shares of PubCo Common Stock issued to the PIPE Investors at Closing.</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Below is a calculation, on a per CGC Class A Share basis, of the cash received by PubCo from the Trust Account and PIPE Financing, net of transaction expenses. The total number of shares outstanding in the table below gives effect to the issuance of shares of PubCo Common Stock upon consummation of the Business Combination.</w:t>
      </w:r>
    </w:p>
    <w:tbl>
      <w:tblPr>
        <w:tblW w:w="5569" w:type="dxa"/>
        <w:jc w:val="left"/>
        <w:tblInd w:w="200" w:type="dxa"/>
        <w:tblLayout w:type="fixed"/>
        <w:tblCellMar>
          <w:top w:w="0" w:type="dxa"/>
          <w:left w:w="0" w:type="dxa"/>
          <w:bottom w:w="0" w:type="dxa"/>
          <w:right w:w="0" w:type="dxa"/>
        </w:tblCellMar>
      </w:tblPr>
      <w:tblGrid>
        <w:gridCol w:w="3826"/>
        <w:gridCol w:w="346"/>
        <w:gridCol w:w="211"/>
        <w:gridCol w:w="1186"/>
      </w:tblGrid>
      <w:tr>
        <w:trPr/>
        <w:tc>
          <w:tcPr>
            <w:tcW w:w="3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r>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429510" cy="175260"/>
                      <wp:effectExtent l="0" t="0" r="0" b="0"/>
                      <wp:wrapNone/>
                      <wp:docPr id="8" name="Frame7"/>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53110" cy="175260"/>
                      <wp:effectExtent l="0" t="0" r="0" b="0"/>
                      <wp:wrapNone/>
                      <wp:docPr id="11" name="Frame1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lineRule="auto" w:line="328"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share and per share amounts)</w:t>
            </w:r>
          </w:p>
        </w:tc>
        <w:tc>
          <w:tcPr>
            <w:tcW w:w="346" w:type="dxa"/>
            <w:tcBorders/>
            <w:vAlign w:val="center"/>
          </w:tcPr>
          <w:p>
            <w:pPr>
              <w:pStyle w:val="TableContents"/>
              <w:bidi w:val="0"/>
              <w:spacing w:lineRule="auto" w:line="328" w:before="0" w:after="0"/>
              <w:ind w:left="0" w:right="0" w:hanging="0"/>
              <w:jc w:val="left"/>
              <w:rPr/>
            </w:pPr>
            <w:r>
              <w:rPr/>
              <w:t>  ​ ​ ​</w:t>
            </w:r>
          </w:p>
        </w:tc>
        <w:tc>
          <w:tcPr>
            <w:tcW w:w="139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Actual</w:t>
              <w:br/>
              <w:t>Redemptions</w:t>
            </w:r>
            <w:r>
              <w:rPr>
                <w:rFonts w:ascii="Times New Roman;Times;serif" w:hAnsi="Times New Roman;Times;serif"/>
                <w:b/>
                <w:sz w:val="12"/>
              </w:rPr>
              <w:t>(1)</w:t>
            </w:r>
          </w:p>
        </w:tc>
      </w:tr>
      <w:tr>
        <w:trPr/>
        <w:tc>
          <w:tcPr>
            <w:tcW w:w="382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CGC Class A Ordinary Shares Not Redeemed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118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4,548,687</w:t>
            </w:r>
          </w:p>
        </w:tc>
      </w:tr>
      <w:tr>
        <w:trPr/>
        <w:tc>
          <w:tcPr>
            <w:tcW w:w="382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Gross Cash Proceeds of Trust Account</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47,379</w:t>
            </w:r>
          </w:p>
        </w:tc>
      </w:tr>
      <w:tr>
        <w:trPr/>
        <w:tc>
          <w:tcPr>
            <w:tcW w:w="382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Gross Cash Proceeds from the PIPE Financing</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64,681</w:t>
            </w:r>
          </w:p>
        </w:tc>
      </w:tr>
      <w:tr>
        <w:trPr/>
        <w:tc>
          <w:tcPr>
            <w:tcW w:w="3826"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Transaction Expenses</w:t>
            </w:r>
            <w:r>
              <w:rPr>
                <w:rFonts w:ascii="Times New Roman;Times;serif" w:hAnsi="Times New Roman;Times;serif"/>
                <w:sz w:val="15"/>
              </w:rPr>
              <w:t>(2)</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21,410</w:t>
            </w:r>
          </w:p>
        </w:tc>
      </w:tr>
      <w:tr>
        <w:trPr/>
        <w:tc>
          <w:tcPr>
            <w:tcW w:w="382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Total Shares Outstanding</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pPr>
            <w:r>
              <w:rPr/>
              <w:t>​</w:t>
            </w:r>
          </w:p>
        </w:tc>
        <w:tc>
          <w:tcPr>
            <w:tcW w:w="118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107,023,245</w:t>
            </w:r>
          </w:p>
        </w:tc>
      </w:tr>
      <w:tr>
        <w:trPr/>
        <w:tc>
          <w:tcPr>
            <w:tcW w:w="382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Net Cash per share of CGC Class A Shares</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lineRule="auto" w:line="328" w:before="0" w:after="0"/>
              <w:ind w:left="0" w:right="60" w:hanging="0"/>
              <w:jc w:val="right"/>
              <w:rPr>
                <w:rFonts w:ascii="Times New Roman;Times;serif" w:hAnsi="Times New Roman;Times;serif"/>
                <w:sz w:val="20"/>
              </w:rPr>
            </w:pPr>
            <w:r>
              <w:rPr>
                <w:rFonts w:ascii="Times New Roman;Times;serif" w:hAnsi="Times New Roman;Times;serif"/>
                <w:sz w:val="20"/>
              </w:rPr>
              <w:t>0.85</w:t>
            </w:r>
          </w:p>
        </w:tc>
      </w:tr>
    </w:tbl>
    <w:tbl>
      <w:tblPr>
        <w:tblW w:w="9805" w:type="dxa"/>
        <w:jc w:val="left"/>
        <w:tblInd w:w="200" w:type="dxa"/>
        <w:tblLayout w:type="fixed"/>
        <w:tblCellMar>
          <w:top w:w="0" w:type="dxa"/>
          <w:left w:w="0" w:type="dxa"/>
          <w:bottom w:w="0" w:type="dxa"/>
          <w:right w:w="0" w:type="dxa"/>
        </w:tblCellMar>
      </w:tblPr>
      <w:tblGrid>
        <w:gridCol w:w="300"/>
        <w:gridCol w:w="95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redemption of 23,051,313 of CGC Class A Shares out of the 27,600,000 of CGC Class A Ordinary Shares available for redemption by CGC Public Shareholders prior to the Closing. Note that the 4,548,687 shares presented herein include an aggregate of 3,470,764 CGC Class A Shares (the “NRA Shares”) that the Institutional Investor and the Sponsor Investor purchased prior to the Closing to partially satisfy their PIPE Financing obligations.</w:t>
            </w:r>
          </w:p>
        </w:tc>
      </w:tr>
    </w:tbl>
    <w:tbl>
      <w:tblPr>
        <w:tblW w:w="9805" w:type="dxa"/>
        <w:jc w:val="left"/>
        <w:tblInd w:w="200" w:type="dxa"/>
        <w:tblLayout w:type="fixed"/>
        <w:tblCellMar>
          <w:top w:w="0" w:type="dxa"/>
          <w:left w:w="0" w:type="dxa"/>
          <w:bottom w:w="0" w:type="dxa"/>
          <w:right w:w="0" w:type="dxa"/>
        </w:tblCellMar>
      </w:tblPr>
      <w:tblGrid>
        <w:gridCol w:w="299"/>
        <w:gridCol w:w="95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cash transaction expenses relating to both the Business Combination and the PIPE Financing. This amount includes $1,346 of cash transaction expenses paid prior to the Closing and $20,064. However, this amount excludes $647 that was payable in Pubco Series A Common Stock for the merger underwriter fee as it’s a non-cash transaction expense. Refer to Note (c) of the unaudited condensed combined pro forma balance sheets as of March 31, 2026 for more information.</w:t>
            </w:r>
          </w:p>
        </w:tc>
      </w:tr>
    </w:tbl>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Accounting for the Business Combination</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Business Combination will be accounted for as a reverse recapitalization in accordance with U.S. GAAP. Under a reverse recapitalization, CGC will be treated as the “acquired” company for financial reporting purposes. Factorial has been determined to be the accounting acquirer based on evaluation of the following facts and circumstances:</w:t>
      </w:r>
    </w:p>
    <w:tbl>
      <w:tblPr>
        <w:tblW w:w="6231" w:type="dxa"/>
        <w:jc w:val="left"/>
        <w:tblInd w:w="20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shareholders will have the largest voting interest in PubCo;</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such voting interest, Factorial’s shareholders will have the ability to nominate a majority of the members of the PubCo Board of Directors;</w:t>
            </w:r>
          </w:p>
        </w:tc>
      </w:tr>
    </w:tbl>
    <w:tbl>
      <w:tblPr>
        <w:tblW w:w="6741" w:type="dxa"/>
        <w:jc w:val="left"/>
        <w:tblInd w:w="20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senior management will be the senior management of PubCo; and</w:t>
            </w:r>
          </w:p>
        </w:tc>
      </w:tr>
    </w:tbl>
    <w:tbl>
      <w:tblPr>
        <w:tblW w:w="7221" w:type="dxa"/>
        <w:jc w:val="left"/>
        <w:tblInd w:w="20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the larger entity, in terms of substantive operations and employee base.</w:t>
            </w:r>
          </w:p>
        </w:tc>
      </w:tr>
    </w:tbl>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Accordingly, for accounting purposes, the Business Combination will be treated as the equivalent of Factorial issuing shares for the net assets of CGC, accompanied by a recapitalization. The net assets of CGC will be stated at fair value, with no goodwill or other intangible assets recorded. Operations prior to the Business Combination will be those of Factorial.</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Basis of Pro Forma Presentation</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historical financial information has been adjusted to give pro forma effect to Factorial’s issuance of Factorial Convertible Notes in May 2026, that converted into Pubco Series A Common Stock in connection with the Business Combination. Although the Factorial Convertible Notes converted into Pubco Series A Common Stock in connection with the Business Combination, such Factorial Convertible Notes were not issued in connection with, or contingent upon, the Business Combination, as the August 2025 Factorial Convertible Notes were issued to existing investors in Factorial prior to the negotiation of the Business Combination Agreement and the January and May 2026 Factorial Convertible Notes were issued to strategic partners with whom Factorial is party to commercial arrangements and all of the shares issuable upon conversion of the Factorial Convertible Notes have been included in the Aggregate Fully Diluted Factorial Shares. For the Factorial Convertible Notes issued in May 2026, the Company estimated the pro forma effect for proceeds received under such convertible notes through the Merger Effective Time. The pro forma effect of the May 2026 Factorial Convertible Notes issuance has been assumed to have occurred as of March 31, 2026 for balance sheet purposes. The adjustments presented on the unaudited pro forma condensed combined financial statements have been identified and presented to provide relevant information necessary for a more accurate understanding of the combined company upon consummation of the Business Combination.</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pro forma adjustments included in the unaudited pro forma condensed combined balance sheet as of March 31, 2026 and in the unaudited pro forma condensed combined statements of operations for the three months ended March 31, 2026 and for the year ended December 31, 2025 are based on preliminary estimates. The final amounts recorded may differ from the information presented.</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Factorial and CGC did not have any historical relationship prior to the Business Combination. Accordingly, no pro forma adjustments were required to eliminate activities between the companies.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pro forma shares of the combined common stock issued and outstanding immediately after the Business Combination are presented below:</w:t>
      </w:r>
    </w:p>
    <w:tbl>
      <w:tblPr>
        <w:tblW w:w="4578" w:type="dxa"/>
        <w:jc w:val="left"/>
        <w:tblInd w:w="200" w:type="dxa"/>
        <w:tblLayout w:type="fixed"/>
        <w:tblCellMar>
          <w:top w:w="0" w:type="dxa"/>
          <w:left w:w="0" w:type="dxa"/>
          <w:bottom w:w="0" w:type="dxa"/>
          <w:right w:w="0" w:type="dxa"/>
        </w:tblCellMar>
      </w:tblPr>
      <w:tblGrid>
        <w:gridCol w:w="2491"/>
        <w:gridCol w:w="346"/>
        <w:gridCol w:w="1741"/>
      </w:tblGrid>
      <w:tr>
        <w:trPr/>
        <w:tc>
          <w:tcPr>
            <w:tcW w:w="24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581785" cy="175260"/>
                      <wp:effectExtent l="0" t="0" r="0" b="0"/>
                      <wp:wrapNone/>
                      <wp:docPr id="12" name="Frame11"/>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105535" cy="175260"/>
                      <wp:effectExtent l="0" t="0" r="0" b="0"/>
                      <wp:wrapNone/>
                      <wp:docPr id="14" name="Frame1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  ​ ​ ​</w:t>
            </w:r>
          </w:p>
        </w:tc>
        <w:tc>
          <w:tcPr>
            <w:tcW w:w="174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Pro Forma Combined</w:t>
            </w:r>
          </w:p>
        </w:tc>
      </w:tr>
      <w:tr>
        <w:trPr/>
        <w:tc>
          <w:tcPr>
            <w:tcW w:w="249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CGC’s Public Shareholders</w:t>
            </w:r>
            <w:r>
              <w:rPr>
                <w:rFonts w:ascii="Times New Roman;Times;serif" w:hAnsi="Times New Roman;Times;serif"/>
                <w:sz w:val="15"/>
              </w:rPr>
              <w:t>(1)</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74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4,548,687</w:t>
            </w:r>
          </w:p>
        </w:tc>
      </w:tr>
      <w:tr>
        <w:trPr/>
        <w:tc>
          <w:tcPr>
            <w:tcW w:w="249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Sponsor and DirectorCo</w:t>
            </w:r>
            <w:r>
              <w:rPr>
                <w:rFonts w:ascii="Times New Roman;Times;serif" w:hAnsi="Times New Roman;Times;serif"/>
                <w:sz w:val="15"/>
              </w:rPr>
              <w:t>(2)</w:t>
            </w:r>
          </w:p>
        </w:tc>
        <w:tc>
          <w:tcPr>
            <w:tcW w:w="346" w:type="dxa"/>
            <w:tcBorders/>
            <w:vAlign w:val="center"/>
          </w:tcPr>
          <w:p>
            <w:pPr>
              <w:pStyle w:val="TableContents"/>
              <w:bidi w:val="0"/>
              <w:spacing w:lineRule="auto" w:line="328" w:before="0" w:after="0"/>
              <w:ind w:left="0" w:right="0" w:hanging="0"/>
              <w:jc w:val="left"/>
              <w:rPr/>
            </w:pPr>
            <w:r>
              <w:rPr/>
              <w:t>​</w:t>
            </w:r>
          </w:p>
        </w:tc>
        <w:tc>
          <w:tcPr>
            <w:tcW w:w="174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5,810,000</w:t>
            </w:r>
          </w:p>
        </w:tc>
      </w:tr>
      <w:tr>
        <w:trPr/>
        <w:tc>
          <w:tcPr>
            <w:tcW w:w="249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PIPE Institutional Investor</w:t>
            </w:r>
            <w:r>
              <w:rPr>
                <w:rFonts w:ascii="Times New Roman;Times;serif" w:hAnsi="Times New Roman;Times;serif"/>
                <w:sz w:val="15"/>
              </w:rPr>
              <w:t>(3)</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74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6,340,000</w:t>
            </w:r>
          </w:p>
        </w:tc>
      </w:tr>
      <w:tr>
        <w:trPr/>
        <w:tc>
          <w:tcPr>
            <w:tcW w:w="249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PIPE Sponsor Investor</w:t>
            </w:r>
            <w:r>
              <w:rPr>
                <w:rFonts w:ascii="Times New Roman;Times;serif" w:hAnsi="Times New Roman;Times;serif"/>
                <w:sz w:val="15"/>
              </w:rPr>
              <w:t>(4)</w:t>
            </w:r>
          </w:p>
        </w:tc>
        <w:tc>
          <w:tcPr>
            <w:tcW w:w="346" w:type="dxa"/>
            <w:tcBorders/>
            <w:vAlign w:val="center"/>
          </w:tcPr>
          <w:p>
            <w:pPr>
              <w:pStyle w:val="TableContents"/>
              <w:bidi w:val="0"/>
              <w:spacing w:lineRule="auto" w:line="328" w:before="0" w:after="0"/>
              <w:ind w:left="0" w:right="0" w:hanging="0"/>
              <w:jc w:val="left"/>
              <w:rPr/>
            </w:pPr>
            <w:r>
              <w:rPr/>
              <w:t>​</w:t>
            </w:r>
          </w:p>
        </w:tc>
        <w:tc>
          <w:tcPr>
            <w:tcW w:w="174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1,179,404</w:t>
            </w:r>
          </w:p>
        </w:tc>
      </w:tr>
      <w:tr>
        <w:trPr/>
        <w:tc>
          <w:tcPr>
            <w:tcW w:w="249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Factorial Shareholders</w:t>
            </w:r>
            <w:r>
              <w:rPr>
                <w:rFonts w:ascii="Times New Roman;Times;serif" w:hAnsi="Times New Roman;Times;serif"/>
                <w:sz w:val="15"/>
              </w:rPr>
              <w:t>(5)</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74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89,083,036</w:t>
            </w:r>
          </w:p>
        </w:tc>
      </w:tr>
      <w:tr>
        <w:trPr/>
        <w:tc>
          <w:tcPr>
            <w:tcW w:w="249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Cantor Advisory Fee</w:t>
            </w:r>
            <w:r>
              <w:rPr>
                <w:rFonts w:ascii="Times New Roman;Times;serif" w:hAnsi="Times New Roman;Times;serif"/>
                <w:sz w:val="15"/>
              </w:rPr>
              <w:t>(6)</w:t>
            </w:r>
          </w:p>
        </w:tc>
        <w:tc>
          <w:tcPr>
            <w:tcW w:w="346" w:type="dxa"/>
            <w:tcBorders/>
            <w:vAlign w:val="center"/>
          </w:tcPr>
          <w:p>
            <w:pPr>
              <w:pStyle w:val="TableContents"/>
              <w:bidi w:val="0"/>
              <w:spacing w:lineRule="auto" w:line="328" w:before="0" w:after="0"/>
              <w:ind w:left="0" w:right="0" w:hanging="0"/>
              <w:jc w:val="left"/>
              <w:rPr/>
            </w:pPr>
            <w:r>
              <w:rPr/>
              <w:t>​</w:t>
            </w:r>
          </w:p>
        </w:tc>
        <w:tc>
          <w:tcPr>
            <w:tcW w:w="1741"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62,118</w:t>
            </w:r>
          </w:p>
        </w:tc>
      </w:tr>
      <w:tr>
        <w:trPr/>
        <w:tc>
          <w:tcPr>
            <w:tcW w:w="2491"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Total shares outstanding</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7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28" w:before="0" w:after="0"/>
              <w:ind w:left="0" w:right="60" w:hanging="0"/>
              <w:jc w:val="right"/>
              <w:rPr>
                <w:rFonts w:ascii="Times New Roman;Times;serif" w:hAnsi="Times New Roman;Times;serif"/>
                <w:b/>
                <w:sz w:val="20"/>
              </w:rPr>
            </w:pPr>
            <w:r>
              <w:rPr>
                <w:rFonts w:ascii="Times New Roman;Times;serif" w:hAnsi="Times New Roman;Times;serif"/>
                <w:b/>
                <w:sz w:val="20"/>
              </w:rPr>
              <w:t>107,023,245</w:t>
            </w:r>
          </w:p>
        </w:tc>
      </w:tr>
    </w:tbl>
    <w:tbl>
      <w:tblPr>
        <w:tblW w:w="9805" w:type="dxa"/>
        <w:jc w:val="left"/>
        <w:tblInd w:w="200" w:type="dxa"/>
        <w:tblLayout w:type="fixed"/>
        <w:tblCellMar>
          <w:top w:w="0" w:type="dxa"/>
          <w:left w:w="0" w:type="dxa"/>
          <w:bottom w:w="0" w:type="dxa"/>
          <w:right w:w="0" w:type="dxa"/>
        </w:tblCellMar>
      </w:tblPr>
      <w:tblGrid>
        <w:gridCol w:w="300"/>
        <w:gridCol w:w="95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redemption of 23,051,313 CGC Class A Shares out of the 27,600,000 CGC Class A Ordinary Shares available for redemption by CGC Public Shareholders prior to the Closing. Note that the 4,548,687 shares presented herein include an aggregate of 3,470,764 CGC Class A Shares (the “NRA Shares”) that the Institutional Investor and the Sponsor Investor purchased prior to the Closing to partially satisfy their PIPE Financing obligations.</w:t>
            </w:r>
          </w:p>
        </w:tc>
      </w:tr>
    </w:tbl>
    <w:tbl>
      <w:tblPr>
        <w:tblW w:w="9805" w:type="dxa"/>
        <w:jc w:val="left"/>
        <w:tblInd w:w="200" w:type="dxa"/>
        <w:tblLayout w:type="fixed"/>
        <w:tblCellMar>
          <w:top w:w="0" w:type="dxa"/>
          <w:left w:w="0" w:type="dxa"/>
          <w:bottom w:w="0" w:type="dxa"/>
          <w:right w:w="0" w:type="dxa"/>
        </w:tblCellMar>
      </w:tblPr>
      <w:tblGrid>
        <w:gridCol w:w="318"/>
        <w:gridCol w:w="94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5,710,000 Founder Shares held by the Sponsor and 100,000 Founder Shares held by DirectorCo (in which, each of CGC’s independent directors hold an interest in 30,000 Founder Shares).</w:t>
            </w:r>
          </w:p>
        </w:tc>
      </w:tr>
    </w:tbl>
    <w:tbl>
      <w:tblPr>
        <w:tblW w:w="9805" w:type="dxa"/>
        <w:jc w:val="left"/>
        <w:tblInd w:w="200" w:type="dxa"/>
        <w:tblLayout w:type="fixed"/>
        <w:tblCellMar>
          <w:top w:w="0" w:type="dxa"/>
          <w:left w:w="0" w:type="dxa"/>
          <w:bottom w:w="0" w:type="dxa"/>
          <w:right w:w="0" w:type="dxa"/>
        </w:tblCellMar>
      </w:tblPr>
      <w:tblGrid>
        <w:gridCol w:w="295"/>
        <w:gridCol w:w="95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(i) the Institutional Investor’s subscription for 5,500,000 shares of PubCo Series A Common Stock at a subscription price of $10.00 per share; plus (ii) the constructive transfer at the Closing of an aggregate of 750,000 shares of PubCo Series A Common Stock from the Sponsor to the Institutional Investor; and plus (iii) an aggregate of 90,000 shares of Pubco Series A Common Stock constructively transferred to the Institutional Investor by the Sponsor as part of the Letter Agreement. The effective subscription price of the Institutional Investor is $8.68 per share, taking into account the foregoing transfers from the Sponsor.</w:t>
            </w:r>
          </w:p>
        </w:tc>
      </w:tr>
    </w:tbl>
    <w:tbl>
      <w:tblPr>
        <w:tblW w:w="9805" w:type="dxa"/>
        <w:jc w:val="left"/>
        <w:tblInd w:w="200" w:type="dxa"/>
        <w:tblLayout w:type="fixed"/>
        <w:tblCellMar>
          <w:top w:w="0" w:type="dxa"/>
          <w:left w:w="0" w:type="dxa"/>
          <w:bottom w:w="0" w:type="dxa"/>
          <w:right w:w="0" w:type="dxa"/>
        </w:tblCellMar>
      </w:tblPr>
      <w:tblGrid>
        <w:gridCol w:w="299"/>
        <w:gridCol w:w="95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5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(i) the Sponsor Investor’s subscription for 929,404 shares of PubCo Series A Common Stock at a subscription price equal to the Redemption Price; plus (ii) the constructive transfer at the Closing of an aggregate of 250,000 shares of PubCo Series A Common Stock from the Sponsor to the Sponsor Investor. The effective subscription price of the Sponsor Investor is $8.21 per share, taking into account the foregoing transfer from the Sponsor.</w:t>
            </w:r>
          </w:p>
        </w:tc>
      </w:tr>
    </w:tbl>
    <w:tbl>
      <w:tblPr>
        <w:tblW w:w="9805" w:type="dxa"/>
        <w:jc w:val="left"/>
        <w:tblInd w:w="200" w:type="dxa"/>
        <w:tblLayout w:type="fixed"/>
        <w:tblCellMar>
          <w:top w:w="0" w:type="dxa"/>
          <w:left w:w="0" w:type="dxa"/>
          <w:bottom w:w="0" w:type="dxa"/>
          <w:right w:w="0" w:type="dxa"/>
        </w:tblCellMar>
      </w:tblPr>
      <w:tblGrid>
        <w:gridCol w:w="290"/>
        <w:gridCol w:w="95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an aggregate of 3,081,263 shares of PubCo Series A Common Stock issued to holder of Factorial Common Stock from conversion of Factorial Common Stock based upon the Consideration Ratio; (ii) an aggregate of 15,512,744 shares of PubCo Series B Common Stock issued to the Factorial Founders from the exchange of shares of Factorial Common Stock based upon the Consideration Ratio; (iii) an aggregate of 67,314,957 shares of PubCo Series A Common Stock issued to holders of Factorial Preferred Stock from the exchange of shares of Factorial Preferred Stock; (iv) an aggregate of 2,811,447 shares of PubCo Series A Common Stock issued to holders of the Factorial Convertible Notes from conversion of the Factorial Convertible Notes along with accrued interest into shares of Factorial Common Stock immediately before the Business Combination and the subsequent exchange into shares of PubCo Series A Common Stock; and (v) an aggregate of 362,625 shares of PubCo Series A Common Stock issued to holders of the Factorial Warrants from their cashless exercise of the warrants for shares of Factorial Preferred Stock and converted into shares of Factorial Common Stock immediately before the Business Combination and subsequent exchange for PubCo Series A Common Stock.</w:t>
            </w:r>
          </w:p>
        </w:tc>
      </w:tr>
    </w:tbl>
    <w:tbl>
      <w:tblPr>
        <w:tblW w:w="9805" w:type="dxa"/>
        <w:jc w:val="left"/>
        <w:tblInd w:w="200" w:type="dxa"/>
        <w:tblLayout w:type="fixed"/>
        <w:tblCellMar>
          <w:top w:w="0" w:type="dxa"/>
          <w:left w:w="0" w:type="dxa"/>
          <w:bottom w:w="0" w:type="dxa"/>
          <w:right w:w="0" w:type="dxa"/>
        </w:tblCellMar>
      </w:tblPr>
      <w:tblGrid>
        <w:gridCol w:w="309"/>
        <w:gridCol w:w="94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4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Amount includes 62,118 shares of PubCo Series A Common Stock issued to Cantor pursuant to the financial advisor engagement letter as outlined in the section entitled “</w:t>
            </w:r>
            <w:r>
              <w:rPr>
                <w:rFonts w:ascii="Times New Roman;Times;serif" w:hAnsi="Times New Roman;Times;serif"/>
                <w:b w:val="false"/>
                <w:i/>
                <w:sz w:val="20"/>
              </w:rPr>
              <w:t>Certain Engagements in Connection with the Business Combination</w:t>
            </w:r>
            <w:r>
              <w:rPr>
                <w:caps w:val="false"/>
                <w:smallCaps w:val="false"/>
              </w:rPr>
              <w:t xml:space="preserve">” </w:t>
            </w:r>
            <w:r>
              <w:rPr>
                <w:rFonts w:ascii="Times New Roman;Times;serif" w:hAnsi="Times New Roman;Times;serif"/>
                <w:b w:val="false"/>
                <w:i w:val="false"/>
                <w:caps w:val="false"/>
                <w:smallCaps w:val="false"/>
                <w:sz w:val="20"/>
              </w:rPr>
              <w:t>of the Proxy Statement/Prospectus.</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25" w:name="_559ed706_bf6c_4722_80e2_6552c9e52b0b"/>
      <w:bookmarkEnd w:id="25"/>
      <w:r>
        <w:rPr>
          <w:rFonts w:ascii="Times New Roman;Times;serif" w:hAnsi="Times New Roman;Times;serif"/>
          <w:b/>
          <w:sz w:val="20"/>
        </w:rPr>
        <w:t>Unaudited Condensed Combined Pro Forma Balance Sheets as of March 31, 2026</w:t>
      </w:r>
    </w:p>
    <w:p>
      <w:pPr>
        <w:pStyle w:val="TextBody"/>
        <w:bidi w:val="0"/>
        <w:spacing w:before="0" w:after="16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9805" w:type="dxa"/>
        <w:jc w:val="left"/>
        <w:tblInd w:w="200" w:type="dxa"/>
        <w:tblLayout w:type="fixed"/>
        <w:tblCellMar>
          <w:top w:w="0" w:type="dxa"/>
          <w:left w:w="0" w:type="dxa"/>
          <w:bottom w:w="0" w:type="dxa"/>
          <w:right w:w="0" w:type="dxa"/>
        </w:tblCellMar>
      </w:tblPr>
      <w:tblGrid>
        <w:gridCol w:w="1590"/>
        <w:gridCol w:w="346"/>
        <w:gridCol w:w="181"/>
        <w:gridCol w:w="588"/>
        <w:gridCol w:w="346"/>
        <w:gridCol w:w="181"/>
        <w:gridCol w:w="638"/>
        <w:gridCol w:w="346"/>
        <w:gridCol w:w="308"/>
        <w:gridCol w:w="743"/>
        <w:gridCol w:w="346"/>
        <w:gridCol w:w="436"/>
        <w:gridCol w:w="346"/>
        <w:gridCol w:w="181"/>
        <w:gridCol w:w="662"/>
        <w:gridCol w:w="346"/>
        <w:gridCol w:w="436"/>
        <w:gridCol w:w="346"/>
        <w:gridCol w:w="277"/>
        <w:gridCol w:w="969"/>
        <w:gridCol w:w="193"/>
      </w:tblGrid>
      <w:tr>
        <w:trPr/>
        <w:tc>
          <w:tcPr>
            <w:tcW w:w="15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ind w:left="0" w:right="0" w:hanging="0"/>
              <w:jc w:val="left"/>
              <w:rPr>
                <w:sz w:val="4"/>
                <w:szCs w:val="4"/>
              </w:rPr>
            </w:pPr>
            <w:r>
              <w:rPr>
                <w:sz w:val="4"/>
                <w:szCs w:val="4"/>
              </w:rPr>
            </w:r>
          </w:p>
        </w:tc>
      </w:tr>
      <w:tr>
        <w:trPr/>
        <w:tc>
          <w:tcPr>
            <w:tcW w:w="1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009650" cy="175260"/>
                      <wp:effectExtent l="0" t="0" r="0" b="0"/>
                      <wp:wrapNone/>
                      <wp:docPr id="15" name="Frame14"/>
                      <a:graphic xmlns:a="http://schemas.openxmlformats.org/drawingml/2006/main">
                        <a:graphicData uri="http://schemas.microsoft.com/office/word/2010/wordprocessingShape">
                          <wps:wsp>
                            <wps:cNvSpPr txBox="1"/>
                            <wps:spPr>
                              <a:xfrm>
                                <a:off x="0" y="0"/>
                                <a:ext cx="1009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14935" cy="175260"/>
                      <wp:effectExtent l="0" t="0" r="0" b="0"/>
                      <wp:wrapNone/>
                      <wp:docPr id="17" name="Frame1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73380" cy="175260"/>
                      <wp:effectExtent l="0" t="0" r="0" b="0"/>
                      <wp:wrapNone/>
                      <wp:docPr id="18" name="Frame17"/>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14935" cy="175260"/>
                      <wp:effectExtent l="0" t="0" r="0" b="0"/>
                      <wp:wrapNone/>
                      <wp:docPr id="20" name="Frame1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05130" cy="175260"/>
                      <wp:effectExtent l="0" t="0" r="0" b="0"/>
                      <wp:wrapNone/>
                      <wp:docPr id="21" name="Frame20"/>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95580" cy="175260"/>
                      <wp:effectExtent l="0" t="0" r="0" b="0"/>
                      <wp:wrapNone/>
                      <wp:docPr id="23" name="Frame22"/>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71805" cy="175260"/>
                      <wp:effectExtent l="0" t="0" r="0" b="0"/>
                      <wp:wrapNone/>
                      <wp:docPr id="24" name="Frame23"/>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76860" cy="175260"/>
                      <wp:effectExtent l="0" t="0" r="0" b="0"/>
                      <wp:wrapNone/>
                      <wp:docPr id="26" name="Frame2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14935" cy="175260"/>
                      <wp:effectExtent l="0" t="0" r="0" b="0"/>
                      <wp:wrapNone/>
                      <wp:docPr id="28" name="Frame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20370" cy="175260"/>
                      <wp:effectExtent l="0" t="0" r="0" b="0"/>
                      <wp:wrapNone/>
                      <wp:docPr id="29" name="Frame28"/>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76860" cy="175260"/>
                      <wp:effectExtent l="0" t="0" r="0" b="0"/>
                      <wp:wrapNone/>
                      <wp:docPr id="31" name="Frame3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75895" cy="175260"/>
                      <wp:effectExtent l="0" t="0" r="0" b="0"/>
                      <wp:wrapNone/>
                      <wp:docPr id="33" name="Frame3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15315" cy="175260"/>
                      <wp:effectExtent l="0" t="0" r="0" b="0"/>
                      <wp:wrapNone/>
                      <wp:docPr id="34" name="Frame33"/>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2555" cy="175260"/>
                      <wp:effectExtent l="0" t="0" r="0" b="0"/>
                      <wp:wrapNone/>
                      <wp:docPr id="35" name="Frame34"/>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Historical</w:t>
            </w:r>
          </w:p>
        </w:tc>
        <w:tc>
          <w:tcPr>
            <w:tcW w:w="346"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1051"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436"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346"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32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Pro Forma Combined</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CGCT</w:t>
            </w:r>
          </w:p>
        </w:tc>
        <w:tc>
          <w:tcPr>
            <w:tcW w:w="346" w:type="dxa"/>
            <w:tcBorders/>
            <w:vAlign w:val="center"/>
          </w:tcPr>
          <w:p>
            <w:pPr>
              <w:pStyle w:val="TableContents"/>
              <w:bidi w:val="0"/>
              <w:spacing w:before="0" w:after="0"/>
              <w:ind w:left="0" w:right="0" w:hanging="0"/>
              <w:jc w:val="left"/>
              <w:rPr/>
            </w:pPr>
            <w:r>
              <w:rPr/>
              <w:t>  ​ ​ ​</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Factorial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Pro Forma</w:t>
              <w:br/>
              <w:t>Adjustments for</w:t>
              <w:br/>
              <w:t>Q2 2026</w:t>
              <w:br/>
              <w:t>Transactions</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Notes</w:t>
            </w:r>
          </w:p>
        </w:tc>
        <w:tc>
          <w:tcPr>
            <w:tcW w:w="346" w:type="dxa"/>
            <w:tcBorders/>
            <w:vAlign w:val="center"/>
          </w:tcPr>
          <w:p>
            <w:pPr>
              <w:pStyle w:val="TableContents"/>
              <w:bidi w:val="0"/>
              <w:spacing w:before="0" w:after="0"/>
              <w:ind w:left="0" w:right="0" w:hanging="0"/>
              <w:jc w:val="left"/>
              <w:rPr/>
            </w:pPr>
            <w:r>
              <w:rPr/>
              <w:t>  ​ ​ ​</w:t>
            </w:r>
          </w:p>
        </w:tc>
        <w:tc>
          <w:tcPr>
            <w:tcW w:w="8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Transaction</w:t>
              <w:br/>
              <w:t>Accounting</w:t>
              <w:br/>
              <w:t>Adjustments</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Notes</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Pro Forma Balance</w:t>
              <w:br/>
              <w:t>Sheet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Assets</w:t>
            </w:r>
          </w:p>
        </w:tc>
        <w:tc>
          <w:tcPr>
            <w:tcW w:w="346" w:type="dxa"/>
            <w:tcBorders/>
            <w:shd w:fill="CCEEFF" w:val="clear"/>
            <w:vAlign w:val="center"/>
          </w:tcPr>
          <w:p>
            <w:pPr>
              <w:pStyle w:val="TableContents"/>
              <w:bidi w:val="0"/>
              <w:spacing w:before="0" w:after="0"/>
              <w:ind w:left="0" w:right="0" w:hanging="0"/>
              <w:jc w:val="left"/>
              <w:rPr/>
            </w:pPr>
            <w:r>
              <w:rPr/>
              <w:t>  ​ ​ ​</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58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3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30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4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43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6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43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  ​ ​ ​</w:t>
            </w:r>
          </w:p>
        </w:tc>
        <w:tc>
          <w:tcPr>
            <w:tcW w:w="193" w:type="dxa"/>
            <w:tcBorders/>
            <w:shd w:fill="CCEEFF" w:val="clear"/>
            <w:vAlign w:val="center"/>
          </w:tcPr>
          <w:p>
            <w:pPr>
              <w:pStyle w:val="TableContents"/>
              <w:bidi w:val="0"/>
              <w:spacing w:before="0" w:after="0"/>
              <w:ind w:left="0" w:right="0" w:hanging="0"/>
              <w:jc w:val="left"/>
              <w:rPr/>
            </w:pPr>
            <w:r>
              <w:rPr/>
              <w:t> </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Current assets: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25,449</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287,480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118,808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(240,101)</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(16,386)</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60,931</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3,468</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(3,468)</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5,078</w:t>
            </w:r>
          </w:p>
        </w:tc>
        <w:tc>
          <w:tcPr>
            <w:tcW w:w="34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5,191</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58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3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33,995</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4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62"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88,455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6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123,999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Restricted cash</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884</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884</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20,206</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20,206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Operating lease right-of-use assets, net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7,266</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7,266</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CGC Investments held in Trust Account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285,869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(285,869)</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(b)</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286,388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62,391</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(197,414)</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6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152,405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Liabilities, convertible preferred stock and stockholders’ equity (deficit)</w:t>
            </w:r>
          </w:p>
        </w:tc>
        <w:tc>
          <w:tcPr>
            <w:tcW w:w="346" w:type="dxa"/>
            <w:tcBorders/>
            <w:vAlign w:val="center"/>
          </w:tcPr>
          <w:p>
            <w:pPr>
              <w:pStyle w:val="TableContents"/>
              <w:bidi w:val="0"/>
              <w:spacing w:before="0" w:after="0"/>
              <w:ind w:left="0" w:right="0" w:hanging="0"/>
              <w:jc w:val="left"/>
              <w:rPr/>
            </w:pPr>
            <w:r>
              <w:rPr/>
              <w:t>​</w:t>
            </w:r>
          </w:p>
        </w:tc>
        <w:tc>
          <w:tcPr>
            <w:tcW w:w="18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588"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38"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43"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6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96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656</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656</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4,128</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(3,352)</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offering costs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Operating lease liabilities,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1,401</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current liabilities</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88"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1,387</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38"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6,185</w:t>
            </w:r>
          </w:p>
        </w:tc>
        <w:tc>
          <w:tcPr>
            <w:tcW w:w="346" w:type="dxa"/>
            <w:tcBorders/>
            <w:vAlign w:val="center"/>
          </w:tcPr>
          <w:p>
            <w:pPr>
              <w:pStyle w:val="TableContents"/>
              <w:bidi w:val="0"/>
              <w:spacing w:before="0" w:after="0"/>
              <w:ind w:left="0" w:right="0" w:hanging="0"/>
              <w:jc w:val="left"/>
              <w:rPr/>
            </w:pPr>
            <w:r>
              <w:rPr/>
              <w:t>​</w:t>
            </w:r>
          </w:p>
        </w:tc>
        <w:tc>
          <w:tcPr>
            <w:tcW w:w="30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43"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62"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(3,352)</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69"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4,220</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Operating lease liabilities,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6,817</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6,817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Convertible notes liability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24,896</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(25,936)</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UW fee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13,140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(13,140)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Warrant liability</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3,484</w:t>
            </w:r>
          </w:p>
        </w:tc>
        <w:tc>
          <w:tcPr>
            <w:tcW w:w="34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(3,484)</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58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14,527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3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41,382</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4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62"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(45,912)</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6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11,037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Redeemable convertible preferred stock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Factorial Series A-1 redeemable convertible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Factorial Series A-2 redeemable convertible preferred stock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655</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(655)</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Factorial Series B-1 redeemable convertible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2,169</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(2,169)</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Factorial Series C-1 redeemable convertible preferred stock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28,303</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(28,303)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Factorial Series C-2 redeemable convertible 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26,013</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(26,013)</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Factorial Series D redeemable convertible preferred stock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192,185</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(192,185)</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CGC Class A common stock subject to redemption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285,869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(285,869)</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redeemable convertible preferred stock</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88"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285,869</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38"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249,652</w:t>
            </w:r>
          </w:p>
        </w:tc>
        <w:tc>
          <w:tcPr>
            <w:tcW w:w="346" w:type="dxa"/>
            <w:tcBorders/>
            <w:vAlign w:val="center"/>
          </w:tcPr>
          <w:p>
            <w:pPr>
              <w:pStyle w:val="TableContents"/>
              <w:bidi w:val="0"/>
              <w:spacing w:before="0" w:after="0"/>
              <w:ind w:left="0" w:right="0" w:hanging="0"/>
              <w:jc w:val="left"/>
              <w:rPr/>
            </w:pPr>
            <w:r>
              <w:rPr/>
              <w:t>​</w:t>
            </w:r>
          </w:p>
        </w:tc>
        <w:tc>
          <w:tcPr>
            <w:tcW w:w="30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43"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62"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(535,521)</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69"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PubCo Series A common stock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Pubco Series B common stock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CGC Class B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Additional paid-in capital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36,285</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(3,362)</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409,374</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268,142</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47,379</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60,931</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Accumulated deficit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(14,009)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(264,151)</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10,886</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(267,274)</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Accumulated 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(743)</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Factorial Treasury stock</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15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stockholders’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58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(14,008)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3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(228,643)</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74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66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384,020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6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141,368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1590"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convertible preferred stock and stockholders’ equity (deficit)</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8"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286,388</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8"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62,391</w:t>
            </w:r>
          </w:p>
        </w:tc>
        <w:tc>
          <w:tcPr>
            <w:tcW w:w="346" w:type="dxa"/>
            <w:tcBorders/>
            <w:vAlign w:val="center"/>
          </w:tcPr>
          <w:p>
            <w:pPr>
              <w:pStyle w:val="TableContents"/>
              <w:bidi w:val="0"/>
              <w:spacing w:before="0" w:after="0"/>
              <w:ind w:left="0" w:right="0" w:hanging="0"/>
              <w:jc w:val="left"/>
              <w:rPr/>
            </w:pPr>
            <w:r>
              <w:rPr/>
              <w:t>​</w:t>
            </w:r>
          </w:p>
        </w:tc>
        <w:tc>
          <w:tcPr>
            <w:tcW w:w="308"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(197,414)</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69"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152,405</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b/>
          <w:sz w:val="20"/>
        </w:rPr>
      </w:pPr>
      <w:bookmarkStart w:id="26" w:name="_85b7d69d_bc89_4638_aeec_89a4bc71b240"/>
      <w:bookmarkEnd w:id="26"/>
      <w:r>
        <w:rPr>
          <w:rFonts w:ascii="Times New Roman;Times;serif" w:hAnsi="Times New Roman;Times;serif"/>
          <w:b/>
          <w:sz w:val="20"/>
        </w:rPr>
        <w:t>The pro forma adjustments to the unaudited condensed combined pro forma balance sheet as of March 31, 2026 consist of the following:</w:t>
      </w:r>
    </w:p>
    <w:tbl>
      <w:tblPr>
        <w:tblW w:w="9805" w:type="dxa"/>
        <w:jc w:val="left"/>
        <w:tblInd w:w="200" w:type="dxa"/>
        <w:tblLayout w:type="fixed"/>
        <w:tblCellMar>
          <w:top w:w="28" w:type="dxa"/>
          <w:left w:w="28" w:type="dxa"/>
          <w:bottom w:w="28" w:type="dxa"/>
          <w:right w:w="28" w:type="dxa"/>
        </w:tblCellMar>
      </w:tblPr>
      <w:tblGrid>
        <w:gridCol w:w="124"/>
        <w:gridCol w:w="263"/>
        <w:gridCol w:w="9418"/>
      </w:tblGrid>
      <w:tr>
        <w:trPr/>
        <w:tc>
          <w:tcPr>
            <w:tcW w:w="124" w:type="dxa"/>
            <w:tcBorders/>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1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Reflects Factorial’s issuance of additional Convertible Notes in May 2026 for an aggregate $1,040 face value, which were converted, along with accrued interest, into Factorial Common Stock immediately before the consummation of the Business Combination necessitating inclusion in these pro forma adjustments. Note that Factorial has elected the Fair Value Option for the Convertible Notes in accordance with ASC 825, </w:t>
            </w:r>
            <w:r>
              <w:rPr>
                <w:rFonts w:ascii="Times New Roman;Times;serif" w:hAnsi="Times New Roman;Times;serif"/>
                <w:b w:val="false"/>
                <w:i/>
                <w:sz w:val="20"/>
              </w:rPr>
              <w:t>Financial Instruments;</w:t>
            </w:r>
            <w:r>
              <w:rPr>
                <w:caps w:val="false"/>
                <w:smallCaps w:val="false"/>
              </w:rPr>
              <w:t xml:space="preserve"> </w:t>
            </w:r>
            <w:r>
              <w:rPr>
                <w:rFonts w:ascii="Times New Roman;Times;serif" w:hAnsi="Times New Roman;Times;serif"/>
                <w:b w:val="false"/>
                <w:i w:val="false"/>
                <w:caps w:val="false"/>
                <w:smallCaps w:val="false"/>
                <w:sz w:val="20"/>
              </w:rPr>
              <w:t>however, these pro forma adjustments for the May 2026 transaction herein are not giving effect to any change in fair value of the notes on the date of issuance stemming from such election. Assumptions regarding changes in fair value, including accrued interest, of the Factorial Convertible Notes, are recorded as transaction accounting adjustments in (e).</w:t>
            </w:r>
          </w:p>
        </w:tc>
      </w:tr>
    </w:tbl>
    <w:tbl>
      <w:tblPr>
        <w:tblW w:w="9805" w:type="dxa"/>
        <w:jc w:val="left"/>
        <w:tblInd w:w="200" w:type="dxa"/>
        <w:tblLayout w:type="fixed"/>
        <w:tblCellMar>
          <w:top w:w="28" w:type="dxa"/>
          <w:left w:w="28" w:type="dxa"/>
          <w:bottom w:w="28" w:type="dxa"/>
          <w:right w:w="28" w:type="dxa"/>
        </w:tblCellMar>
      </w:tblPr>
      <w:tblGrid>
        <w:gridCol w:w="124"/>
        <w:gridCol w:w="280"/>
        <w:gridCol w:w="94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interest earned, based on the Redemption Price of $10.41593671 per CGC Class A Ordinary Share, on investments held in the Trust Account held by CGC of $1,611, and the transfer of both CGC’s investments held in the Trust Account, and the interest earned to cash and cash equivalents prior to the consideration of Redemptions as outlined in (f). Refer to the below table for the pro forma entries. The interest earned is recorded as income for CGC through accumulated deficit and then reclassified into additional paid-in capital because of the Business Combination as described in (f)(i). Refer to the below table for the pro forma entries:</w:t>
            </w:r>
          </w:p>
        </w:tc>
      </w:tr>
    </w:tbl>
    <w:tbl>
      <w:tblPr>
        <w:tblW w:w="9397" w:type="dxa"/>
        <w:jc w:val="left"/>
        <w:tblInd w:w="200" w:type="dxa"/>
        <w:tblLayout w:type="fixed"/>
        <w:tblCellMar>
          <w:top w:w="0" w:type="dxa"/>
          <w:left w:w="0" w:type="dxa"/>
          <w:bottom w:w="0" w:type="dxa"/>
          <w:right w:w="0" w:type="dxa"/>
        </w:tblCellMar>
      </w:tblPr>
      <w:tblGrid>
        <w:gridCol w:w="4456"/>
        <w:gridCol w:w="346"/>
        <w:gridCol w:w="1141"/>
        <w:gridCol w:w="346"/>
        <w:gridCol w:w="1666"/>
        <w:gridCol w:w="346"/>
        <w:gridCol w:w="1096"/>
      </w:tblGrid>
      <w:tr>
        <w:trPr/>
        <w:tc>
          <w:tcPr>
            <w:tcW w:w="44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ind w:left="0" w:right="0" w:hanging="0"/>
              <w:jc w:val="left"/>
              <w:rPr>
                <w:sz w:val="4"/>
                <w:szCs w:val="4"/>
              </w:rPr>
            </w:pPr>
            <w:r>
              <w:rPr>
                <w:sz w:val="4"/>
                <w:szCs w:val="4"/>
              </w:rPr>
            </w:r>
          </w:p>
        </w:tc>
      </w:tr>
      <w:tr>
        <w:trPr/>
        <w:tc>
          <w:tcPr>
            <w:tcW w:w="4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829560" cy="175260"/>
                      <wp:effectExtent l="0" t="0" r="0" b="0"/>
                      <wp:wrapNone/>
                      <wp:docPr id="36" name="Frame35"/>
                      <a:graphic xmlns:a="http://schemas.openxmlformats.org/drawingml/2006/main">
                        <a:graphicData uri="http://schemas.microsoft.com/office/word/2010/wordprocessingShape">
                          <wps:wsp>
                            <wps:cNvSpPr txBox="1"/>
                            <wps:spPr>
                              <a:xfrm>
                                <a:off x="0" y="0"/>
                                <a:ext cx="282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24535" cy="175260"/>
                      <wp:effectExtent l="0" t="0" r="0" b="0"/>
                      <wp:wrapNone/>
                      <wp:docPr id="38" name="Frame3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057910" cy="175260"/>
                      <wp:effectExtent l="0" t="0" r="0" b="0"/>
                      <wp:wrapNone/>
                      <wp:docPr id="40" name="Frame39"/>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5960" cy="175260"/>
                      <wp:effectExtent l="0" t="0" r="0" b="0"/>
                      <wp:wrapNone/>
                      <wp:docPr id="42" name="Frame4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5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Cash and cash</w:t>
              <w:br/>
              <w:t>equivalents</w:t>
            </w:r>
          </w:p>
        </w:tc>
        <w:tc>
          <w:tcPr>
            <w:tcW w:w="346" w:type="dxa"/>
            <w:tcBorders/>
            <w:vAlign w:val="center"/>
          </w:tcPr>
          <w:p>
            <w:pPr>
              <w:pStyle w:val="TableContents"/>
              <w:bidi w:val="0"/>
              <w:spacing w:lineRule="auto" w:line="328" w:before="0" w:after="0"/>
              <w:ind w:left="0" w:right="0" w:hanging="0"/>
              <w:jc w:val="left"/>
              <w:rPr/>
            </w:pPr>
            <w:r>
              <w:rPr/>
              <w:t>  ​ ​ ​</w:t>
            </w:r>
          </w:p>
        </w:tc>
        <w:tc>
          <w:tcPr>
            <w:tcW w:w="166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CGC Investments</w:t>
              <w:br/>
              <w:t>held in Trust Account</w:t>
            </w:r>
          </w:p>
        </w:tc>
        <w:tc>
          <w:tcPr>
            <w:tcW w:w="346" w:type="dxa"/>
            <w:tcBorders/>
            <w:vAlign w:val="center"/>
          </w:tcPr>
          <w:p>
            <w:pPr>
              <w:pStyle w:val="TableContents"/>
              <w:bidi w:val="0"/>
              <w:spacing w:lineRule="auto" w:line="328" w:before="0" w:after="0"/>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br/>
              <w:t>deficit</w:t>
            </w:r>
          </w:p>
        </w:tc>
      </w:tr>
      <w:tr>
        <w:trPr/>
        <w:tc>
          <w:tcPr>
            <w:tcW w:w="445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Transfer of CGC’s investments held in trust account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14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287,480</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66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(287,480)</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09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r>
      <w:tr>
        <w:trPr/>
        <w:tc>
          <w:tcPr>
            <w:tcW w:w="445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Interest Earned on Investments Held in Trust Account</w:t>
            </w:r>
          </w:p>
        </w:tc>
        <w:tc>
          <w:tcPr>
            <w:tcW w:w="346" w:type="dxa"/>
            <w:tcBorders/>
            <w:vAlign w:val="center"/>
          </w:tcPr>
          <w:p>
            <w:pPr>
              <w:pStyle w:val="TableContents"/>
              <w:bidi w:val="0"/>
              <w:spacing w:lineRule="auto" w:line="328"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1,611</w:t>
            </w:r>
          </w:p>
        </w:tc>
        <w:tc>
          <w:tcPr>
            <w:tcW w:w="346" w:type="dxa"/>
            <w:tcBorders/>
            <w:vAlign w:val="center"/>
          </w:tcPr>
          <w:p>
            <w:pPr>
              <w:pStyle w:val="TableContents"/>
              <w:bidi w:val="0"/>
              <w:spacing w:lineRule="auto" w:line="328"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(1,611)</w:t>
            </w:r>
          </w:p>
        </w:tc>
      </w:tr>
      <w:tr>
        <w:trPr/>
        <w:tc>
          <w:tcPr>
            <w:tcW w:w="445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1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287,480</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66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(285,869)</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0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(1,611)</w:t>
            </w:r>
          </w:p>
        </w:tc>
      </w:tr>
    </w:tbl>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124"/>
        <w:gridCol w:w="299"/>
        <w:gridCol w:w="9382"/>
      </w:tblGrid>
      <w:tr>
        <w:trPr/>
        <w:tc>
          <w:tcPr>
            <w:tcW w:w="12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3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Reflects the following pro forma adjustments for transaction costs associated with the Business Combination (refer to below table for pro forma entries):</w:t>
            </w:r>
          </w:p>
        </w:tc>
      </w:tr>
    </w:tbl>
    <w:p>
      <w:pPr>
        <w:pStyle w:val="TextBody"/>
        <w:bidi w:val="0"/>
        <w:spacing w:before="0" w:after="240"/>
        <w:ind w:left="560" w:right="200" w:hanging="0"/>
        <w:jc w:val="left"/>
        <w:rPr>
          <w:rFonts w:ascii="Times New Roman;Times;serif" w:hAnsi="Times New Roman;Times;serif"/>
          <w:sz w:val="20"/>
        </w:rPr>
      </w:pPr>
      <w:r>
        <w:rPr>
          <w:rFonts w:ascii="Times New Roman;Times;serif" w:hAnsi="Times New Roman;Times;serif"/>
          <w:sz w:val="20"/>
        </w:rPr>
        <w:t>CGC’s transaction expenses of approximately $8,048 related to the Business Combination, of which $11 had been paid as of March 31, 2026 and $8,037 was paid in cash at Closing. The transaction expenses of $8,048 includes a $4,311 underwriting fee, and other transaction costs of $3,737, including $1,147 incurred and expensed through March 31, 2026 (of which $11 had been paid as of March 31, 2026), and $2,590 incurred after March 31, 2026 through the Closing of the Business Combination. The expenses incurred after March 31, 2026, are recorded as expense for CGC through accumulated deficit and then reclassified into additional paid-in capital in consummation of the Business Combination.</w:t>
      </w:r>
    </w:p>
    <w:p>
      <w:pPr>
        <w:pStyle w:val="TextBody"/>
        <w:bidi w:val="0"/>
        <w:spacing w:before="0" w:after="240"/>
        <w:ind w:left="560" w:right="200" w:hanging="0"/>
        <w:jc w:val="left"/>
        <w:rPr>
          <w:rFonts w:ascii="Times New Roman;Times;serif" w:hAnsi="Times New Roman;Times;serif"/>
          <w:sz w:val="20"/>
        </w:rPr>
      </w:pPr>
      <w:r>
        <w:rPr>
          <w:rFonts w:ascii="Times New Roman;Times;serif" w:hAnsi="Times New Roman;Times;serif"/>
          <w:sz w:val="20"/>
        </w:rPr>
        <w:t>The Business Combination will be accounted for as a reverse recapitalization in accordance with U.S. GAAP ASC 805. Under this method of accounting, Factorial is the accounting acquirer, and as a result, qualifying transaction costs incurred by Factorial are treated as deferred offering costs and any balance below the net proceeds from this reverse recapitalization will be charged directly to equity. This recording complies with the requirements of FASB ASC Topic 340-10-S99-1, “Other Assets and Deferred Costs — SEC Materials” (“ASC 340-10-S99”) and Commission Staff Accounting Bulletin Topic 5A, “Expenses of Offering”. Deferred offering costs consist of legal and other professional expenses incurred through the balance sheet date that are directly related to the Business Combination and are reflected in shareholders’ equity (deficit) in these pro formas of the Business Combination with any balance below the net proceeds from this Business Combination.</w:t>
      </w:r>
    </w:p>
    <w:p>
      <w:pPr>
        <w:pStyle w:val="TextBody"/>
        <w:bidi w:val="0"/>
        <w:spacing w:before="0" w:after="240"/>
        <w:ind w:left="560" w:right="200" w:hanging="0"/>
        <w:jc w:val="left"/>
        <w:rPr>
          <w:rFonts w:ascii="Times New Roman;Times;serif" w:hAnsi="Times New Roman;Times;serif"/>
          <w:sz w:val="20"/>
        </w:rPr>
      </w:pPr>
      <w:r>
        <w:rPr>
          <w:rFonts w:ascii="Times New Roman;Times;serif" w:hAnsi="Times New Roman;Times;serif"/>
          <w:sz w:val="20"/>
        </w:rPr>
        <w:t>Factorial’s transaction expenses are approximately $10,259 for transaction expenses related to the Business Combination. The transaction expenses of $10,259 include a $5,000 merger underwriting fee paid in both cash and PubCo Series A Common Stock, $3,468 of other related transaction expenses incurred through March 31, 2026 (of which $1,263 had been paid as of March 31, 2026), and $1,791 of other related transaction expenses incurred after March 31, 2026 through the close of the Business Combination. These costs are reflected in additional paid-in capital in these pro formas.</w:t>
      </w:r>
    </w:p>
    <w:p>
      <w:pPr>
        <w:pStyle w:val="TextBody"/>
        <w:bidi w:val="0"/>
        <w:spacing w:before="0" w:after="0"/>
        <w:ind w:left="560" w:right="200" w:hanging="0"/>
        <w:jc w:val="left"/>
        <w:rPr>
          <w:rFonts w:ascii="Times New Roman;Times;serif" w:hAnsi="Times New Roman;Times;serif"/>
          <w:sz w:val="20"/>
        </w:rPr>
      </w:pPr>
      <w:r>
        <w:rPr>
          <w:rFonts w:ascii="Times New Roman;Times;serif" w:hAnsi="Times New Roman;Times;serif"/>
          <w:sz w:val="20"/>
        </w:rPr>
        <w:t xml:space="preserve">The $5,000 merger underwriter fee was payable in $2,500 in cash and the remaining $2,500 in a combination of cash and publicly traded common equity securities of the post-combination company. The cash portion of this remaining amount equaled (a) a fraction, the numerator of which is the amount by which the total proceeds received by the combined company in connection with any equity financing consummated in connection with the Business Combination and the cash delivered from CGC’s trust account at the Closing exceed $75,000, and the denominator of which is $50,000, multiplied by (b) $2,500, with the remainder payable in shares of common equity of the post-combination company. Based on actual redemptions, $1,853 was payable in cash,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560" w:right="200" w:hanging="0"/>
        <w:jc w:val="left"/>
        <w:rPr>
          <w:rFonts w:ascii="Times New Roman;Times;serif" w:hAnsi="Times New Roman;Times;serif"/>
          <w:sz w:val="20"/>
        </w:rPr>
      </w:pPr>
      <w:r>
        <w:rPr>
          <w:rFonts w:ascii="Times New Roman;Times;serif" w:hAnsi="Times New Roman;Times;serif"/>
          <w:sz w:val="20"/>
        </w:rPr>
        <w:t>and the remaining $647 was payable in Pubco Series A Common Stock. The adjustment of the $1,853 payment in PubCo Series A Common Stock is reflected in additional paid-in capital in these pro formas.</w:t>
      </w:r>
    </w:p>
    <w:tbl>
      <w:tblPr>
        <w:tblW w:w="9805" w:type="dxa"/>
        <w:jc w:val="left"/>
        <w:tblInd w:w="200" w:type="dxa"/>
        <w:tblLayout w:type="fixed"/>
        <w:tblCellMar>
          <w:top w:w="0" w:type="dxa"/>
          <w:left w:w="0" w:type="dxa"/>
          <w:bottom w:w="0" w:type="dxa"/>
          <w:right w:w="0" w:type="dxa"/>
        </w:tblCellMar>
      </w:tblPr>
      <w:tblGrid>
        <w:gridCol w:w="3957"/>
        <w:gridCol w:w="346"/>
        <w:gridCol w:w="783"/>
        <w:gridCol w:w="346"/>
        <w:gridCol w:w="751"/>
        <w:gridCol w:w="346"/>
        <w:gridCol w:w="751"/>
        <w:gridCol w:w="346"/>
        <w:gridCol w:w="916"/>
        <w:gridCol w:w="346"/>
        <w:gridCol w:w="917"/>
      </w:tblGrid>
      <w:tr>
        <w:trPr/>
        <w:tc>
          <w:tcPr>
            <w:tcW w:w="39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ind w:left="0" w:right="0" w:hanging="0"/>
              <w:jc w:val="left"/>
              <w:rPr>
                <w:sz w:val="4"/>
                <w:szCs w:val="4"/>
              </w:rPr>
            </w:pPr>
            <w:r>
              <w:rPr>
                <w:sz w:val="4"/>
                <w:szCs w:val="4"/>
              </w:rPr>
            </w:r>
          </w:p>
        </w:tc>
      </w:tr>
      <w:tr>
        <w:trPr/>
        <w:tc>
          <w:tcPr>
            <w:tcW w:w="3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512695" cy="175260"/>
                      <wp:effectExtent l="0" t="0" r="0" b="0"/>
                      <wp:wrapNone/>
                      <wp:docPr id="43" name="Frame42"/>
                      <a:graphic xmlns:a="http://schemas.openxmlformats.org/drawingml/2006/main">
                        <a:graphicData uri="http://schemas.microsoft.com/office/word/2010/wordprocessingShape">
                          <wps:wsp>
                            <wps:cNvSpPr txBox="1"/>
                            <wps:spPr>
                              <a:xfrm>
                                <a:off x="0" y="0"/>
                                <a:ext cx="2512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97205" cy="175260"/>
                      <wp:effectExtent l="0" t="0" r="0" b="0"/>
                      <wp:wrapNone/>
                      <wp:docPr id="45" name="Frame4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76885" cy="175260"/>
                      <wp:effectExtent l="0" t="0" r="0" b="0"/>
                      <wp:wrapNone/>
                      <wp:docPr id="47" name="Frame4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76885" cy="175260"/>
                      <wp:effectExtent l="0" t="0" r="0" b="0"/>
                      <wp:wrapNone/>
                      <wp:docPr id="49" name="Frame4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81660" cy="175260"/>
                      <wp:effectExtent l="0" t="0" r="0" b="0"/>
                      <wp:wrapNone/>
                      <wp:docPr id="51" name="Frame5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82295" cy="175260"/>
                      <wp:effectExtent l="0" t="0" r="0" b="0"/>
                      <wp:wrapNone/>
                      <wp:docPr id="53" name="Frame52"/>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57"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  ​ ​ ​</w:t>
            </w:r>
          </w:p>
        </w:tc>
        <w:tc>
          <w:tcPr>
            <w:tcW w:w="783"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Deferred</w:t>
              <w:br/>
              <w:t>UW Fee</w:t>
              <w:br/>
              <w:t>Payable</w:t>
            </w:r>
          </w:p>
        </w:tc>
        <w:tc>
          <w:tcPr>
            <w:tcW w:w="346" w:type="dxa"/>
            <w:tcBorders/>
            <w:vAlign w:val="center"/>
          </w:tcPr>
          <w:p>
            <w:pPr>
              <w:pStyle w:val="TableContents"/>
              <w:bidi w:val="0"/>
              <w:spacing w:lineRule="auto" w:line="328" w:before="0" w:after="0"/>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Accrued</w:t>
              <w:br/>
              <w:t>Expenses</w:t>
            </w:r>
          </w:p>
        </w:tc>
        <w:tc>
          <w:tcPr>
            <w:tcW w:w="346" w:type="dxa"/>
            <w:tcBorders/>
            <w:vAlign w:val="center"/>
          </w:tcPr>
          <w:p>
            <w:pPr>
              <w:pStyle w:val="TableContents"/>
              <w:bidi w:val="0"/>
              <w:spacing w:lineRule="auto" w:line="328" w:before="0" w:after="0"/>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Deferred</w:t>
              <w:br/>
              <w:t>Offering</w:t>
              <w:br/>
              <w:t>Costs</w:t>
            </w:r>
          </w:p>
        </w:tc>
        <w:tc>
          <w:tcPr>
            <w:tcW w:w="346" w:type="dxa"/>
            <w:tcBorders/>
            <w:vAlign w:val="center"/>
          </w:tcPr>
          <w:p>
            <w:pPr>
              <w:pStyle w:val="TableContents"/>
              <w:bidi w:val="0"/>
              <w:spacing w:lineRule="auto" w:line="328"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Cash and</w:t>
              <w:br/>
              <w:t>cash</w:t>
              <w:br/>
              <w:t>equivalents</w:t>
            </w:r>
          </w:p>
        </w:tc>
        <w:tc>
          <w:tcPr>
            <w:tcW w:w="346" w:type="dxa"/>
            <w:tcBorders/>
            <w:vAlign w:val="center"/>
          </w:tcPr>
          <w:p>
            <w:pPr>
              <w:pStyle w:val="TableContents"/>
              <w:bidi w:val="0"/>
              <w:spacing w:lineRule="auto" w:line="328" w:before="0" w:after="0"/>
              <w:ind w:left="0" w:right="0" w:hanging="0"/>
              <w:jc w:val="left"/>
              <w:rPr/>
            </w:pPr>
            <w:r>
              <w:rPr/>
              <w:t>  ​ ​ ​</w:t>
            </w:r>
          </w:p>
        </w:tc>
        <w:tc>
          <w:tcPr>
            <w:tcW w:w="917"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Additional</w:t>
              <w:br/>
              <w:t>paid-in</w:t>
              <w:br/>
              <w:t>capital</w:t>
            </w:r>
          </w:p>
        </w:tc>
      </w:tr>
      <w:tr>
        <w:trPr/>
        <w:tc>
          <w:tcPr>
            <w:tcW w:w="3957"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CGC cash payments of transaction expenses and adjustments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783"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(13,140)</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75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(1,147)</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75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pPr>
            <w:r>
              <w:rPr/>
              <w: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91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(8,037)</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917"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6,250</w:t>
            </w:r>
          </w:p>
        </w:tc>
      </w:tr>
      <w:tr>
        <w:trPr/>
        <w:tc>
          <w:tcPr>
            <w:tcW w:w="3957"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Factorial cash payments of transaction expenses</w:t>
            </w:r>
          </w:p>
        </w:tc>
        <w:tc>
          <w:tcPr>
            <w:tcW w:w="346" w:type="dxa"/>
            <w:tcBorders/>
            <w:vAlign w:val="center"/>
          </w:tcPr>
          <w:p>
            <w:pPr>
              <w:pStyle w:val="TableContents"/>
              <w:bidi w:val="0"/>
              <w:spacing w:lineRule="auto" w:line="328"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(2,205)</w:t>
            </w:r>
          </w:p>
        </w:tc>
        <w:tc>
          <w:tcPr>
            <w:tcW w:w="346" w:type="dxa"/>
            <w:tcBorders/>
            <w:vAlign w:val="center"/>
          </w:tcPr>
          <w:p>
            <w:pPr>
              <w:pStyle w:val="TableContents"/>
              <w:bidi w:val="0"/>
              <w:spacing w:lineRule="auto" w:line="328"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(3,468)</w:t>
            </w:r>
          </w:p>
        </w:tc>
        <w:tc>
          <w:tcPr>
            <w:tcW w:w="346" w:type="dxa"/>
            <w:tcBorders/>
            <w:vAlign w:val="center"/>
          </w:tcPr>
          <w:p>
            <w:pPr>
              <w:pStyle w:val="TableContents"/>
              <w:bidi w:val="0"/>
              <w:spacing w:lineRule="auto" w:line="328"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(8,349)</w:t>
            </w:r>
          </w:p>
        </w:tc>
        <w:tc>
          <w:tcPr>
            <w:tcW w:w="346" w:type="dxa"/>
            <w:tcBorders/>
            <w:vAlign w:val="center"/>
          </w:tcPr>
          <w:p>
            <w:pPr>
              <w:pStyle w:val="TableContents"/>
              <w:bidi w:val="0"/>
              <w:spacing w:lineRule="auto" w:line="328"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(9,612)</w:t>
            </w:r>
          </w:p>
        </w:tc>
      </w:tr>
      <w:tr>
        <w:trPr/>
        <w:tc>
          <w:tcPr>
            <w:tcW w:w="3957"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78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(13,140)</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75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(3,352)</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75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(3,468)</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91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(16,386)</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91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(3,362)</w:t>
            </w:r>
          </w:p>
        </w:tc>
      </w:tr>
    </w:tbl>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124"/>
        <w:gridCol w:w="277"/>
        <w:gridCol w:w="94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4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At the Merger Effective Time, the Institutional Investor purchased from PubCo an aggregate of 6,340,000 shares of PubCo Series A Common Stock for an aggregate purchase price of $55,000, pursuant to a stock purchase agreement and the Sponsor Investor purchased from PubCo an aggregate of 1,179,404 shares of PubCo Series A Common Stock, for an aggregate purchase price of $9,681 pursuant to a stock purchase agreement. The Institutional Investor and the Sponsor Investor satisfied in part their purchase obligations under the stock purchase agreements through purchases of 3,470,764 NRA Shares in the aggregate at market prices. Such shares were subject to Non-Redemption Agreements and the proceeds from CGC’s trust account released at Closing reflect non-redemption of such shares. CGC incurred PIPE Financing transactions costs of $3,750, leading to net PIPE Financing proceeds of $60,931.</w:t>
            </w:r>
          </w:p>
        </w:tc>
      </w:tr>
    </w:tbl>
    <w:tbl>
      <w:tblPr>
        <w:tblW w:w="9805" w:type="dxa"/>
        <w:jc w:val="left"/>
        <w:tblInd w:w="200" w:type="dxa"/>
        <w:tblLayout w:type="fixed"/>
        <w:tblCellMar>
          <w:top w:w="0" w:type="dxa"/>
          <w:left w:w="0" w:type="dxa"/>
          <w:bottom w:w="0" w:type="dxa"/>
          <w:right w:w="0" w:type="dxa"/>
        </w:tblCellMar>
      </w:tblPr>
      <w:tblGrid>
        <w:gridCol w:w="124"/>
        <w:gridCol w:w="290"/>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93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Reflects the following pro forma adjustments for conversion of historical Factorial instruments associated with the Business Combination and the elimination of CGC accumulated deficit:</w:t>
            </w:r>
          </w:p>
        </w:tc>
      </w:tr>
    </w:tbl>
    <w:tbl>
      <w:tblPr>
        <w:tblW w:w="9805" w:type="dxa"/>
        <w:jc w:val="left"/>
        <w:tblInd w:w="200" w:type="dxa"/>
        <w:tblLayout w:type="fixed"/>
        <w:tblCellMar>
          <w:top w:w="28" w:type="dxa"/>
          <w:left w:w="28" w:type="dxa"/>
          <w:bottom w:w="28" w:type="dxa"/>
          <w:right w:w="28" w:type="dxa"/>
        </w:tblCellMar>
      </w:tblPr>
      <w:tblGrid>
        <w:gridCol w:w="124"/>
        <w:gridCol w:w="211"/>
        <w:gridCol w:w="94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assumption includes the conversion of the $15,340 face value of the Factorial Convertible Notes which converted, at fair value, in accordance with the respective agreements resulting in 766,397 shares of Factorial Common Stock. The resulting 766,397 shares of Factorial Common Stock were then exchanged into 2,811,447 shares of PubCo Series A Common Stock with a $0.0001 par value per share in accordance with the Business Combination. The Company elected the Fair Value Option for the Factorial Convertible Notes in accordance with </w:t>
            </w:r>
            <w:r>
              <w:rPr>
                <w:rFonts w:ascii="Times New Roman;Times;serif" w:hAnsi="Times New Roman;Times;serif"/>
                <w:b w:val="false"/>
                <w:i/>
                <w:sz w:val="20"/>
              </w:rPr>
              <w:t>ASC 825, Financial Instruments</w:t>
            </w:r>
            <w:r>
              <w:rPr>
                <w:rFonts w:ascii="Times New Roman;Times;serif" w:hAnsi="Times New Roman;Times;serif"/>
                <w:b w:val="false"/>
                <w:i w:val="false"/>
                <w:caps w:val="false"/>
                <w:smallCaps w:val="false"/>
                <w:sz w:val="20"/>
              </w:rPr>
              <w:t>. The Factorial Convertible Notes issued from issuance respectively through the three months ended March 31, 2026, included an aggregate fair value adjustment of $10,596 as of March 31, 2026. The pro forma adjustments also give effect to the change in conversion value of the Factorial Convertible Notes issued in May 2026 as a result of the Business Combination representing its carrying value of May 2026 Notes plus assumed interest through June 5, 2026 for pro forma purposes. As such, the estimated carrying value of the Factorial Convertible Notes required an incremental adjustment to accumulated deficit of $3,123, which consists of incremental value inclusive of the conversion value of interest to adjust the Factorial Convertible Notes to $29,059 as of the Merger Effective Time.</w:t>
            </w:r>
          </w:p>
        </w:tc>
      </w:tr>
    </w:tbl>
    <w:tbl>
      <w:tblPr>
        <w:tblW w:w="9805" w:type="dxa"/>
        <w:jc w:val="left"/>
        <w:tblInd w:w="200" w:type="dxa"/>
        <w:tblLayout w:type="fixed"/>
        <w:tblCellMar>
          <w:top w:w="28" w:type="dxa"/>
          <w:left w:w="28" w:type="dxa"/>
          <w:bottom w:w="28" w:type="dxa"/>
          <w:right w:w="28" w:type="dxa"/>
        </w:tblCellMar>
      </w:tblPr>
      <w:tblGrid>
        <w:gridCol w:w="124"/>
        <w:gridCol w:w="271"/>
        <w:gridCol w:w="94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4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18,349,937 shares of Factorial Preferred Stock into Factorial Common Stock on a one-to-one basis and then exchanged into 67,314,957 shares of PubCo Series A Common Stock with a $0.0001 par value per share.</w:t>
            </w:r>
          </w:p>
        </w:tc>
      </w:tr>
    </w:tbl>
    <w:tbl>
      <w:tblPr>
        <w:tblW w:w="9805" w:type="dxa"/>
        <w:jc w:val="left"/>
        <w:tblInd w:w="200" w:type="dxa"/>
        <w:tblLayout w:type="fixed"/>
        <w:tblCellMar>
          <w:top w:w="28" w:type="dxa"/>
          <w:left w:w="28" w:type="dxa"/>
          <w:bottom w:w="28" w:type="dxa"/>
          <w:right w:w="28" w:type="dxa"/>
        </w:tblCellMar>
      </w:tblPr>
      <w:tblGrid>
        <w:gridCol w:w="124"/>
        <w:gridCol w:w="331"/>
        <w:gridCol w:w="9350"/>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35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cashless exercise of 295,558 Factorial Warrants into 362,625 shares of Factorial Common Stock immediately before the consummation of the Business Combination and then exchanged into 372,907 PubCo Series A Common Stock.</w:t>
            </w:r>
          </w:p>
        </w:tc>
      </w:tr>
    </w:tbl>
    <w:tbl>
      <w:tblPr>
        <w:tblW w:w="9805" w:type="dxa"/>
        <w:jc w:val="left"/>
        <w:tblInd w:w="200" w:type="dxa"/>
        <w:tblLayout w:type="fixed"/>
        <w:tblCellMar>
          <w:top w:w="28" w:type="dxa"/>
          <w:left w:w="28" w:type="dxa"/>
          <w:bottom w:w="28" w:type="dxa"/>
          <w:right w:w="28" w:type="dxa"/>
        </w:tblCellMar>
      </w:tblPr>
      <w:tblGrid>
        <w:gridCol w:w="124"/>
        <w:gridCol w:w="316"/>
        <w:gridCol w:w="93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3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 839,951 shares of Factorial Common Stock into 3,081,263 shares of PubCo Series A Common Stock with a $0.0001 par value per share.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 4,228,739 shares of Factorial Common Stock into 15,512,744 shares of PubCo Series B Common Stock with a $0.0001 par value per share. This adjustment has no impact on additional paid-in capital.</w:t>
            </w:r>
          </w:p>
        </w:tc>
      </w:tr>
    </w:tbl>
    <w:tbl>
      <w:tblPr>
        <w:tblW w:w="9805" w:type="dxa"/>
        <w:jc w:val="left"/>
        <w:tblInd w:w="200" w:type="dxa"/>
        <w:tblLayout w:type="fixed"/>
        <w:tblCellMar>
          <w:top w:w="28" w:type="dxa"/>
          <w:left w:w="28" w:type="dxa"/>
          <w:bottom w:w="28" w:type="dxa"/>
          <w:right w:w="28" w:type="dxa"/>
        </w:tblCellMar>
      </w:tblPr>
      <w:tblGrid>
        <w:gridCol w:w="124"/>
        <w:gridCol w:w="316"/>
        <w:gridCol w:w="93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3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removal of Factorial Treasury Stock into additional paid-in capital immediately prior to the Merger Effective Time by the Company as treasury stock was be automatically cancelled and extinguished, and no consideration was paid with respect thereto.</w:t>
            </w:r>
          </w:p>
        </w:tc>
      </w:tr>
    </w:tbl>
    <w:tbl>
      <w:tblPr>
        <w:tblW w:w="9805" w:type="dxa"/>
        <w:jc w:val="left"/>
        <w:tblInd w:w="200" w:type="dxa"/>
        <w:tblLayout w:type="fixed"/>
        <w:tblCellMar>
          <w:top w:w="28" w:type="dxa"/>
          <w:left w:w="28" w:type="dxa"/>
          <w:bottom w:w="28" w:type="dxa"/>
          <w:right w:w="28" w:type="dxa"/>
        </w:tblCellMar>
      </w:tblPr>
      <w:tblGrid>
        <w:gridCol w:w="124"/>
        <w:gridCol w:w="376"/>
        <w:gridCol w:w="9305"/>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elimination of historical CGC accumulated deficit of $14,009, through additional paid-in capital, net of the accumulated deficit impact of the assumed $3,123 change in fair value on the Factorial Convertible Notes discussed in footnote (e)(i). The income impact of the CGC pro forma interest earned on investments held in Trust of $1,611 discussed in footnotes (b) and (f)(i) and the accumulated deficit impact of the CGC transaction costs estimated to be </w:t>
            </w:r>
          </w:p>
        </w:tc>
      </w:tr>
    </w:tbl>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incurred after May 31, 2026 of $2,590 discussed in footnote (c) are reclassified into additional paid-in capital due to the effects of the Business Combination as they represent income and expenses of CGC that are eliminated.</w:t>
            </w:r>
          </w:p>
        </w:tc>
      </w:tr>
    </w:tbl>
    <w:tbl>
      <w:tblPr>
        <w:tblW w:w="9805" w:type="dxa"/>
        <w:jc w:val="left"/>
        <w:tblInd w:w="200" w:type="dxa"/>
        <w:tblLayout w:type="fixed"/>
        <w:tblCellMar>
          <w:top w:w="28" w:type="dxa"/>
          <w:left w:w="28" w:type="dxa"/>
          <w:bottom w:w="28" w:type="dxa"/>
          <w:right w:w="28" w:type="dxa"/>
        </w:tblCellMar>
      </w:tblPr>
      <w:tblGrid>
        <w:gridCol w:w="124"/>
        <w:gridCol w:w="271"/>
        <w:gridCol w:w="94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4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following pro forma adjustments for redemptions associated with the Business Combination (refer to below table for pro forma entries):</w:t>
            </w:r>
          </w:p>
        </w:tc>
      </w:tr>
    </w:tbl>
    <w:tbl>
      <w:tblPr>
        <w:tblW w:w="9805" w:type="dxa"/>
        <w:jc w:val="left"/>
        <w:tblInd w:w="200" w:type="dxa"/>
        <w:tblLayout w:type="fixed"/>
        <w:tblCellMar>
          <w:top w:w="28" w:type="dxa"/>
          <w:left w:w="28" w:type="dxa"/>
          <w:bottom w:w="28" w:type="dxa"/>
          <w:right w:w="28" w:type="dxa"/>
        </w:tblCellMar>
      </w:tblPr>
      <w:tblGrid>
        <w:gridCol w:w="124"/>
        <w:gridCol w:w="211"/>
        <w:gridCol w:w="94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4,548,687 CGC Class A Ordinary shares previously subject to redemption for cash but not redeemed (accreted to the Redemption Price through an adjustment to accumulated deficit of $1,611 through the adjustment discussed in footnote (b)) and transferred to shareholders’ equity at $0.00001 par value.</w:t>
            </w:r>
          </w:p>
        </w:tc>
      </w:tr>
    </w:tbl>
    <w:tbl>
      <w:tblPr>
        <w:tblW w:w="9805" w:type="dxa"/>
        <w:jc w:val="left"/>
        <w:tblInd w:w="200" w:type="dxa"/>
        <w:tblLayout w:type="fixed"/>
        <w:tblCellMar>
          <w:top w:w="28" w:type="dxa"/>
          <w:left w:w="28" w:type="dxa"/>
          <w:bottom w:w="28" w:type="dxa"/>
          <w:right w:w="28" w:type="dxa"/>
        </w:tblCellMar>
      </w:tblPr>
      <w:tblGrid>
        <w:gridCol w:w="124"/>
        <w:gridCol w:w="271"/>
        <w:gridCol w:w="94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4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6,900,000 CGC Class B Shares into 6,900,000 shares of PubCo Series A Common Stock, with a par value $0.00001 per share. Additionally, both the CGC Private Warrants and CGC Public Warrants survive the Business Combination and convert into PubCo Warrants and therefore result in no pro forma financial statement impact.</w:t>
            </w:r>
          </w:p>
        </w:tc>
      </w:tr>
    </w:tbl>
    <w:tbl>
      <w:tblPr>
        <w:tblW w:w="9744" w:type="dxa"/>
        <w:jc w:val="left"/>
        <w:tblInd w:w="200" w:type="dxa"/>
        <w:tblLayout w:type="fixed"/>
        <w:tblCellMar>
          <w:top w:w="0" w:type="dxa"/>
          <w:left w:w="0" w:type="dxa"/>
          <w:bottom w:w="0" w:type="dxa"/>
          <w:right w:w="0" w:type="dxa"/>
        </w:tblCellMar>
      </w:tblPr>
      <w:tblGrid>
        <w:gridCol w:w="2176"/>
        <w:gridCol w:w="346"/>
        <w:gridCol w:w="976"/>
        <w:gridCol w:w="346"/>
        <w:gridCol w:w="766"/>
        <w:gridCol w:w="346"/>
        <w:gridCol w:w="1051"/>
        <w:gridCol w:w="346"/>
        <w:gridCol w:w="721"/>
        <w:gridCol w:w="346"/>
        <w:gridCol w:w="871"/>
        <w:gridCol w:w="346"/>
        <w:gridCol w:w="916"/>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81760" cy="175260"/>
                      <wp:effectExtent l="0" t="0" r="0" b="0"/>
                      <wp:wrapNone/>
                      <wp:docPr id="54" name="Frame53"/>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19760" cy="175260"/>
                      <wp:effectExtent l="0" t="0" r="0" b="0"/>
                      <wp:wrapNone/>
                      <wp:docPr id="56" name="Frame5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7"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86410" cy="175260"/>
                      <wp:effectExtent l="0" t="0" r="0" b="0"/>
                      <wp:wrapNone/>
                      <wp:docPr id="58" name="Frame5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7385" cy="175260"/>
                      <wp:effectExtent l="0" t="0" r="0" b="0"/>
                      <wp:wrapNone/>
                      <wp:docPr id="60" name="Frame5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57835" cy="175260"/>
                      <wp:effectExtent l="0" t="0" r="0" b="0"/>
                      <wp:wrapNone/>
                      <wp:docPr id="62" name="Frame6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3"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53085" cy="175260"/>
                      <wp:effectExtent l="0" t="0" r="0" b="0"/>
                      <wp:wrapNone/>
                      <wp:docPr id="64" name="Frame6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81660" cy="175260"/>
                      <wp:effectExtent l="0" t="0" r="0" b="0"/>
                      <wp:wrapNone/>
                      <wp:docPr id="66" name="Frame6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1285" cy="175260"/>
                      <wp:effectExtent l="0" t="0" r="0" b="0"/>
                      <wp:wrapNone/>
                      <wp:docPr id="67" name="Frame6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CGC</w:t>
              <w:br/>
              <w:t>Class A</w:t>
              <w:br/>
              <w:t>Common</w:t>
              <w:br/>
              <w:t>Stock</w:t>
              <w:br/>
              <w:t>Subject to</w:t>
              <w:br/>
              <w:t>Redemption</w:t>
            </w:r>
          </w:p>
        </w:tc>
        <w:tc>
          <w:tcPr>
            <w:tcW w:w="346" w:type="dxa"/>
            <w:tcBorders/>
            <w:vAlign w:val="center"/>
          </w:tcPr>
          <w:p>
            <w:pPr>
              <w:pStyle w:val="TableContents"/>
              <w:bidi w:val="0"/>
              <w:spacing w:lineRule="auto" w:line="328"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CGC</w:t>
              <w:br/>
              <w:t>Class B</w:t>
              <w:br/>
              <w:t>Common</w:t>
              <w:br/>
              <w:t>Stock</w:t>
            </w:r>
          </w:p>
        </w:tc>
        <w:tc>
          <w:tcPr>
            <w:tcW w:w="346" w:type="dxa"/>
            <w:tcBorders/>
            <w:vAlign w:val="center"/>
          </w:tcPr>
          <w:p>
            <w:pPr>
              <w:pStyle w:val="TableContents"/>
              <w:bidi w:val="0"/>
              <w:spacing w:lineRule="auto" w:line="328"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br/>
              <w:t>deficit</w:t>
            </w:r>
          </w:p>
        </w:tc>
        <w:tc>
          <w:tcPr>
            <w:tcW w:w="346" w:type="dxa"/>
            <w:tcBorders/>
            <w:vAlign w:val="center"/>
          </w:tcPr>
          <w:p>
            <w:pPr>
              <w:pStyle w:val="TableContents"/>
              <w:bidi w:val="0"/>
              <w:spacing w:lineRule="auto" w:line="328"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PubCo</w:t>
              <w:br/>
              <w:t>Series A</w:t>
              <w:br/>
              <w:t>common</w:t>
              <w:br/>
              <w:t>stock</w:t>
            </w:r>
          </w:p>
        </w:tc>
        <w:tc>
          <w:tcPr>
            <w:tcW w:w="346" w:type="dxa"/>
            <w:tcBorders/>
            <w:vAlign w:val="center"/>
          </w:tcPr>
          <w:p>
            <w:pPr>
              <w:pStyle w:val="TableContents"/>
              <w:bidi w:val="0"/>
              <w:spacing w:lineRule="auto" w:line="328"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Additional</w:t>
              <w:br/>
              <w:t>paid-in</w:t>
              <w:br/>
              <w:t>capital</w:t>
            </w:r>
          </w:p>
        </w:tc>
        <w:tc>
          <w:tcPr>
            <w:tcW w:w="346" w:type="dxa"/>
            <w:tcBorders/>
            <w:vAlign w:val="center"/>
          </w:tcPr>
          <w:p>
            <w:pPr>
              <w:pStyle w:val="TableContents"/>
              <w:bidi w:val="0"/>
              <w:spacing w:lineRule="auto" w:line="328"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Cash</w:t>
              <w:br/>
              <w:t>and</w:t>
              <w:br/>
              <w:t>cash</w:t>
              <w:br/>
              <w:t>equivalents</w:t>
            </w:r>
          </w:p>
        </w:tc>
        <w:tc>
          <w:tcPr>
            <w:tcW w:w="191" w:type="dxa"/>
            <w:tcBorders/>
            <w:vAlign w:val="center"/>
          </w:tcPr>
          <w:p>
            <w:pPr>
              <w:pStyle w:val="TableContents"/>
              <w:bidi w:val="0"/>
              <w:spacing w:lineRule="auto" w:line="328" w:before="0" w:after="0"/>
              <w:ind w:left="0" w:right="0" w:hanging="0"/>
              <w:jc w:val="left"/>
              <w:rPr/>
            </w:pPr>
            <w:r>
              <w:rPr/>
              <w:t> </w:t>
            </w:r>
          </w:p>
        </w:tc>
      </w:tr>
      <w:tr>
        <w:trPr/>
        <w:tc>
          <w:tcPr>
            <w:tcW w:w="217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Redemptions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97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(285,869)</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76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pPr>
            <w:r>
              <w:rPr/>
              <w: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05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(1,611)</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72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pPr>
            <w:r>
              <w:rPr/>
              <w: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87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47,379</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91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(240,101)</w:t>
            </w:r>
          </w:p>
        </w:tc>
        <w:tc>
          <w:tcPr>
            <w:tcW w:w="191" w:type="dxa"/>
            <w:tcBorders/>
            <w:shd w:fill="CCEEFF" w:val="clear"/>
            <w:vAlign w:val="center"/>
          </w:tcPr>
          <w:p>
            <w:pPr>
              <w:pStyle w:val="TableContents"/>
              <w:bidi w:val="0"/>
              <w:spacing w:lineRule="auto" w:line="328" w:before="0" w:after="0"/>
              <w:ind w:left="0" w:right="0" w:hanging="0"/>
              <w:jc w:val="left"/>
              <w:rPr/>
            </w:pPr>
            <w:r>
              <w:rPr/>
              <w:t>​</w:t>
            </w:r>
          </w:p>
        </w:tc>
      </w:tr>
      <w:tr>
        <w:trPr/>
        <w:tc>
          <w:tcPr>
            <w:tcW w:w="217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CGC Class B Conversion</w:t>
            </w:r>
          </w:p>
        </w:tc>
        <w:tc>
          <w:tcPr>
            <w:tcW w:w="346" w:type="dxa"/>
            <w:tcBorders/>
            <w:vAlign w:val="center"/>
          </w:tcPr>
          <w:p>
            <w:pPr>
              <w:pStyle w:val="TableContents"/>
              <w:bidi w:val="0"/>
              <w:spacing w:lineRule="auto" w:line="328"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lineRule="auto" w:line="328"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lineRule="auto" w:line="328"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191" w:type="dxa"/>
            <w:tcBorders/>
            <w:vAlign w:val="center"/>
          </w:tcPr>
          <w:p>
            <w:pPr>
              <w:pStyle w:val="TableContents"/>
              <w:bidi w:val="0"/>
              <w:spacing w:lineRule="auto" w:line="328" w:before="0" w:after="0"/>
              <w:ind w:left="0" w:right="0" w:hanging="0"/>
              <w:jc w:val="left"/>
              <w:rPr/>
            </w:pPr>
            <w:r>
              <w:rPr/>
              <w:t>​</w:t>
            </w:r>
          </w:p>
        </w:tc>
      </w:tr>
      <w:tr>
        <w:trPr/>
        <w:tc>
          <w:tcPr>
            <w:tcW w:w="217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97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(285,869)</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76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105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(1,611)</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72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87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47,379</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9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(240,101)</w:t>
            </w:r>
          </w:p>
        </w:tc>
        <w:tc>
          <w:tcPr>
            <w:tcW w:w="191" w:type="dxa"/>
            <w:tcBorders/>
            <w:shd w:fill="CCEEFF" w:val="clear"/>
            <w:vAlign w:val="center"/>
          </w:tcPr>
          <w:p>
            <w:pPr>
              <w:pStyle w:val="TableContents"/>
              <w:bidi w:val="0"/>
              <w:spacing w:lineRule="auto" w:line="328"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27" w:name="_d2d284f2_74c0_4f22_a32b_4a4a20740e8a"/>
      <w:bookmarkEnd w:id="27"/>
      <w:r>
        <w:rPr>
          <w:rFonts w:ascii="Times New Roman;Times;serif" w:hAnsi="Times New Roman;Times;serif"/>
          <w:b/>
          <w:sz w:val="20"/>
        </w:rPr>
        <w:t>Unaudited Condensed Combined Pro Forma Statement of Operations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For the Three Months Ended 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10320" w:type="dxa"/>
        <w:jc w:val="left"/>
        <w:tblInd w:w="200" w:type="dxa"/>
        <w:tblLayout w:type="fixed"/>
        <w:tblCellMar>
          <w:top w:w="0" w:type="dxa"/>
          <w:left w:w="0" w:type="dxa"/>
          <w:bottom w:w="0" w:type="dxa"/>
          <w:right w:w="0" w:type="dxa"/>
        </w:tblCellMar>
      </w:tblPr>
      <w:tblGrid>
        <w:gridCol w:w="1291"/>
        <w:gridCol w:w="346"/>
        <w:gridCol w:w="211"/>
        <w:gridCol w:w="1036"/>
        <w:gridCol w:w="346"/>
        <w:gridCol w:w="211"/>
        <w:gridCol w:w="931"/>
        <w:gridCol w:w="346"/>
        <w:gridCol w:w="462"/>
        <w:gridCol w:w="1384"/>
        <w:gridCol w:w="346"/>
        <w:gridCol w:w="511"/>
        <w:gridCol w:w="346"/>
        <w:gridCol w:w="295"/>
        <w:gridCol w:w="1596"/>
        <w:gridCol w:w="346"/>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819785" cy="175260"/>
                      <wp:effectExtent l="0" t="0" r="0" b="0"/>
                      <wp:wrapNone/>
                      <wp:docPr id="68" name="Frame67"/>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0"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57860" cy="175260"/>
                      <wp:effectExtent l="0" t="0" r="0" b="0"/>
                      <wp:wrapNone/>
                      <wp:docPr id="71" name="Frame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3"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91185" cy="175260"/>
                      <wp:effectExtent l="0" t="0" r="0" b="0"/>
                      <wp:wrapNone/>
                      <wp:docPr id="74" name="Frame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5"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93370" cy="175260"/>
                      <wp:effectExtent l="0" t="0" r="0" b="0"/>
                      <wp:wrapNone/>
                      <wp:docPr id="76" name="Frame75"/>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878840" cy="175260"/>
                      <wp:effectExtent l="0" t="0" r="0" b="0"/>
                      <wp:wrapNone/>
                      <wp:docPr id="77" name="Frame76"/>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24485" cy="175260"/>
                      <wp:effectExtent l="0" t="0" r="0" b="0"/>
                      <wp:wrapNone/>
                      <wp:docPr id="79" name="Frame7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0"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7325" cy="175260"/>
                      <wp:effectExtent l="0" t="0" r="0" b="0"/>
                      <wp:wrapNone/>
                      <wp:docPr id="81" name="Frame8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013460" cy="175260"/>
                      <wp:effectExtent l="0" t="0" r="0" b="0"/>
                      <wp:wrapNone/>
                      <wp:docPr id="82" name="Frame81"/>
                      <a:graphic xmlns:a="http://schemas.openxmlformats.org/drawingml/2006/main">
                        <a:graphicData uri="http://schemas.microsoft.com/office/word/2010/wordprocessingShape">
                          <wps:wsp>
                            <wps:cNvSpPr txBox="1"/>
                            <wps:spPr>
                              <a:xfrm>
                                <a:off x="0" y="0"/>
                                <a:ext cx="1013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3"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0660" cy="175260"/>
                      <wp:effectExtent l="0" t="0" r="0" b="0"/>
                      <wp:wrapNone/>
                      <wp:docPr id="84" name="Frame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Historical</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4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 Forma Combined</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CGCT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Factorial</w:t>
            </w:r>
          </w:p>
        </w:tc>
        <w:tc>
          <w:tcPr>
            <w:tcW w:w="346" w:type="dxa"/>
            <w:tcBorders/>
            <w:vAlign w:val="center"/>
          </w:tcPr>
          <w:p>
            <w:pPr>
              <w:pStyle w:val="TableContents"/>
              <w:bidi w:val="0"/>
              <w:spacing w:before="0" w:after="0"/>
              <w:ind w:left="0" w:right="0" w:hanging="0"/>
              <w:jc w:val="left"/>
              <w:rPr/>
            </w:pPr>
            <w:r>
              <w:rPr/>
              <w:t>  ​ ​ ​</w:t>
            </w:r>
          </w:p>
        </w:tc>
        <w:tc>
          <w:tcPr>
            <w:tcW w:w="184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Transaction Accounting</w:t>
              <w:br/>
              <w:t>Adjustments</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5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c>
          <w:tcPr>
            <w:tcW w:w="189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 Forma Statement of</w:t>
              <w:br/>
              <w:t>Operations</w:t>
            </w:r>
          </w:p>
        </w:tc>
        <w:tc>
          <w:tcPr>
            <w:tcW w:w="346" w:type="dxa"/>
            <w:tcBorders/>
            <w:vAlign w:val="center"/>
          </w:tcPr>
          <w:p>
            <w:pPr>
              <w:pStyle w:val="TableContents"/>
              <w:bidi w:val="0"/>
              <w:spacing w:before="0" w:after="0"/>
              <w:ind w:left="0" w:right="0" w:hanging="0"/>
              <w:jc w:val="left"/>
              <w:rPr/>
            </w:pPr>
            <w:r>
              <w:rPr/>
              <w:t>  ​ ​ ​</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3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38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5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4,549</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7,950</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6,491</w:t>
            </w:r>
          </w:p>
        </w:tc>
        <w:tc>
          <w:tcPr>
            <w:tcW w:w="346" w:type="dxa"/>
            <w:tcBorders/>
            <w:vAlign w:val="center"/>
          </w:tcPr>
          <w:p>
            <w:pPr>
              <w:pStyle w:val="TableContents"/>
              <w:bidi w:val="0"/>
              <w:spacing w:before="0" w:after="0"/>
              <w:ind w:left="0" w:right="0" w:hanging="0"/>
              <w:jc w:val="left"/>
              <w:rPr/>
            </w:pPr>
            <w:r>
              <w:rPr/>
              <w:t>​</w:t>
            </w:r>
          </w:p>
        </w:tc>
        <w:tc>
          <w:tcPr>
            <w:tcW w:w="46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38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5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9,892</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(6,491)</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38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5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(9,892)</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related to issuance of convertible promissory note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5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5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promissory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5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3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(8,575)</w:t>
            </w:r>
          </w:p>
        </w:tc>
        <w:tc>
          <w:tcPr>
            <w:tcW w:w="346" w:type="dxa"/>
            <w:tcBorders/>
            <w:vAlign w:val="center"/>
          </w:tcPr>
          <w:p>
            <w:pPr>
              <w:pStyle w:val="TableContents"/>
              <w:bidi w:val="0"/>
              <w:spacing w:before="0" w:after="0"/>
              <w:ind w:left="0" w:right="0" w:hanging="0"/>
              <w:jc w:val="left"/>
              <w:rPr/>
            </w:pPr>
            <w:r>
              <w:rPr/>
              <w:t>​</w:t>
            </w:r>
          </w:p>
        </w:tc>
        <w:tc>
          <w:tcPr>
            <w:tcW w:w="46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384"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9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(10,126)</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(8,575)</w:t>
            </w:r>
          </w:p>
        </w:tc>
        <w:tc>
          <w:tcPr>
            <w:tcW w:w="346" w:type="dxa"/>
            <w:tcBorders/>
            <w:vAlign w:val="center"/>
          </w:tcPr>
          <w:p>
            <w:pPr>
              <w:pStyle w:val="TableContents"/>
              <w:bidi w:val="0"/>
              <w:spacing w:before="0" w:after="0"/>
              <w:ind w:left="0" w:right="0" w:hanging="0"/>
              <w:jc w:val="left"/>
              <w:rPr/>
            </w:pPr>
            <w:r>
              <w:rPr/>
              <w:t>​</w:t>
            </w:r>
          </w:p>
        </w:tc>
        <w:tc>
          <w:tcPr>
            <w:tcW w:w="462"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(10,126)</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 Class A Common Stock Subject to Redemption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31" w:type="dxa"/>
            <w:tcBorders>
              <w:top w:val="double" w:sz="6"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384"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59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per share, Class A Common Stock Subject to Redemption</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common stock outstanding, CGC Class B Common Stock, non-redeemable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3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5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net loss per share, CGC Class B Common Stock, non-redeemable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common stock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3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5,056,994</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5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share,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pro forma weighted 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3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107,023,245</w:t>
            </w:r>
          </w:p>
        </w:tc>
        <w:tc>
          <w:tcPr>
            <w:tcW w:w="34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pro forma net loss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b/>
          <w:sz w:val="20"/>
        </w:rPr>
      </w:pPr>
      <w:bookmarkStart w:id="28" w:name="_67c95d47_87db_4dfd_8c88_3988dfd936b3"/>
      <w:bookmarkEnd w:id="28"/>
      <w:r>
        <w:rPr>
          <w:rFonts w:ascii="Times New Roman;Times;serif" w:hAnsi="Times New Roman;Times;serif"/>
          <w:b/>
          <w:sz w:val="20"/>
        </w:rPr>
        <w:t>The pro forma adjustments to the unaudited condensed combined pro forma statement of operations for the three months ended March 31, 2026 consist of the following:</w:t>
      </w:r>
    </w:p>
    <w:tbl>
      <w:tblPr>
        <w:tblW w:w="9805" w:type="dxa"/>
        <w:jc w:val="left"/>
        <w:tblInd w:w="200" w:type="dxa"/>
        <w:tblLayout w:type="fixed"/>
        <w:tblCellMar>
          <w:top w:w="28" w:type="dxa"/>
          <w:left w:w="28" w:type="dxa"/>
          <w:bottom w:w="28" w:type="dxa"/>
          <w:right w:w="28" w:type="dxa"/>
        </w:tblCellMar>
      </w:tblPr>
      <w:tblGrid>
        <w:gridCol w:w="124"/>
        <w:gridCol w:w="266"/>
        <w:gridCol w:w="9415"/>
      </w:tblGrid>
      <w:tr>
        <w:trPr/>
        <w:tc>
          <w:tcPr>
            <w:tcW w:w="124" w:type="dxa"/>
            <w:tcBorders/>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CGC’s transaction expenses of approximately $2,590 ($3,737 total less $1,147 expensed by CGC through March 31, 2026) related to the Business Combination, excluding the $4,311 underwriter fee. Note that this adjustment does not reflect $10,259 of transaction expenses incurred by Factorial. The $10,259 of Factorial transaction expenses are presented net within stockholders’ equity (deficit) on the unaudited combined pro forma balance sheet as of March 31, 2026 pursuant to applicable accounting principles related to reverse recapitalizations.</w:t>
            </w:r>
          </w:p>
        </w:tc>
      </w:tr>
    </w:tbl>
    <w:tbl>
      <w:tblPr>
        <w:tblW w:w="9805" w:type="dxa"/>
        <w:jc w:val="left"/>
        <w:tblInd w:w="200" w:type="dxa"/>
        <w:tblLayout w:type="fixed"/>
        <w:tblCellMar>
          <w:top w:w="28" w:type="dxa"/>
          <w:left w:w="28" w:type="dxa"/>
          <w:bottom w:w="28" w:type="dxa"/>
          <w:right w:w="28" w:type="dxa"/>
        </w:tblCellMar>
      </w:tblPr>
      <w:tblGrid>
        <w:gridCol w:w="124"/>
        <w:gridCol w:w="280"/>
        <w:gridCol w:w="94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an adjustment to eliminate the financing costs related to Factorial’s issuance of Factorial Convertible Notes during the three months ended March 31, 2026, the change in fair value of the Factorial Convertible Notes issued during the three months ended March 31, 2026, and change in the fair value of the Factorial Warrants during the three months ended March 31, 2026, as this pro forma financial information assumes the Business Combination occurred on January 1, 2025 and therefore, includes the exchange of the Factorial Convertible Notes and Factorial Warrants into shares of PubCo Series A Common Stock as of the earliest period presented (i.e., January 1, 2025).</w:t>
            </w:r>
          </w:p>
        </w:tc>
      </w:tr>
    </w:tbl>
    <w:tbl>
      <w:tblPr>
        <w:tblW w:w="9805" w:type="dxa"/>
        <w:jc w:val="left"/>
        <w:tblInd w:w="200" w:type="dxa"/>
        <w:tblLayout w:type="fixed"/>
        <w:tblCellMar>
          <w:top w:w="28" w:type="dxa"/>
          <w:left w:w="28" w:type="dxa"/>
          <w:bottom w:w="28" w:type="dxa"/>
          <w:right w:w="28" w:type="dxa"/>
        </w:tblCellMar>
      </w:tblPr>
      <w:tblGrid>
        <w:gridCol w:w="124"/>
        <w:gridCol w:w="287"/>
        <w:gridCol w:w="93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3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an adjustment to eliminate interest earned on marketable securities held in the Trust Account associated with the proceeds from CGC’s IPO held in Trust for the three months ended March 31, 2026.</w:t>
            </w:r>
          </w:p>
        </w:tc>
      </w:tr>
    </w:tbl>
    <w:tbl>
      <w:tblPr>
        <w:tblW w:w="9805" w:type="dxa"/>
        <w:jc w:val="left"/>
        <w:tblInd w:w="200" w:type="dxa"/>
        <w:tblLayout w:type="fixed"/>
        <w:tblCellMar>
          <w:top w:w="28" w:type="dxa"/>
          <w:left w:w="28" w:type="dxa"/>
          <w:bottom w:w="28" w:type="dxa"/>
          <w:right w:w="28" w:type="dxa"/>
        </w:tblCellMar>
      </w:tblPr>
      <w:tblGrid>
        <w:gridCol w:w="124"/>
        <w:gridCol w:w="281"/>
        <w:gridCol w:w="94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4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weighted average shares outstanding for basic and diluted net loss per share assumes that the Business Combination occurred as of the earliest period presented (January 1, 2025). In addition, as the Business Combination is being reflected as if it had occurred on this date, the calculation of weighted average shares outstanding for basic and diluted net loss per share assumes that the shares have been outstanding for the entire period presented. This calculation is retroactively adjusted to eliminate the number of shares redeemed in the Business Combination for the entire period.</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Net loss per share was calculated using the historical weighted average shares outstanding, and the issuance of additional shares in connection with the Business Combination, assuming the shares were outstanding since January 1, 2025.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unaudited pro forma condensed combined financial information has been prepared to present the actual impact of redemptions of ordinary shares by Public Shareholders at the time of the Business Combination for the three months ended March 31, 2026. Calculation of pro forma net loss per share excludes the following securities: (a) 20,600,000 shares of PubCo Series A Common Stock issuable upon the exercise of 13,800,000 CGC Public Warrants and 6,800,000 CGC Private Warrants; (b) 24,755,591 shares of PubCo Series A Common Stock that will be issuable upon the exercise or settlement of 19,639,374 Factorial Options, with a weighted average exercise price of $1.09 and of which 16,524,075 shares are exercisable based on shares outstanding as of the Merger Effective Time, and 5,116,217 Factorial RSUs, of which none are vested as of the Merger Effective Time; and (c) any shares of PubCo Series A Common Stock that will initially be available for issuance under the PubCo Incentive Plan and ESPP.</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Further, under the Business Combination Agreement, the converted Factorial Options and Factorial RSUs retained substantially the same terms, including vesting conditions and other substantive provisions, as were applicable immediately prior to the Business Combination, with only equitable adjustments to the number of underlying shares and, for options, the exercise price to reflect the consideration ratio. As a result, the Business Combination did not in itself cause these awards to vest nor is it expected to result in incremental stock-based compensation expense solely from the conversion of such awards. Therefore, the impact of Factorial Options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and Factorial RSUs has been excluded from these unaudited condensed pro forma financial statements as such awards remained as outstanding equity awards and not PubCo Series A Common Stock immediately following the Business Combination.</w:t>
      </w:r>
    </w:p>
    <w:tbl>
      <w:tblPr>
        <w:tblW w:w="6029" w:type="dxa"/>
        <w:jc w:val="left"/>
        <w:tblInd w:w="200" w:type="dxa"/>
        <w:tblLayout w:type="fixed"/>
        <w:tblCellMar>
          <w:top w:w="0" w:type="dxa"/>
          <w:left w:w="0" w:type="dxa"/>
          <w:bottom w:w="0" w:type="dxa"/>
          <w:right w:w="0" w:type="dxa"/>
        </w:tblCellMar>
      </w:tblPr>
      <w:tblGrid>
        <w:gridCol w:w="3796"/>
        <w:gridCol w:w="346"/>
        <w:gridCol w:w="264"/>
        <w:gridCol w:w="1432"/>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410460" cy="175260"/>
                      <wp:effectExtent l="0" t="0" r="0" b="0"/>
                      <wp:wrapNone/>
                      <wp:docPr id="85" name="Frame84"/>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67640" cy="175260"/>
                      <wp:effectExtent l="0" t="0" r="0" b="0"/>
                      <wp:wrapNone/>
                      <wp:docPr id="87" name="Frame86"/>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09320" cy="175260"/>
                      <wp:effectExtent l="0" t="0" r="0" b="0"/>
                      <wp:wrapNone/>
                      <wp:docPr id="88" name="Frame87"/>
                      <a:graphic xmlns:a="http://schemas.openxmlformats.org/drawingml/2006/main">
                        <a:graphicData uri="http://schemas.microsoft.com/office/word/2010/wordprocessingShape">
                          <wps:wsp>
                            <wps:cNvSpPr txBox="1"/>
                            <wps:spPr>
                              <a:xfrm>
                                <a:off x="0" y="0"/>
                                <a:ext cx="909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21285" cy="175260"/>
                      <wp:effectExtent l="0" t="0" r="0" b="0"/>
                      <wp:wrapNone/>
                      <wp:docPr id="89" name="Frame8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  ​ ​ ​</w:t>
            </w:r>
          </w:p>
        </w:tc>
        <w:tc>
          <w:tcPr>
            <w:tcW w:w="1696"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Pro Forma Combined</w:t>
            </w:r>
          </w:p>
        </w:tc>
        <w:tc>
          <w:tcPr>
            <w:tcW w:w="191" w:type="dxa"/>
            <w:tcBorders/>
            <w:vAlign w:val="center"/>
          </w:tcPr>
          <w:p>
            <w:pPr>
              <w:pStyle w:val="TableContents"/>
              <w:bidi w:val="0"/>
              <w:spacing w:lineRule="auto" w:line="328" w:before="0" w:after="0"/>
              <w:ind w:left="0" w:right="0" w:hanging="0"/>
              <w:jc w:val="left"/>
              <w:rPr/>
            </w:pPr>
            <w:r>
              <w:rPr/>
              <w:t> </w:t>
            </w:r>
          </w:p>
        </w:tc>
      </w:tr>
      <w:tr>
        <w:trPr/>
        <w:tc>
          <w:tcPr>
            <w:tcW w:w="379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For the three months ended March 31, 2026</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64"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1432"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191" w:type="dxa"/>
            <w:tcBorders/>
            <w:shd w:fill="CCEEFF" w:val="clear"/>
            <w:vAlign w:val="center"/>
          </w:tcPr>
          <w:p>
            <w:pPr>
              <w:pStyle w:val="TableContents"/>
              <w:bidi w:val="0"/>
              <w:spacing w:lineRule="auto" w:line="328" w:before="0" w:after="0"/>
              <w:ind w:left="0" w:right="0" w:hanging="0"/>
              <w:jc w:val="left"/>
              <w:rPr/>
            </w:pPr>
            <w:r>
              <w:rPr/>
              <w:t>​</w:t>
            </w:r>
          </w:p>
        </w:tc>
      </w:tr>
      <w:tr>
        <w:trPr/>
        <w:tc>
          <w:tcPr>
            <w:tcW w:w="379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Pro forma net loss</w:t>
            </w:r>
          </w:p>
        </w:tc>
        <w:tc>
          <w:tcPr>
            <w:tcW w:w="346" w:type="dxa"/>
            <w:tcBorders/>
            <w:vAlign w:val="center"/>
          </w:tcPr>
          <w:p>
            <w:pPr>
              <w:pStyle w:val="TableContents"/>
              <w:bidi w:val="0"/>
              <w:spacing w:lineRule="auto" w:line="328"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2" w:type="dxa"/>
            <w:tcBorders>
              <w:bottom w:val="double" w:sz="6"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(10,126)</w:t>
            </w:r>
          </w:p>
        </w:tc>
        <w:tc>
          <w:tcPr>
            <w:tcW w:w="191" w:type="dxa"/>
            <w:tcBorders/>
            <w:vAlign w:val="center"/>
          </w:tcPr>
          <w:p>
            <w:pPr>
              <w:pStyle w:val="TableContents"/>
              <w:bidi w:val="0"/>
              <w:spacing w:lineRule="auto" w:line="328" w:before="0" w:after="0"/>
              <w:ind w:left="0" w:right="0" w:hanging="0"/>
              <w:jc w:val="left"/>
              <w:rPr/>
            </w:pPr>
            <w:r>
              <w:rPr/>
              <w:t>​</w:t>
            </w:r>
          </w:p>
        </w:tc>
      </w:tr>
      <w:tr>
        <w:trPr/>
        <w:tc>
          <w:tcPr>
            <w:tcW w:w="379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Pro forma basic and diluted net loss per share</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64"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2"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191" w:type="dxa"/>
            <w:tcBorders/>
            <w:shd w:fill="CCEEFF" w:val="clear"/>
            <w:vAlign w:val="center"/>
          </w:tcPr>
          <w:p>
            <w:pPr>
              <w:pStyle w:val="TableContents"/>
              <w:bidi w:val="0"/>
              <w:spacing w:lineRule="auto" w:line="328" w:before="0" w:after="0"/>
              <w:ind w:left="0" w:right="0" w:hanging="0"/>
              <w:jc w:val="left"/>
              <w:rPr/>
            </w:pPr>
            <w:r>
              <w:rPr/>
              <w:t>​</w:t>
            </w:r>
          </w:p>
        </w:tc>
      </w:tr>
      <w:tr>
        <w:trPr/>
        <w:tc>
          <w:tcPr>
            <w:tcW w:w="3796" w:type="dxa"/>
            <w:tcBorders/>
            <w:vAlign w:val="center"/>
          </w:tcPr>
          <w:p>
            <w:pPr>
              <w:pStyle w:val="TableContents"/>
              <w:pBdr/>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Number of shares of PubCo Common Stock</w:t>
            </w:r>
          </w:p>
        </w:tc>
        <w:tc>
          <w:tcPr>
            <w:tcW w:w="346" w:type="dxa"/>
            <w:tcBorders/>
            <w:vAlign w:val="center"/>
          </w:tcPr>
          <w:p>
            <w:pPr>
              <w:pStyle w:val="TableContents"/>
              <w:bidi w:val="0"/>
              <w:spacing w:lineRule="auto" w:line="328" w:before="0" w:after="0"/>
              <w:ind w:left="0" w:right="0" w:hanging="0"/>
              <w:jc w:val="left"/>
              <w:rPr/>
            </w:pPr>
            <w:r>
              <w:rPr/>
              <w:t>​</w:t>
            </w:r>
          </w:p>
        </w:tc>
        <w:tc>
          <w:tcPr>
            <w:tcW w:w="264" w:type="dxa"/>
            <w:tcBorders>
              <w:top w:val="double" w:sz="6" w:space="0" w:color="000000"/>
            </w:tcBorders>
            <w:tcMar>
              <w:top w:w="28" w:type="dxa"/>
            </w:tcMar>
            <w:vAlign w:val="center"/>
          </w:tcPr>
          <w:p>
            <w:pPr>
              <w:pStyle w:val="TableContents"/>
              <w:bidi w:val="0"/>
              <w:spacing w:lineRule="auto" w:line="328" w:before="0" w:after="0"/>
              <w:ind w:left="0" w:right="0" w:hanging="0"/>
              <w:jc w:val="left"/>
              <w:rPr/>
            </w:pPr>
            <w:r>
              <w:rPr/>
              <w:t>​</w:t>
            </w:r>
          </w:p>
        </w:tc>
        <w:tc>
          <w:tcPr>
            <w:tcW w:w="1432" w:type="dxa"/>
            <w:tcBorders>
              <w:top w:val="double" w:sz="6" w:space="0" w:color="000000"/>
            </w:tcBorders>
            <w:tcMar>
              <w:top w:w="28" w:type="dxa"/>
            </w:tcMar>
            <w:vAlign w:val="center"/>
          </w:tcPr>
          <w:p>
            <w:pPr>
              <w:pStyle w:val="TableContents"/>
              <w:bidi w:val="0"/>
              <w:spacing w:lineRule="auto" w:line="328" w:before="0" w:after="0"/>
              <w:ind w:left="0" w:right="0" w:hanging="0"/>
              <w:jc w:val="left"/>
              <w:rPr/>
            </w:pPr>
            <w:r>
              <w:rPr/>
              <w:t>​</w:t>
            </w:r>
          </w:p>
        </w:tc>
        <w:tc>
          <w:tcPr>
            <w:tcW w:w="191" w:type="dxa"/>
            <w:tcBorders/>
            <w:vAlign w:val="center"/>
          </w:tcPr>
          <w:p>
            <w:pPr>
              <w:pStyle w:val="TableContents"/>
              <w:bidi w:val="0"/>
              <w:spacing w:lineRule="auto" w:line="328" w:before="0" w:after="0"/>
              <w:ind w:left="0" w:right="0" w:hanging="0"/>
              <w:jc w:val="left"/>
              <w:rPr/>
            </w:pPr>
            <w:r>
              <w:rPr/>
              <w:t>​</w:t>
            </w:r>
          </w:p>
        </w:tc>
      </w:tr>
      <w:tr>
        <w:trPr/>
        <w:tc>
          <w:tcPr>
            <w:tcW w:w="379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CGC’s Public Shareholders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64" w:type="dxa"/>
            <w:tcBorders/>
            <w:shd w:fill="CCEEFF" w:val="clear"/>
            <w:vAlign w:val="center"/>
          </w:tcPr>
          <w:p>
            <w:pPr>
              <w:pStyle w:val="TableContents"/>
              <w:bidi w:val="0"/>
              <w:spacing w:lineRule="auto" w:line="328" w:before="0" w:after="0"/>
              <w:ind w:left="0" w:right="0" w:hanging="0"/>
              <w:jc w:val="left"/>
              <w:rPr/>
            </w:pPr>
            <w:r>
              <w:rPr/>
              <w:t>​</w:t>
            </w:r>
          </w:p>
        </w:tc>
        <w:tc>
          <w:tcPr>
            <w:tcW w:w="1432"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4,548,687</w:t>
            </w:r>
          </w:p>
        </w:tc>
        <w:tc>
          <w:tcPr>
            <w:tcW w:w="191" w:type="dxa"/>
            <w:tcBorders/>
            <w:shd w:fill="CCEEFF" w:val="clear"/>
            <w:vAlign w:val="center"/>
          </w:tcPr>
          <w:p>
            <w:pPr>
              <w:pStyle w:val="TableContents"/>
              <w:bidi w:val="0"/>
              <w:spacing w:lineRule="auto" w:line="328" w:before="0" w:after="0"/>
              <w:ind w:left="0" w:right="0" w:hanging="0"/>
              <w:jc w:val="left"/>
              <w:rPr/>
            </w:pPr>
            <w:r>
              <w:rPr/>
              <w:t>​</w:t>
            </w:r>
          </w:p>
        </w:tc>
      </w:tr>
      <w:tr>
        <w:trPr/>
        <w:tc>
          <w:tcPr>
            <w:tcW w:w="379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Sponsor and DirectorCo</w:t>
            </w:r>
          </w:p>
        </w:tc>
        <w:tc>
          <w:tcPr>
            <w:tcW w:w="346" w:type="dxa"/>
            <w:tcBorders/>
            <w:vAlign w:val="center"/>
          </w:tcPr>
          <w:p>
            <w:pPr>
              <w:pStyle w:val="TableContents"/>
              <w:bidi w:val="0"/>
              <w:spacing w:lineRule="auto" w:line="328" w:before="0" w:after="0"/>
              <w:ind w:left="0" w:right="0" w:hanging="0"/>
              <w:jc w:val="left"/>
              <w:rPr/>
            </w:pPr>
            <w:r>
              <w:rPr/>
              <w:t>​</w:t>
            </w:r>
          </w:p>
        </w:tc>
        <w:tc>
          <w:tcPr>
            <w:tcW w:w="264" w:type="dxa"/>
            <w:tcBorders/>
            <w:vAlign w:val="center"/>
          </w:tcPr>
          <w:p>
            <w:pPr>
              <w:pStyle w:val="TableContents"/>
              <w:bidi w:val="0"/>
              <w:spacing w:lineRule="auto" w:line="328" w:before="0" w:after="0"/>
              <w:ind w:left="0" w:right="0" w:hanging="0"/>
              <w:jc w:val="left"/>
              <w:rPr/>
            </w:pPr>
            <w:r>
              <w:rPr/>
              <w:t>​</w:t>
            </w:r>
          </w:p>
        </w:tc>
        <w:tc>
          <w:tcPr>
            <w:tcW w:w="143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5,810,000</w:t>
            </w:r>
          </w:p>
        </w:tc>
        <w:tc>
          <w:tcPr>
            <w:tcW w:w="191" w:type="dxa"/>
            <w:tcBorders/>
            <w:vAlign w:val="center"/>
          </w:tcPr>
          <w:p>
            <w:pPr>
              <w:pStyle w:val="TableContents"/>
              <w:bidi w:val="0"/>
              <w:spacing w:lineRule="auto" w:line="328" w:before="0" w:after="0"/>
              <w:ind w:left="0" w:right="0" w:hanging="0"/>
              <w:jc w:val="left"/>
              <w:rPr/>
            </w:pPr>
            <w:r>
              <w:rPr/>
              <w:t>​</w:t>
            </w:r>
          </w:p>
        </w:tc>
      </w:tr>
      <w:tr>
        <w:trPr/>
        <w:tc>
          <w:tcPr>
            <w:tcW w:w="379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PIPE Institutional Investor</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64" w:type="dxa"/>
            <w:tcBorders/>
            <w:shd w:fill="CCEEFF" w:val="clear"/>
            <w:vAlign w:val="center"/>
          </w:tcPr>
          <w:p>
            <w:pPr>
              <w:pStyle w:val="TableContents"/>
              <w:bidi w:val="0"/>
              <w:spacing w:lineRule="auto" w:line="328" w:before="0" w:after="0"/>
              <w:ind w:left="0" w:right="0" w:hanging="0"/>
              <w:jc w:val="left"/>
              <w:rPr/>
            </w:pPr>
            <w:r>
              <w:rPr/>
              <w:t>​</w:t>
            </w:r>
          </w:p>
        </w:tc>
        <w:tc>
          <w:tcPr>
            <w:tcW w:w="1432"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6,340,000</w:t>
            </w:r>
          </w:p>
        </w:tc>
        <w:tc>
          <w:tcPr>
            <w:tcW w:w="191" w:type="dxa"/>
            <w:tcBorders/>
            <w:shd w:fill="CCEEFF" w:val="clear"/>
            <w:vAlign w:val="center"/>
          </w:tcPr>
          <w:p>
            <w:pPr>
              <w:pStyle w:val="TableContents"/>
              <w:bidi w:val="0"/>
              <w:spacing w:lineRule="auto" w:line="328" w:before="0" w:after="0"/>
              <w:ind w:left="0" w:right="0" w:hanging="0"/>
              <w:jc w:val="left"/>
              <w:rPr/>
            </w:pPr>
            <w:r>
              <w:rPr/>
              <w:t>​</w:t>
            </w:r>
          </w:p>
        </w:tc>
      </w:tr>
      <w:tr>
        <w:trPr/>
        <w:tc>
          <w:tcPr>
            <w:tcW w:w="379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PIPE Sponsor Investor</w:t>
            </w:r>
          </w:p>
        </w:tc>
        <w:tc>
          <w:tcPr>
            <w:tcW w:w="346" w:type="dxa"/>
            <w:tcBorders/>
            <w:vAlign w:val="center"/>
          </w:tcPr>
          <w:p>
            <w:pPr>
              <w:pStyle w:val="TableContents"/>
              <w:bidi w:val="0"/>
              <w:spacing w:lineRule="auto" w:line="328" w:before="0" w:after="0"/>
              <w:ind w:left="0" w:right="0" w:hanging="0"/>
              <w:jc w:val="left"/>
              <w:rPr/>
            </w:pPr>
            <w:r>
              <w:rPr/>
              <w:t>​</w:t>
            </w:r>
          </w:p>
        </w:tc>
        <w:tc>
          <w:tcPr>
            <w:tcW w:w="264" w:type="dxa"/>
            <w:tcBorders/>
            <w:vAlign w:val="center"/>
          </w:tcPr>
          <w:p>
            <w:pPr>
              <w:pStyle w:val="TableContents"/>
              <w:bidi w:val="0"/>
              <w:spacing w:lineRule="auto" w:line="328" w:before="0" w:after="0"/>
              <w:ind w:left="0" w:right="0" w:hanging="0"/>
              <w:jc w:val="left"/>
              <w:rPr/>
            </w:pPr>
            <w:r>
              <w:rPr/>
              <w:t>​</w:t>
            </w:r>
          </w:p>
        </w:tc>
        <w:tc>
          <w:tcPr>
            <w:tcW w:w="143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1,179,404</w:t>
            </w:r>
          </w:p>
        </w:tc>
        <w:tc>
          <w:tcPr>
            <w:tcW w:w="191" w:type="dxa"/>
            <w:tcBorders/>
            <w:vAlign w:val="center"/>
          </w:tcPr>
          <w:p>
            <w:pPr>
              <w:pStyle w:val="TableContents"/>
              <w:bidi w:val="0"/>
              <w:spacing w:lineRule="auto" w:line="328" w:before="0" w:after="0"/>
              <w:ind w:left="0" w:right="0" w:hanging="0"/>
              <w:jc w:val="left"/>
              <w:rPr/>
            </w:pPr>
            <w:r>
              <w:rPr/>
              <w:t>​</w:t>
            </w:r>
          </w:p>
        </w:tc>
      </w:tr>
      <w:tr>
        <w:trPr/>
        <w:tc>
          <w:tcPr>
            <w:tcW w:w="379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Factorial Shareholders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64" w:type="dxa"/>
            <w:tcBorders/>
            <w:shd w:fill="CCEEFF" w:val="clear"/>
            <w:vAlign w:val="center"/>
          </w:tcPr>
          <w:p>
            <w:pPr>
              <w:pStyle w:val="TableContents"/>
              <w:bidi w:val="0"/>
              <w:spacing w:lineRule="auto" w:line="328" w:before="0" w:after="0"/>
              <w:ind w:left="0" w:right="0" w:hanging="0"/>
              <w:jc w:val="left"/>
              <w:rPr/>
            </w:pPr>
            <w:r>
              <w:rPr/>
              <w:t>​</w:t>
            </w:r>
          </w:p>
        </w:tc>
        <w:tc>
          <w:tcPr>
            <w:tcW w:w="1432"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89,083,036</w:t>
            </w:r>
          </w:p>
        </w:tc>
        <w:tc>
          <w:tcPr>
            <w:tcW w:w="191" w:type="dxa"/>
            <w:tcBorders/>
            <w:shd w:fill="CCEEFF" w:val="clear"/>
            <w:vAlign w:val="center"/>
          </w:tcPr>
          <w:p>
            <w:pPr>
              <w:pStyle w:val="TableContents"/>
              <w:bidi w:val="0"/>
              <w:spacing w:lineRule="auto" w:line="328" w:before="0" w:after="0"/>
              <w:ind w:left="0" w:right="0" w:hanging="0"/>
              <w:jc w:val="left"/>
              <w:rPr/>
            </w:pPr>
            <w:r>
              <w:rPr/>
              <w:t>​</w:t>
            </w:r>
          </w:p>
        </w:tc>
      </w:tr>
      <w:tr>
        <w:trPr/>
        <w:tc>
          <w:tcPr>
            <w:tcW w:w="379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Cantor Advisory Fee</w:t>
            </w:r>
          </w:p>
        </w:tc>
        <w:tc>
          <w:tcPr>
            <w:tcW w:w="346" w:type="dxa"/>
            <w:tcBorders/>
            <w:vAlign w:val="center"/>
          </w:tcPr>
          <w:p>
            <w:pPr>
              <w:pStyle w:val="TableContents"/>
              <w:bidi w:val="0"/>
              <w:spacing w:lineRule="auto" w:line="328"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1432"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62,118</w:t>
            </w:r>
          </w:p>
        </w:tc>
        <w:tc>
          <w:tcPr>
            <w:tcW w:w="191" w:type="dxa"/>
            <w:tcBorders/>
            <w:vAlign w:val="center"/>
          </w:tcPr>
          <w:p>
            <w:pPr>
              <w:pStyle w:val="TableContents"/>
              <w:bidi w:val="0"/>
              <w:spacing w:lineRule="auto" w:line="328" w:before="0" w:after="0"/>
              <w:ind w:left="0" w:right="0" w:hanging="0"/>
              <w:jc w:val="left"/>
              <w:rPr/>
            </w:pPr>
            <w:r>
              <w:rPr/>
              <w:t>​</w:t>
            </w:r>
          </w:p>
        </w:tc>
      </w:tr>
      <w:tr>
        <w:trPr/>
        <w:tc>
          <w:tcPr>
            <w:tcW w:w="379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Total shares outstanding</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6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pPr>
            <w:r>
              <w:rPr/>
              <w:t>​</w:t>
            </w:r>
          </w:p>
        </w:tc>
        <w:tc>
          <w:tcPr>
            <w:tcW w:w="14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b/>
                <w:sz w:val="20"/>
              </w:rPr>
            </w:pPr>
            <w:r>
              <w:rPr>
                <w:rFonts w:ascii="Times New Roman;Times;serif" w:hAnsi="Times New Roman;Times;serif"/>
                <w:b/>
                <w:sz w:val="20"/>
              </w:rPr>
              <w:t>107,023,245</w:t>
            </w:r>
          </w:p>
        </w:tc>
        <w:tc>
          <w:tcPr>
            <w:tcW w:w="191" w:type="dxa"/>
            <w:tcBorders/>
            <w:shd w:fill="CCEEFF" w:val="clear"/>
            <w:vAlign w:val="center"/>
          </w:tcPr>
          <w:p>
            <w:pPr>
              <w:pStyle w:val="TableContents"/>
              <w:bidi w:val="0"/>
              <w:spacing w:lineRule="auto" w:line="328"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29" w:name="_622d9ac1_f8b6_4659_affb_69c92163127d"/>
      <w:bookmarkEnd w:id="29"/>
      <w:r>
        <w:rPr>
          <w:rFonts w:ascii="Times New Roman;Times;serif" w:hAnsi="Times New Roman;Times;serif"/>
          <w:b/>
          <w:sz w:val="20"/>
        </w:rPr>
        <w:t>Unaudited Condensed Combined Pro Forma Statement of Operations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For the Year Ended December 31, 2025</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9974" w:type="dxa"/>
        <w:jc w:val="left"/>
        <w:tblInd w:w="200" w:type="dxa"/>
        <w:tblLayout w:type="fixed"/>
        <w:tblCellMar>
          <w:top w:w="0" w:type="dxa"/>
          <w:left w:w="0" w:type="dxa"/>
          <w:bottom w:w="0" w:type="dxa"/>
          <w:right w:w="0" w:type="dxa"/>
        </w:tblCellMar>
      </w:tblPr>
      <w:tblGrid>
        <w:gridCol w:w="1291"/>
        <w:gridCol w:w="346"/>
        <w:gridCol w:w="211"/>
        <w:gridCol w:w="1036"/>
        <w:gridCol w:w="346"/>
        <w:gridCol w:w="211"/>
        <w:gridCol w:w="931"/>
        <w:gridCol w:w="346"/>
        <w:gridCol w:w="462"/>
        <w:gridCol w:w="1384"/>
        <w:gridCol w:w="346"/>
        <w:gridCol w:w="511"/>
        <w:gridCol w:w="346"/>
        <w:gridCol w:w="295"/>
        <w:gridCol w:w="1596"/>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819785" cy="175260"/>
                      <wp:effectExtent l="0" t="0" r="0" b="0"/>
                      <wp:wrapNone/>
                      <wp:docPr id="90" name="Frame89"/>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1"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2"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57860" cy="175260"/>
                      <wp:effectExtent l="0" t="0" r="0" b="0"/>
                      <wp:wrapNone/>
                      <wp:docPr id="93" name="Frame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4"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5"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91185" cy="175260"/>
                      <wp:effectExtent l="0" t="0" r="0" b="0"/>
                      <wp:wrapNone/>
                      <wp:docPr id="96" name="Frame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7"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93370" cy="175260"/>
                      <wp:effectExtent l="0" t="0" r="0" b="0"/>
                      <wp:wrapNone/>
                      <wp:docPr id="98" name="Frame97"/>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878840" cy="175260"/>
                      <wp:effectExtent l="0" t="0" r="0" b="0"/>
                      <wp:wrapNone/>
                      <wp:docPr id="99" name="Frame98"/>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0"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24485" cy="175260"/>
                      <wp:effectExtent l="0" t="0" r="0" b="0"/>
                      <wp:wrapNone/>
                      <wp:docPr id="101" name="Frame10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87325" cy="175260"/>
                      <wp:effectExtent l="0" t="0" r="0" b="0"/>
                      <wp:wrapNone/>
                      <wp:docPr id="103" name="Frame10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013460" cy="175260"/>
                      <wp:effectExtent l="0" t="0" r="0" b="0"/>
                      <wp:wrapNone/>
                      <wp:docPr id="104" name="Frame103"/>
                      <a:graphic xmlns:a="http://schemas.openxmlformats.org/drawingml/2006/main">
                        <a:graphicData uri="http://schemas.microsoft.com/office/word/2010/wordprocessingShape">
                          <wps:wsp>
                            <wps:cNvSpPr txBox="1"/>
                            <wps:spPr>
                              <a:xfrm>
                                <a:off x="0" y="0"/>
                                <a:ext cx="1013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0660" cy="175260"/>
                      <wp:effectExtent l="0" t="0" r="0" b="0"/>
                      <wp:wrapNone/>
                      <wp:docPr id="105" name="Frame10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Historical</w:t>
            </w:r>
          </w:p>
        </w:tc>
        <w:tc>
          <w:tcPr>
            <w:tcW w:w="346"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494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 Forma Combined</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CGCT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Factorial</w:t>
            </w:r>
          </w:p>
        </w:tc>
        <w:tc>
          <w:tcPr>
            <w:tcW w:w="346" w:type="dxa"/>
            <w:tcBorders/>
            <w:vAlign w:val="center"/>
          </w:tcPr>
          <w:p>
            <w:pPr>
              <w:pStyle w:val="TableContents"/>
              <w:bidi w:val="0"/>
              <w:spacing w:before="0" w:after="0"/>
              <w:ind w:left="0" w:right="0" w:hanging="0"/>
              <w:jc w:val="left"/>
              <w:rPr/>
            </w:pPr>
            <w:r>
              <w:rPr/>
              <w:t>​</w:t>
            </w:r>
          </w:p>
        </w:tc>
        <w:tc>
          <w:tcPr>
            <w:tcW w:w="1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Transaction Accounting</w:t>
              <w:br/>
              <w:t>Adjustments</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0"/>
              <w:ind w:left="0" w:right="0" w:hanging="0"/>
              <w:jc w:val="left"/>
              <w:rPr/>
            </w:pPr>
            <w:r>
              <w:rPr/>
              <w:t>​</w:t>
            </w:r>
          </w:p>
        </w:tc>
        <w:tc>
          <w:tcPr>
            <w:tcW w:w="1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 Forma Statement of</w:t>
              <w:br/>
              <w:t>Operations</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3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46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38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5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 ​ ​</w:t>
            </w:r>
          </w:p>
        </w:tc>
        <w:tc>
          <w:tcPr>
            <w:tcW w:w="346" w:type="dxa"/>
            <w:tcBorders/>
            <w:shd w:fill="CCEEFF" w:val="clear"/>
            <w:vAlign w:val="center"/>
          </w:tcPr>
          <w:p>
            <w:pPr>
              <w:pStyle w:val="TableContents"/>
              <w:bidi w:val="0"/>
              <w:spacing w:before="0" w:after="0"/>
              <w:ind w:left="0" w:right="0" w:hanging="0"/>
              <w:jc w:val="left"/>
              <w:rPr/>
            </w:pPr>
            <w:r>
              <w:rPr/>
              <w:t>  ​ ​ ​</w:t>
            </w:r>
          </w:p>
        </w:tc>
        <w:tc>
          <w:tcPr>
            <w:tcW w:w="295" w:type="dxa"/>
            <w:tcBorders/>
            <w:shd w:fill="CCEEFF" w:val="clear"/>
            <w:vAlign w:val="center"/>
          </w:tcPr>
          <w:p>
            <w:pPr>
              <w:pStyle w:val="TableContents"/>
              <w:bidi w:val="0"/>
              <w:spacing w:before="0" w:after="0"/>
              <w:ind w:left="0" w:right="0" w:hanging="0"/>
              <w:jc w:val="left"/>
              <w:rPr/>
            </w:pPr>
            <w:r>
              <w:rPr/>
              <w:t>​</w:t>
            </w:r>
          </w:p>
        </w:tc>
        <w:tc>
          <w:tcPr>
            <w:tcW w:w="1596" w:type="dxa"/>
            <w:tcBorders/>
            <w:shd w:fill="CCEEFF" w:val="clear"/>
            <w:vAlign w:val="center"/>
          </w:tcPr>
          <w:p>
            <w:pPr>
              <w:pStyle w:val="TableContents"/>
              <w:bidi w:val="0"/>
              <w:spacing w:before="0" w:after="0"/>
              <w:ind w:left="0" w:right="0" w:hanging="0"/>
              <w:jc w:val="left"/>
              <w:rPr/>
            </w:pPr>
            <w:r>
              <w:rPr/>
              <w:t>  ​ ​ ​</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24,323</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24,323</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22,202</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and impairment on lease termination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17,063</w:t>
            </w:r>
          </w:p>
        </w:tc>
        <w:tc>
          <w:tcPr>
            <w:tcW w:w="346" w:type="dxa"/>
            <w:tcBorders/>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17,063</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3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63,588</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3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5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3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(63,588)</w:t>
            </w:r>
          </w:p>
        </w:tc>
        <w:tc>
          <w:tcPr>
            <w:tcW w:w="346" w:type="dxa"/>
            <w:tcBorders/>
            <w:vAlign w:val="center"/>
          </w:tcPr>
          <w:p>
            <w:pPr>
              <w:pStyle w:val="TableContents"/>
              <w:bidi w:val="0"/>
              <w:spacing w:before="0" w:after="0"/>
              <w:ind w:left="0" w:right="0" w:hanging="0"/>
              <w:jc w:val="left"/>
              <w:rPr/>
            </w:pPr>
            <w:r>
              <w:rPr/>
              <w:t>​</w:t>
            </w:r>
          </w:p>
        </w:tc>
        <w:tc>
          <w:tcPr>
            <w:tcW w:w="46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384"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9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(67,807)</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related to issuance of convertible promissory note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59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59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promissory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59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c>
          <w:tcPr>
            <w:tcW w:w="346" w:type="dxa"/>
            <w:tcBorders/>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(7,377)</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(73,845)</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38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5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(66,837)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(73,845)</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(66,837)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 Class A Common Stock Subject to Redemption</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18,197,802</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3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384"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59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per share, Class A Common Stock Subject to Redemption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59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common stock outstanding, CGC Class B Common Stock, non-redeemable</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6,593,407</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3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5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net loss per share, CGC Class B Common Stock, non-redeemable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59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common stock outstanding, CGC Class B Common Stock, non-redeemable</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6,900,000</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3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5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net loss per share, CGC Class B Common Stock, non-redeemable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59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common stock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03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3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5,026,704</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5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share,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59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pro forma weighted 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93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3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107,023,245</w:t>
            </w:r>
          </w:p>
        </w:tc>
        <w:tc>
          <w:tcPr>
            <w:tcW w:w="3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w:t>
            </w:r>
          </w:p>
        </w:tc>
      </w:tr>
      <w:tr>
        <w:trPr/>
        <w:tc>
          <w:tcPr>
            <w:tcW w:w="12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pro forma net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firstLine="360"/>
        <w:jc w:val="left"/>
        <w:rPr>
          <w:rFonts w:ascii="Times New Roman;Times;serif" w:hAnsi="Times New Roman;Times;serif"/>
          <w:b/>
          <w:sz w:val="20"/>
        </w:rPr>
      </w:pPr>
      <w:bookmarkStart w:id="30" w:name="_e9ecbfb9_dc12_470f_949c_563b1f65aad6"/>
      <w:bookmarkEnd w:id="30"/>
      <w:r>
        <w:rPr>
          <w:rFonts w:ascii="Times New Roman;Times;serif" w:hAnsi="Times New Roman;Times;serif"/>
          <w:b/>
          <w:sz w:val="20"/>
        </w:rPr>
        <w:t>The pro forma adjustments to the unaudited condensed combined pro forma statement of operations for the year ended December 31, 2025 consist of the following:</w:t>
      </w:r>
    </w:p>
    <w:tbl>
      <w:tblPr>
        <w:tblW w:w="9805" w:type="dxa"/>
        <w:jc w:val="left"/>
        <w:tblInd w:w="200" w:type="dxa"/>
        <w:tblLayout w:type="fixed"/>
        <w:tblCellMar>
          <w:top w:w="28" w:type="dxa"/>
          <w:left w:w="28" w:type="dxa"/>
          <w:bottom w:w="28" w:type="dxa"/>
          <w:right w:w="28" w:type="dxa"/>
        </w:tblCellMar>
      </w:tblPr>
      <w:tblGrid>
        <w:gridCol w:w="124"/>
        <w:gridCol w:w="266"/>
        <w:gridCol w:w="9415"/>
      </w:tblGrid>
      <w:tr>
        <w:trPr/>
        <w:tc>
          <w:tcPr>
            <w:tcW w:w="124" w:type="dxa"/>
            <w:tcBorders/>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CGC’s transaction expenses of approximately $3,061 ($3,737 total less $676 expensed by CGC through December 31, 2025) related to the Business Combination, excluding the $4,311 underwriter fee. Note that this adjustment does not reflect $10,259 of transaction expenses incurred by Factorial. The $10,259 of Factorial transaction expenses are presented net within stockholders’ equity (deficit) on the unaudited combined pro forma balance sheet as of March 31, 2026 pursuant to applicable accounting principles related to reverse recapitalizations.</w:t>
            </w:r>
          </w:p>
        </w:tc>
      </w:tr>
    </w:tbl>
    <w:tbl>
      <w:tblPr>
        <w:tblW w:w="9805" w:type="dxa"/>
        <w:jc w:val="left"/>
        <w:tblInd w:w="200" w:type="dxa"/>
        <w:tblLayout w:type="fixed"/>
        <w:tblCellMar>
          <w:top w:w="28" w:type="dxa"/>
          <w:left w:w="28" w:type="dxa"/>
          <w:bottom w:w="28" w:type="dxa"/>
          <w:right w:w="28" w:type="dxa"/>
        </w:tblCellMar>
      </w:tblPr>
      <w:tblGrid>
        <w:gridCol w:w="124"/>
        <w:gridCol w:w="280"/>
        <w:gridCol w:w="94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an adjustment to eliminate the financing costs related to Factorial’s issuance of Factorial Convertible Notes during the year ended December 31, 2025, the change in fair value of the Factorial Convertible Notes issued during the year ended December 31, 2025, and change in the fair value of the Factorial Warrants during the year ended December 31, 2025, as this pro forma financial information assumes the Business Combination occurred on January 1, 2025 and therefore, includes the exchange of the Factorial Convertible Notes and Factorial Warrants into shares of PubCo Series A Common Stock as of the earliest period presented (i.e., January 1, 2025).</w:t>
            </w:r>
          </w:p>
        </w:tc>
      </w:tr>
    </w:tbl>
    <w:tbl>
      <w:tblPr>
        <w:tblW w:w="9805" w:type="dxa"/>
        <w:jc w:val="left"/>
        <w:tblInd w:w="200" w:type="dxa"/>
        <w:tblLayout w:type="fixed"/>
        <w:tblCellMar>
          <w:top w:w="28" w:type="dxa"/>
          <w:left w:w="28" w:type="dxa"/>
          <w:bottom w:w="28" w:type="dxa"/>
          <w:right w:w="28" w:type="dxa"/>
        </w:tblCellMar>
      </w:tblPr>
      <w:tblGrid>
        <w:gridCol w:w="124"/>
        <w:gridCol w:w="287"/>
        <w:gridCol w:w="93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3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an adjustment to eliminate interest earned on marketable securities held in the Trust Account associated with the proceeds from CGC’s IPO held in Trust for the year ended December 31, 2025.</w:t>
            </w:r>
          </w:p>
        </w:tc>
      </w:tr>
    </w:tbl>
    <w:tbl>
      <w:tblPr>
        <w:tblW w:w="9805" w:type="dxa"/>
        <w:jc w:val="left"/>
        <w:tblInd w:w="200" w:type="dxa"/>
        <w:tblLayout w:type="fixed"/>
        <w:tblCellMar>
          <w:top w:w="28" w:type="dxa"/>
          <w:left w:w="28" w:type="dxa"/>
          <w:bottom w:w="28" w:type="dxa"/>
          <w:right w:w="28" w:type="dxa"/>
        </w:tblCellMar>
      </w:tblPr>
      <w:tblGrid>
        <w:gridCol w:w="124"/>
        <w:gridCol w:w="281"/>
        <w:gridCol w:w="94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40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weighted average shares outstanding for basic and diluted net loss per share assumes that the Business Combination occurred as of the earliest period presented (January 1, 2025). In addition, as the Business Combination is being reflected as if it had occurred on this date, the calculation of weighted average shares outstanding for basic and diluted net loss per share assumes that the shares have been outstanding for the entire period presented. This calculation is retroactively adjusted to eliminate the number of shares redeemed in the Business Combination for the entire period.</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Net loss per share was calculated using the historical weighted average shares outstanding, and the issuance of additional shares in connection with the Business Combination, assuming the shares were outstanding since January 1, 2025.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unaudited pro forma condensed combined financial information has been prepared to present the actual impact of redemptions of ordinary shares by Public Shareholders at the time of the Business Combination for the year ended December 31, 2025. Calculation of pro forma net loss per share excludes the following securities: (a) 20,600,000 shares of PubCo Series A Common Stock issuable upon the exercise of 13,800,000 CGC Public Warrants and 6,800,000 CGC Private Warrants; (b) 24,755,591 shares of PubCo Series A Common Stock that will be issuable upon the exercise or settlement of 19,639,374 Factorial Options, with a weighted average exercise price of $1.09 and of which 16,524,075 shares are exercisable based on shares outstanding as of the Merger Effective Time, and 5,116,217 Factorial RSUs, of which none are vested as of the Merger Effective Time; and (c) any shares of PubCo Series A Common Stock that will initially be available for issuance under the PubCo Incentive Plan and ESPP.</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Further, under the Business Combination Agreement, the converted Factorial Options and Factorial RSUs retained substantially the same terms, including vesting conditions and other substantive provisions, as were applicable immediately prior to the Business Combination, with only equitable adjustments to the number of underlying shares and, for options, the exercise price to reflect the consideration ratio. As a result, the Business Combination did not in itself cause these awards to vest nor is it expected to result in incremental stock-based compensation expense solely from the conversion of such awards. Therefore, the impact of Factorial Options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and Factorial RSUs has been excluded from these unaudited condensed pro forma financial statements as such awards remained as outstanding equity awards and not PubCo Series A Common Stock immediately following the Business Combination.</w:t>
      </w:r>
    </w:p>
    <w:tbl>
      <w:tblPr>
        <w:tblW w:w="5823" w:type="dxa"/>
        <w:jc w:val="left"/>
        <w:tblInd w:w="200" w:type="dxa"/>
        <w:tblLayout w:type="fixed"/>
        <w:tblCellMar>
          <w:top w:w="0" w:type="dxa"/>
          <w:left w:w="0" w:type="dxa"/>
          <w:bottom w:w="0" w:type="dxa"/>
          <w:right w:w="0" w:type="dxa"/>
        </w:tblCellMar>
      </w:tblPr>
      <w:tblGrid>
        <w:gridCol w:w="3796"/>
        <w:gridCol w:w="286"/>
        <w:gridCol w:w="252"/>
        <w:gridCol w:w="1489"/>
      </w:tblGrid>
      <w:tr>
        <w:trPr/>
        <w:tc>
          <w:tcPr>
            <w:tcW w:w="3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ind w:left="0" w:right="0" w:hanging="0"/>
              <w:jc w:val="left"/>
              <w:rPr>
                <w:sz w:val="4"/>
                <w:szCs w:val="4"/>
              </w:rPr>
            </w:pPr>
            <w:r>
              <w:rPr>
                <w:sz w:val="4"/>
                <w:szCs w:val="4"/>
              </w:rPr>
            </w:r>
          </w:p>
        </w:tc>
      </w:tr>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410460" cy="175260"/>
                      <wp:effectExtent l="0" t="0" r="0" b="0"/>
                      <wp:wrapNone/>
                      <wp:docPr id="106" name="Frame105"/>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81610" cy="175260"/>
                      <wp:effectExtent l="0" t="0" r="0" b="0"/>
                      <wp:wrapNone/>
                      <wp:docPr id="107" name="Frame10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60020" cy="175260"/>
                      <wp:effectExtent l="0" t="0" r="0" b="0"/>
                      <wp:wrapNone/>
                      <wp:docPr id="108" name="Frame10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45515" cy="175260"/>
                      <wp:effectExtent l="0" t="0" r="0" b="0"/>
                      <wp:wrapNone/>
                      <wp:docPr id="109" name="Frame108"/>
                      <a:graphic xmlns:a="http://schemas.openxmlformats.org/drawingml/2006/main">
                        <a:graphicData uri="http://schemas.microsoft.com/office/word/2010/wordprocessingShape">
                          <wps:wsp>
                            <wps:cNvSpPr txBox="1"/>
                            <wps:spPr>
                              <a:xfrm>
                                <a:off x="0" y="0"/>
                                <a:ext cx="945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lineRule="auto" w:line="328" w:before="0" w:after="0"/>
              <w:ind w:left="0" w:right="0" w:hanging="0"/>
              <w:jc w:val="left"/>
              <w:rPr/>
            </w:pPr>
            <w:r>
              <w:rPr/>
              <w:t>​</w:t>
            </w:r>
          </w:p>
        </w:tc>
        <w:tc>
          <w:tcPr>
            <w:tcW w:w="286" w:type="dxa"/>
            <w:tcBorders/>
            <w:vAlign w:val="center"/>
          </w:tcPr>
          <w:p>
            <w:pPr>
              <w:pStyle w:val="TableContents"/>
              <w:bidi w:val="0"/>
              <w:spacing w:lineRule="auto" w:line="328" w:before="0" w:after="0"/>
              <w:ind w:left="0" w:right="0" w:hanging="0"/>
              <w:jc w:val="left"/>
              <w:rPr/>
            </w:pPr>
            <w:r>
              <w:rPr/>
              <w:t>  ​ ​</w:t>
            </w:r>
          </w:p>
        </w:tc>
        <w:tc>
          <w:tcPr>
            <w:tcW w:w="1741"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Pro Forma Combined</w:t>
            </w:r>
          </w:p>
        </w:tc>
      </w:tr>
      <w:tr>
        <w:trPr/>
        <w:tc>
          <w:tcPr>
            <w:tcW w:w="379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For the three months ended March 31, 2026</w:t>
            </w:r>
          </w:p>
        </w:tc>
        <w:tc>
          <w:tcPr>
            <w:tcW w:w="286" w:type="dxa"/>
            <w:tcBorders/>
            <w:shd w:fill="CCEEFF" w:val="clear"/>
            <w:vAlign w:val="center"/>
          </w:tcPr>
          <w:p>
            <w:pPr>
              <w:pStyle w:val="TableContents"/>
              <w:bidi w:val="0"/>
              <w:spacing w:lineRule="auto" w:line="328" w:before="0" w:after="0"/>
              <w:ind w:left="0" w:right="0" w:hanging="0"/>
              <w:jc w:val="left"/>
              <w:rPr/>
            </w:pPr>
            <w:r>
              <w:rPr/>
              <w:t>​</w:t>
            </w:r>
          </w:p>
        </w:tc>
        <w:tc>
          <w:tcPr>
            <w:tcW w:w="252"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1489"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r>
      <w:tr>
        <w:trPr/>
        <w:tc>
          <w:tcPr>
            <w:tcW w:w="379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Pro forma net loss</w:t>
            </w:r>
          </w:p>
        </w:tc>
        <w:tc>
          <w:tcPr>
            <w:tcW w:w="286" w:type="dxa"/>
            <w:tcBorders/>
            <w:vAlign w:val="center"/>
          </w:tcPr>
          <w:p>
            <w:pPr>
              <w:pStyle w:val="TableContents"/>
              <w:bidi w:val="0"/>
              <w:spacing w:lineRule="auto" w:line="328"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9" w:type="dxa"/>
            <w:tcBorders>
              <w:bottom w:val="double" w:sz="6"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(66,837)</w:t>
            </w:r>
          </w:p>
        </w:tc>
      </w:tr>
      <w:tr>
        <w:trPr/>
        <w:tc>
          <w:tcPr>
            <w:tcW w:w="379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Pro forma basic and diluted net loss per share</w:t>
            </w:r>
          </w:p>
        </w:tc>
        <w:tc>
          <w:tcPr>
            <w:tcW w:w="286" w:type="dxa"/>
            <w:tcBorders/>
            <w:shd w:fill="CCEEFF" w:val="clear"/>
            <w:vAlign w:val="center"/>
          </w:tcPr>
          <w:p>
            <w:pPr>
              <w:pStyle w:val="TableContents"/>
              <w:bidi w:val="0"/>
              <w:spacing w:lineRule="auto" w:line="328" w:before="0" w:after="0"/>
              <w:ind w:left="0" w:right="0" w:hanging="0"/>
              <w:jc w:val="left"/>
              <w:rPr/>
            </w:pPr>
            <w:r>
              <w:rPr/>
              <w:t>​</w:t>
            </w:r>
          </w:p>
        </w:tc>
        <w:tc>
          <w:tcPr>
            <w:tcW w:w="252"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9"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(0.62)</w:t>
            </w:r>
          </w:p>
        </w:tc>
      </w:tr>
      <w:tr>
        <w:trPr/>
        <w:tc>
          <w:tcPr>
            <w:tcW w:w="3796" w:type="dxa"/>
            <w:tcBorders/>
            <w:vAlign w:val="center"/>
          </w:tcPr>
          <w:p>
            <w:pPr>
              <w:pStyle w:val="TableContents"/>
              <w:pBdr/>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Number of shares of PubCo Common Stock</w:t>
            </w:r>
          </w:p>
        </w:tc>
        <w:tc>
          <w:tcPr>
            <w:tcW w:w="286" w:type="dxa"/>
            <w:tcBorders/>
            <w:vAlign w:val="center"/>
          </w:tcPr>
          <w:p>
            <w:pPr>
              <w:pStyle w:val="TableContents"/>
              <w:bidi w:val="0"/>
              <w:spacing w:lineRule="auto" w:line="328" w:before="0" w:after="0"/>
              <w:ind w:left="0" w:right="0" w:hanging="0"/>
              <w:jc w:val="left"/>
              <w:rPr/>
            </w:pPr>
            <w:r>
              <w:rPr/>
              <w:t>​</w:t>
            </w:r>
          </w:p>
        </w:tc>
        <w:tc>
          <w:tcPr>
            <w:tcW w:w="252" w:type="dxa"/>
            <w:tcBorders>
              <w:top w:val="double" w:sz="6" w:space="0" w:color="000000"/>
            </w:tcBorders>
            <w:tcMar>
              <w:top w:w="28" w:type="dxa"/>
            </w:tcMar>
            <w:vAlign w:val="center"/>
          </w:tcPr>
          <w:p>
            <w:pPr>
              <w:pStyle w:val="TableContents"/>
              <w:bidi w:val="0"/>
              <w:spacing w:lineRule="auto" w:line="328" w:before="0" w:after="0"/>
              <w:ind w:left="0" w:right="0" w:hanging="0"/>
              <w:jc w:val="left"/>
              <w:rPr/>
            </w:pPr>
            <w:r>
              <w:rPr/>
              <w:t>​</w:t>
            </w:r>
          </w:p>
        </w:tc>
        <w:tc>
          <w:tcPr>
            <w:tcW w:w="1489" w:type="dxa"/>
            <w:tcBorders>
              <w:top w:val="double" w:sz="6" w:space="0" w:color="000000"/>
            </w:tcBorders>
            <w:tcMar>
              <w:top w:w="28" w:type="dxa"/>
            </w:tcMar>
            <w:vAlign w:val="center"/>
          </w:tcPr>
          <w:p>
            <w:pPr>
              <w:pStyle w:val="TableContents"/>
              <w:bidi w:val="0"/>
              <w:spacing w:lineRule="auto" w:line="328" w:before="0" w:after="0"/>
              <w:ind w:left="0" w:right="0" w:hanging="0"/>
              <w:jc w:val="left"/>
              <w:rPr/>
            </w:pPr>
            <w:r>
              <w:rPr/>
              <w:t>​</w:t>
            </w:r>
          </w:p>
        </w:tc>
      </w:tr>
      <w:tr>
        <w:trPr/>
        <w:tc>
          <w:tcPr>
            <w:tcW w:w="379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CGC’s Public Shareholders</w:t>
            </w:r>
          </w:p>
        </w:tc>
        <w:tc>
          <w:tcPr>
            <w:tcW w:w="286" w:type="dxa"/>
            <w:tcBorders/>
            <w:shd w:fill="CCEEFF" w:val="clear"/>
            <w:vAlign w:val="center"/>
          </w:tcPr>
          <w:p>
            <w:pPr>
              <w:pStyle w:val="TableContents"/>
              <w:bidi w:val="0"/>
              <w:spacing w:lineRule="auto" w:line="328" w:before="0" w:after="0"/>
              <w:ind w:left="0" w:right="0" w:hanging="0"/>
              <w:jc w:val="left"/>
              <w:rPr/>
            </w:pPr>
            <w:r>
              <w:rPr/>
              <w:t>​</w:t>
            </w:r>
          </w:p>
        </w:tc>
        <w:tc>
          <w:tcPr>
            <w:tcW w:w="252" w:type="dxa"/>
            <w:tcBorders/>
            <w:shd w:fill="CCEEFF" w:val="clear"/>
            <w:vAlign w:val="center"/>
          </w:tcPr>
          <w:p>
            <w:pPr>
              <w:pStyle w:val="TableContents"/>
              <w:bidi w:val="0"/>
              <w:spacing w:lineRule="auto" w:line="328" w:before="0" w:after="0"/>
              <w:ind w:left="0" w:right="0" w:hanging="0"/>
              <w:jc w:val="left"/>
              <w:rPr/>
            </w:pPr>
            <w:r>
              <w:rPr/>
              <w:t>​</w:t>
            </w:r>
          </w:p>
        </w:tc>
        <w:tc>
          <w:tcPr>
            <w:tcW w:w="1489"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4,548,687</w:t>
            </w:r>
          </w:p>
        </w:tc>
      </w:tr>
      <w:tr>
        <w:trPr/>
        <w:tc>
          <w:tcPr>
            <w:tcW w:w="379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Sponsor and DirectorCo</w:t>
            </w:r>
          </w:p>
        </w:tc>
        <w:tc>
          <w:tcPr>
            <w:tcW w:w="286" w:type="dxa"/>
            <w:tcBorders/>
            <w:vAlign w:val="center"/>
          </w:tcPr>
          <w:p>
            <w:pPr>
              <w:pStyle w:val="TableContents"/>
              <w:bidi w:val="0"/>
              <w:spacing w:lineRule="auto" w:line="328" w:before="0" w:after="0"/>
              <w:ind w:left="0" w:right="0" w:hanging="0"/>
              <w:jc w:val="left"/>
              <w:rPr/>
            </w:pPr>
            <w:r>
              <w:rPr/>
              <w:t>​</w:t>
            </w:r>
          </w:p>
        </w:tc>
        <w:tc>
          <w:tcPr>
            <w:tcW w:w="252" w:type="dxa"/>
            <w:tcBorders/>
            <w:vAlign w:val="center"/>
          </w:tcPr>
          <w:p>
            <w:pPr>
              <w:pStyle w:val="TableContents"/>
              <w:bidi w:val="0"/>
              <w:spacing w:lineRule="auto" w:line="328" w:before="0" w:after="0"/>
              <w:ind w:left="0" w:right="0" w:hanging="0"/>
              <w:jc w:val="left"/>
              <w:rPr/>
            </w:pPr>
            <w:r>
              <w:rPr/>
              <w:t>​</w:t>
            </w:r>
          </w:p>
        </w:tc>
        <w:tc>
          <w:tcPr>
            <w:tcW w:w="1489"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5,810,000</w:t>
            </w:r>
          </w:p>
        </w:tc>
      </w:tr>
      <w:tr>
        <w:trPr/>
        <w:tc>
          <w:tcPr>
            <w:tcW w:w="379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PIPE Institutional Investor</w:t>
            </w:r>
          </w:p>
        </w:tc>
        <w:tc>
          <w:tcPr>
            <w:tcW w:w="286" w:type="dxa"/>
            <w:tcBorders/>
            <w:shd w:fill="CCEEFF" w:val="clear"/>
            <w:vAlign w:val="center"/>
          </w:tcPr>
          <w:p>
            <w:pPr>
              <w:pStyle w:val="TableContents"/>
              <w:bidi w:val="0"/>
              <w:spacing w:lineRule="auto" w:line="328" w:before="0" w:after="0"/>
              <w:ind w:left="0" w:right="0" w:hanging="0"/>
              <w:jc w:val="left"/>
              <w:rPr/>
            </w:pPr>
            <w:r>
              <w:rPr/>
              <w:t>​</w:t>
            </w:r>
          </w:p>
        </w:tc>
        <w:tc>
          <w:tcPr>
            <w:tcW w:w="252" w:type="dxa"/>
            <w:tcBorders/>
            <w:shd w:fill="CCEEFF" w:val="clear"/>
            <w:vAlign w:val="center"/>
          </w:tcPr>
          <w:p>
            <w:pPr>
              <w:pStyle w:val="TableContents"/>
              <w:bidi w:val="0"/>
              <w:spacing w:lineRule="auto" w:line="328" w:before="0" w:after="0"/>
              <w:ind w:left="0" w:right="0" w:hanging="0"/>
              <w:jc w:val="left"/>
              <w:rPr/>
            </w:pPr>
            <w:r>
              <w:rPr/>
              <w:t>​</w:t>
            </w:r>
          </w:p>
        </w:tc>
        <w:tc>
          <w:tcPr>
            <w:tcW w:w="1489"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6,340,000</w:t>
            </w:r>
          </w:p>
        </w:tc>
      </w:tr>
      <w:tr>
        <w:trPr/>
        <w:tc>
          <w:tcPr>
            <w:tcW w:w="379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PIPE Sponsor Investor</w:t>
            </w:r>
          </w:p>
        </w:tc>
        <w:tc>
          <w:tcPr>
            <w:tcW w:w="286" w:type="dxa"/>
            <w:tcBorders/>
            <w:vAlign w:val="center"/>
          </w:tcPr>
          <w:p>
            <w:pPr>
              <w:pStyle w:val="TableContents"/>
              <w:bidi w:val="0"/>
              <w:spacing w:lineRule="auto" w:line="328" w:before="0" w:after="0"/>
              <w:ind w:left="0" w:right="0" w:hanging="0"/>
              <w:jc w:val="left"/>
              <w:rPr/>
            </w:pPr>
            <w:r>
              <w:rPr/>
              <w:t>​</w:t>
            </w:r>
          </w:p>
        </w:tc>
        <w:tc>
          <w:tcPr>
            <w:tcW w:w="252" w:type="dxa"/>
            <w:tcBorders/>
            <w:vAlign w:val="center"/>
          </w:tcPr>
          <w:p>
            <w:pPr>
              <w:pStyle w:val="TableContents"/>
              <w:bidi w:val="0"/>
              <w:spacing w:lineRule="auto" w:line="328" w:before="0" w:after="0"/>
              <w:ind w:left="0" w:right="0" w:hanging="0"/>
              <w:jc w:val="left"/>
              <w:rPr/>
            </w:pPr>
            <w:r>
              <w:rPr/>
              <w:t>​</w:t>
            </w:r>
          </w:p>
        </w:tc>
        <w:tc>
          <w:tcPr>
            <w:tcW w:w="1489"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1,179,404</w:t>
            </w:r>
          </w:p>
        </w:tc>
      </w:tr>
      <w:tr>
        <w:trPr/>
        <w:tc>
          <w:tcPr>
            <w:tcW w:w="379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Factorial Shareholders</w:t>
            </w:r>
          </w:p>
        </w:tc>
        <w:tc>
          <w:tcPr>
            <w:tcW w:w="286" w:type="dxa"/>
            <w:tcBorders/>
            <w:shd w:fill="CCEEFF" w:val="clear"/>
            <w:vAlign w:val="center"/>
          </w:tcPr>
          <w:p>
            <w:pPr>
              <w:pStyle w:val="TableContents"/>
              <w:bidi w:val="0"/>
              <w:spacing w:lineRule="auto" w:line="328" w:before="0" w:after="0"/>
              <w:ind w:left="0" w:right="0" w:hanging="0"/>
              <w:jc w:val="left"/>
              <w:rPr/>
            </w:pPr>
            <w:r>
              <w:rPr/>
              <w:t>​</w:t>
            </w:r>
          </w:p>
        </w:tc>
        <w:tc>
          <w:tcPr>
            <w:tcW w:w="252" w:type="dxa"/>
            <w:tcBorders/>
            <w:shd w:fill="CCEEFF" w:val="clear"/>
            <w:vAlign w:val="center"/>
          </w:tcPr>
          <w:p>
            <w:pPr>
              <w:pStyle w:val="TableContents"/>
              <w:bidi w:val="0"/>
              <w:spacing w:lineRule="auto" w:line="328" w:before="0" w:after="0"/>
              <w:ind w:left="0" w:right="0" w:hanging="0"/>
              <w:jc w:val="left"/>
              <w:rPr/>
            </w:pPr>
            <w:r>
              <w:rPr/>
              <w:t>​</w:t>
            </w:r>
          </w:p>
        </w:tc>
        <w:tc>
          <w:tcPr>
            <w:tcW w:w="1489"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89,083,036</w:t>
            </w:r>
          </w:p>
        </w:tc>
      </w:tr>
      <w:tr>
        <w:trPr/>
        <w:tc>
          <w:tcPr>
            <w:tcW w:w="379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Cantor Advisory Fee</w:t>
            </w:r>
          </w:p>
        </w:tc>
        <w:tc>
          <w:tcPr>
            <w:tcW w:w="286" w:type="dxa"/>
            <w:tcBorders/>
            <w:vAlign w:val="center"/>
          </w:tcPr>
          <w:p>
            <w:pPr>
              <w:pStyle w:val="TableContents"/>
              <w:bidi w:val="0"/>
              <w:spacing w:lineRule="auto" w:line="328"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1489"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62,118</w:t>
            </w:r>
          </w:p>
        </w:tc>
      </w:tr>
      <w:tr>
        <w:trPr/>
        <w:tc>
          <w:tcPr>
            <w:tcW w:w="379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Total shares outstanding</w:t>
            </w:r>
          </w:p>
        </w:tc>
        <w:tc>
          <w:tcPr>
            <w:tcW w:w="286" w:type="dxa"/>
            <w:tcBorders/>
            <w:shd w:fill="CCEEFF" w:val="clear"/>
            <w:vAlign w:val="center"/>
          </w:tcPr>
          <w:p>
            <w:pPr>
              <w:pStyle w:val="TableContents"/>
              <w:bidi w:val="0"/>
              <w:spacing w:lineRule="auto" w:line="328" w:before="0" w:after="0"/>
              <w:ind w:left="0" w:right="0" w:hanging="0"/>
              <w:jc w:val="left"/>
              <w:rPr/>
            </w:pPr>
            <w:r>
              <w:rPr/>
              <w:t>​</w:t>
            </w:r>
          </w:p>
        </w:tc>
        <w:tc>
          <w:tcPr>
            <w:tcW w:w="25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pPr>
            <w:r>
              <w:rPr/>
              <w:t>​</w:t>
            </w:r>
          </w:p>
        </w:tc>
        <w:tc>
          <w:tcPr>
            <w:tcW w:w="148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60" w:hanging="0"/>
              <w:jc w:val="right"/>
              <w:rPr>
                <w:rFonts w:ascii="Times New Roman;Times;serif" w:hAnsi="Times New Roman;Times;serif"/>
                <w:b/>
                <w:sz w:val="20"/>
              </w:rPr>
            </w:pPr>
            <w:r>
              <w:rPr>
                <w:rFonts w:ascii="Times New Roman;Times;serif" w:hAnsi="Times New Roman;Times;serif"/>
                <w:b/>
                <w:sz w:val="20"/>
              </w:rPr>
              <w:t>107,023,245</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sz w:val="20"/>
        </w:rPr>
      </w:pPr>
      <w:bookmarkStart w:id="31" w:name="MANAGEMENTSDISCUSSIONANDANALYSIS_149345"/>
      <w:bookmarkStart w:id="32" w:name="_1db49555_d8ae_40de_b9dc_4985e7b7254c"/>
      <w:bookmarkEnd w:id="31"/>
      <w:bookmarkEnd w:id="32"/>
      <w:r>
        <w:rPr>
          <w:rFonts w:ascii="Times New Roman;Times;serif" w:hAnsi="Times New Roman;Times;serif"/>
          <w:b/>
          <w:sz w:val="20"/>
        </w:rPr>
        <w:t>MANAGEMENT’S DISCUSSION AND ANALYSIS OF FINANCIAL CONDITION AND RESULTS OF OPERATIONS OF</w:t>
      </w:r>
      <w:r>
        <w:rPr>
          <w:rFonts w:ascii="Times New Roman;Times;serif" w:hAnsi="Times New Roman;Times;serif"/>
          <w:sz w:val="20"/>
        </w:rPr>
        <w:t xml:space="preserve"> </w:t>
      </w:r>
      <w:r>
        <w:rPr>
          <w:rFonts w:ascii="Times New Roman;Times;serif" w:hAnsi="Times New Roman;Times;serif"/>
          <w:b/>
          <w:sz w:val="20"/>
        </w:rPr>
        <w:t>FACTORIAL</w:t>
      </w:r>
    </w:p>
    <w:p>
      <w:pPr>
        <w:pStyle w:val="TextBody"/>
        <w:bidi w:val="0"/>
        <w:spacing w:before="0" w:after="240"/>
        <w:ind w:left="200" w:right="200" w:firstLine="360"/>
        <w:jc w:val="left"/>
        <w:rPr>
          <w:rFonts w:ascii="Times New Roman;Times;serif" w:hAnsi="Times New Roman;Times;serif"/>
          <w:i/>
          <w:sz w:val="20"/>
        </w:rPr>
      </w:pPr>
      <w:r>
        <w:rPr>
          <w:rFonts w:ascii="Times New Roman;Times;serif" w:hAnsi="Times New Roman;Times;serif"/>
          <w:i/>
          <w:sz w:val="20"/>
        </w:rPr>
        <w:t>The following discussion and analysis of financial condition and results of operations of Factorial Inc. (for purposes of this section, “Factorial,” “Company,” “we,” “our” or “us”) should be read together with Factorial’s audited financial statements for the years ended December 31, 2025 and 2024 included in the Proxy Statement/Prospectus beginning on Page F-25, Factorial’s unaudited condensed financial statements for the three months ended March 31, 2026 and 2025, and related notes included in this Amendment, as well as the unaudited pro forma condensed combined financial information included in this Amendment. This discussion contains forward-looking statements reflecting our current expectations, estimates, and assumptions concerning events and financial trends that may affect our future operating results or financial position. Our actual results and the timing of events could differ materially from those discussed in these forward-looking statements. Factors that could cause or contribute to such differences include, but are not limited to, those identified below and those discussed in the sections entitled “Risk Factors” and “Cautionary Note Regarding Forward-Looking Statements” included in the Proxy Statement/Prospectus.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240"/>
        <w:ind w:left="200" w:right="200" w:firstLine="360"/>
        <w:jc w:val="left"/>
        <w:rPr>
          <w:rFonts w:ascii="Times New Roman;Times;serif" w:hAnsi="Times New Roman;Times;serif"/>
          <w:sz w:val="20"/>
        </w:rPr>
      </w:pPr>
      <w:r>
        <w:rPr>
          <w:rFonts w:ascii="Times New Roman;Times;serif" w:hAnsi="Times New Roman;Times;serif"/>
          <w:sz w:val="20"/>
        </w:rPr>
        <w:t>Factorial, a US-based leader in solid-state battery technology, develops next generation battery technology for planned use by drone, mobile robots, roadgoing vehicles, energy storage, and other demanding applications. Our FEST</w:t>
      </w:r>
      <w:r>
        <w:rPr>
          <w:rFonts w:ascii="Times New Roman;Times;serif" w:hAnsi="Times New Roman;Times;serif"/>
          <w:sz w:val="15"/>
        </w:rPr>
        <w:t>®</w:t>
      </w:r>
      <w:r>
        <w:rPr>
          <w:rFonts w:ascii="Times New Roman;Times;serif" w:hAnsi="Times New Roman;Times;serif"/>
          <w:sz w:val="20"/>
        </w:rPr>
        <w:t xml:space="preserve"> cells are designed to meet the demands of the high-power market and, relative to conventional Li-ion batteries, deliver lighter weight, smaller size, longer life, and faster charging, in each case meeting or exceeding conventional batteries in each of these key parameters we believe are valued by end users.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 is a development stage company with no revenue to date that has incurred a net loss of approximately $8.6 million, with cash used in operations of $6.1 million, for the three months ended March 31, 2026 and an accumulated deficit of approximately $264.2 million as of March 31, 2026.</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The Business Combination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 entered into the Business Combination Agreement with CGC on December 17, 2025. Pursuant to the Business Combination Agreement, and after CGC’s shareholders voted to approve it, Merger Sub, a newly formed subsidiary of CGC, merged with and into Factorial. Upon the Closing, the separate corporate existence of Merger Sub ceased to exist, and Factorial survived and became a wholly-owned subsidiary of CGC. In connection with the consummation of the Business Combination, CGC changed its corporate name to Factorial Energy Inc. The Business Combination was accounted for as a reverse recapitalization. Factorial was deemed the accounting acquirer and the combined entity is the successor SEC registrant, meaning that Factorial’s financial statements for previous periods will be disclosed in the registrant’s future periodic reports filed with the SEC. Under this method of accounting, CGC was treated as the acquired company for financial statement reporting purposes. As a result of the closing of the Business Combination, the most significant change in Factorial’s financial position and results is a $92.0 million net increase in cash and cash equivalents (as compared to Factorial’s consolidated balance sheet at March 31, 2026), which includes $112.1 million in gross proceeds from the PIPE Financing (inclusive of the proceeds from the trust account resulting from NRA Shares acquired by PIPE Investors to satisfy their obligations under the applicable Investor Stock Purchase Agreement) that was received at the Closing offset by the transaction expenses, which occurred on June 5, 2026. Transaction expenses paid at closing for the Business Combination and PIPE Financing were approximately $21.1 million. See the section entitled “</w:t>
      </w:r>
      <w:r>
        <w:rPr>
          <w:rFonts w:ascii="Times New Roman;Times;serif" w:hAnsi="Times New Roman;Times;serif"/>
          <w:i/>
          <w:sz w:val="20"/>
        </w:rPr>
        <w:t>Unaudited Pro Forma Condensed Combined Financial Information</w:t>
      </w:r>
      <w:r>
        <w:rPr>
          <w:rFonts w:ascii="Times New Roman;Times;serif" w:hAnsi="Times New Roman;Times;serif"/>
          <w:sz w:val="20"/>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a result of the Business Combination, Factorial became the successor to an SEC-registered and Nasdaq-listed company, which will require Factorial to hire additional personnel and implement procedures and processes to address public company regulatory requirements and customary practices. Factorial expects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Key Trends, Opportunities and Uncertainties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 is a pre-revenue company. We believe that our performance and future success depend on several factors that present significant opportunities for us but also pose risks and challenges, including those in the sections of the Proxy Statement/Prospectus titled “</w:t>
      </w:r>
      <w:r>
        <w:rPr>
          <w:rFonts w:ascii="Times New Roman;Times;serif" w:hAnsi="Times New Roman;Times;serif"/>
          <w:i/>
          <w:sz w:val="20"/>
        </w:rPr>
        <w:t>Business — Our Competitive Strengths”, “Business — Our Growth Strategy</w:t>
      </w:r>
      <w:r>
        <w:rPr>
          <w:rFonts w:ascii="Times New Roman;Times;serif" w:hAnsi="Times New Roman;Times;serif"/>
          <w:sz w:val="20"/>
        </w:rPr>
        <w:t>”, “</w:t>
      </w:r>
      <w:r>
        <w:rPr>
          <w:rFonts w:ascii="Times New Roman;Times;serif" w:hAnsi="Times New Roman;Times;serif"/>
          <w:i/>
          <w:sz w:val="20"/>
        </w:rPr>
        <w:t>Business — Manufacturing and Supply”,</w:t>
      </w:r>
      <w:r>
        <w:rPr>
          <w:rFonts w:ascii="Times New Roman;Times;serif" w:hAnsi="Times New Roman;Times;serif"/>
          <w:sz w:val="20"/>
        </w:rPr>
        <w:t xml:space="preserve"> “</w:t>
      </w:r>
      <w:r>
        <w:rPr>
          <w:rFonts w:ascii="Times New Roman;Times;serif" w:hAnsi="Times New Roman;Times;serif"/>
          <w:i/>
          <w:sz w:val="20"/>
        </w:rPr>
        <w:t>Business — Research and Development”,</w:t>
      </w:r>
      <w:r>
        <w:rPr>
          <w:rFonts w:ascii="Times New Roman;Times;serif" w:hAnsi="Times New Roman;Times;serif"/>
          <w:sz w:val="20"/>
        </w:rPr>
        <w:t xml:space="preserve"> “</w:t>
      </w:r>
      <w:r>
        <w:rPr>
          <w:rFonts w:ascii="Times New Roman;Times;serif" w:hAnsi="Times New Roman;Times;serif"/>
          <w:i/>
          <w:sz w:val="20"/>
        </w:rPr>
        <w:t>Business — Competitive Landscape”, Business — Government Regulation and Compliance”</w:t>
      </w:r>
      <w:r>
        <w:rPr>
          <w:rFonts w:ascii="Times New Roman;Times;serif" w:hAnsi="Times New Roman;Times;serif"/>
          <w:sz w:val="20"/>
        </w:rPr>
        <w:t xml:space="preserve"> and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identified a material weakness in our internal control over financial reporting relating to inadequate resources to ensure proper system access and segregation of duties, timely and accurate preparation of reconciliations of accounts, and timely and accurate assessment, review and documentation of various transactions to ensure accurate recording of accounts in our financial statements in a timely manner. This material weakness led to a conclusion that our internal control over financial reporting and disclosure controls and procedures were not effective as of March 31, 2026.</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Since December 2025, Factorial has added additional headcount to its finance team, including a chief financial officer, an accounting manager, and a staff accountant. The Company plans to increase staffing of its technical accounting and internal audit function during 2026 and will engage outside consultants to advise on improvements surrounding its controls over financial reporting. As of the date of this filing, management has taken remediation actions during 2026 and expects to complete the remediation actions related to Factorial’s material weakness over financial reporting during 2027 and expects to incur approximately $0.8 million in associated costs.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 currently conducts its business through one operating segment. As a pre-revenue company with no commercial operations, Factorial’s activities to date have been limited and were conducted primarily in the United States and Korea and its historical results are reported under U.S. GAAP and in U.S. dollars. Factorial’s Korean subsidiary’s functional currency is the Korean Won. Upon commencement of commercial operations, Factorial expects to expand its global operations substantially, including in the United States, Asia, and the European Union, and as a result Factorial expects its future results to be sensitive to foreign currency transaction and translation risks and other financial risks that are not reflected in its historical financial statements. As a result, Factorial expects that the financial results it reports for periods after it begins commercial operations will not be comparable to the financial results included in the Proxy Statement/Prospectus.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 is a research and development stage company, and its historical results may not be indicative of its future results for reasons that may be difficult to anticipate. Accordingly, the drivers of Factorial’s future financial results, as well as the components of such results, may not be comparable to Factorial’s historical or projected 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To date, Factorial’s research and development expenses have consisted primarily of personnel-related expenses for scientists, experienced engineers and technicians as well as costs associated with the expansion and ramp up of our engineering facility in the United States and Cheonan, South Korea, including the material and supplies to support the product development and process engineering efforts. As Factorial ramps up its engineering operations to complete the development of its solid-state, lithium-metal batteries and required process engineering to meet automotive cost targets, Factorial anticipates that research and development expenses will increase significantly for the foreseeable future as Factorial expands its hiring of scientists, engineers, and technicians and continues to invest in additional plant and equipment for product development (e.g. multi-layer cell stacking, packaging and engineering), building prototypes, and testing of battery cells as the team works to meet the full set of Original Equipment Manufacturers (“OEMs”) product requirements.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General and Administrative Expense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General and administrative expenses consist mainly of personnel-related expenses for Factorial’s executive, sales and marketing and other administrative functions and expenses for outside professional services, including legal, accounting and other advisory services. Factorial is expanding its headcount in anticipation of planning for and ramping up commercial manufacturing operations and to meet public company financial and compliance requirements. Accordingly, in addition to the non-recurring transaction costs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discussed above, Factorial expects its general and administrative expenses to increase significantly in the near term and for the foreseeable future. Upon commencement of commercial operations, Factorial also expects general and administrative expenses to include sales, marketing and advertising costs.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Financing Costs Related to Issuance of Convertible Promissory Notes – Related Parties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Financing costs related to issuance of convertible promissory notes to related parties represents the excess of the fair value of the convertible promissory notes over the proceeds received, if any, as well as direct financing costs paid in cash at issuance.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Financing Costs Related to Issuance of Convertible Promissory Notes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Financing costs related to issuance of convertible promissory notes represents the excess of the fair value of the convertible promissory notes over the proceeds received, if any, as well as direct financing costs paid in cash at issuance.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 in Fair Value of Convertible Promissory Notes – Related Parties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Change in fair value of convertible promissory notes to related parties represents the fair value adjustment to mark the convertible promissory note liability to fair value.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 in Fair Value of Convertible Promissory Notes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Change in fair value of convertible promissory notes represents the fair value adjustment to mark the convertible promissory note liability to fair value.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 in Fair Value of Warrant Liabilities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Change in fair value of warrant liabilities represents the fair value adjustment to mark the warrant liabilities to fair value based on changes in the underlying equity valuation.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Other (Expenses) Income, Net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Factorial’s other income (expense) consists of interest income from interest-bearing accounts, interest expense, and the effects of foreign currency.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Factorial’s income tax provision consists of an estimate for U.S. federal and state income taxes based on enacted rates, as adjusted for allowable credits, deductions, uncertain tax positions, changes in deferred tax assets and liabilities, and changes in the tax law. Factorial maintains a valuation allowance against the full value of its U.S. and state net deferred tax assets because Factorial believes the recoverability of the tax assets is not more likely than not.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Comparison of the Three Months Ended March 31, 2026 to the Three Months Ended March 31, 2025</w:t>
      </w:r>
    </w:p>
    <w:p>
      <w:pPr>
        <w:pStyle w:val="TextBody"/>
        <w:bidi w:val="0"/>
        <w:spacing w:before="0" w:after="240"/>
        <w:ind w:left="600" w:right="200" w:hanging="0"/>
        <w:jc w:val="left"/>
        <w:rPr>
          <w:rFonts w:ascii="Times New Roman;Times;serif" w:hAnsi="Times New Roman;Times;serif"/>
          <w:sz w:val="20"/>
        </w:rPr>
      </w:pPr>
      <w:r>
        <w:rPr>
          <w:rFonts w:ascii="Times New Roman;Times;serif" w:hAnsi="Times New Roman;Times;serif"/>
          <w:sz w:val="20"/>
        </w:rPr>
        <w:t>The following table sets forth Factorial’s historical operating results for the periods indicated:</w:t>
      </w:r>
    </w:p>
    <w:tbl>
      <w:tblPr>
        <w:tblW w:w="9805" w:type="dxa"/>
        <w:jc w:val="left"/>
        <w:tblInd w:w="200" w:type="dxa"/>
        <w:tblLayout w:type="fixed"/>
        <w:tblCellMar>
          <w:top w:w="0" w:type="dxa"/>
          <w:left w:w="0" w:type="dxa"/>
          <w:bottom w:w="0" w:type="dxa"/>
          <w:right w:w="0" w:type="dxa"/>
        </w:tblCellMar>
      </w:tblPr>
      <w:tblGrid>
        <w:gridCol w:w="3036"/>
        <w:gridCol w:w="346"/>
        <w:gridCol w:w="309"/>
        <w:gridCol w:w="1366"/>
        <w:gridCol w:w="507"/>
        <w:gridCol w:w="309"/>
        <w:gridCol w:w="1368"/>
        <w:gridCol w:w="346"/>
        <w:gridCol w:w="211"/>
        <w:gridCol w:w="681"/>
        <w:gridCol w:w="346"/>
        <w:gridCol w:w="661"/>
        <w:gridCol w:w="319"/>
      </w:tblGrid>
      <w:tr>
        <w:trPr/>
        <w:tc>
          <w:tcPr>
            <w:tcW w:w="3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ind w:left="0" w:right="0" w:hanging="0"/>
              <w:jc w:val="left"/>
              <w:rPr>
                <w:sz w:val="4"/>
                <w:szCs w:val="4"/>
              </w:rPr>
            </w:pPr>
            <w:r>
              <w:rPr>
                <w:sz w:val="4"/>
                <w:szCs w:val="4"/>
              </w:rPr>
            </w:r>
          </w:p>
        </w:tc>
      </w:tr>
      <w:tr>
        <w:trPr/>
        <w:tc>
          <w:tcPr>
            <w:tcW w:w="3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pPr>
            <w:r>
              <w:rPr/>
              <w:t>​</w:t>
            </w:r>
          </w:p>
        </w:tc>
        <w:tc>
          <w:tcPr>
            <w:tcW w:w="507"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303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859" w:type="dxa"/>
            <w:gridSpan w:val="5"/>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lineRule="auto" w:line="328" w:before="0" w:after="0"/>
              <w:ind w:left="0" w:right="0" w:hanging="0"/>
              <w:jc w:val="left"/>
              <w:rPr/>
            </w:pPr>
            <w:r>
              <w:rPr/>
              <w:t>​</w:t>
            </w:r>
          </w:p>
        </w:tc>
        <w:tc>
          <w:tcPr>
            <w:tcW w:w="892" w:type="dxa"/>
            <w:gridSpan w:val="2"/>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left"/>
              <w:rPr/>
            </w:pPr>
            <w:r>
              <w:rPr/>
              <w:t>​</w:t>
            </w:r>
          </w:p>
        </w:tc>
        <w:tc>
          <w:tcPr>
            <w:tcW w:w="319" w:type="dxa"/>
            <w:tcBorders/>
            <w:vAlign w:val="center"/>
          </w:tcPr>
          <w:p>
            <w:pPr>
              <w:pStyle w:val="TableContents"/>
              <w:bidi w:val="0"/>
              <w:spacing w:lineRule="auto" w:line="328" w:before="0" w:after="0"/>
              <w:ind w:left="0" w:right="0" w:hanging="0"/>
              <w:jc w:val="left"/>
              <w:rPr/>
            </w:pPr>
            <w:r>
              <w:rPr/>
              <w:t> </w:t>
            </w:r>
          </w:p>
        </w:tc>
      </w:tr>
      <w:tr>
        <w:trPr/>
        <w:tc>
          <w:tcPr>
            <w:tcW w:w="303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  ​ ​ ​</w:t>
            </w:r>
          </w:p>
        </w:tc>
        <w:tc>
          <w:tcPr>
            <w:tcW w:w="1675"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07" w:type="dxa"/>
            <w:tcBorders/>
            <w:vAlign w:val="center"/>
          </w:tcPr>
          <w:p>
            <w:pPr>
              <w:pStyle w:val="TableContents"/>
              <w:bidi w:val="0"/>
              <w:spacing w:lineRule="auto" w:line="328" w:before="0" w:after="0"/>
              <w:ind w:left="0" w:right="0" w:hanging="0"/>
              <w:jc w:val="left"/>
              <w:rPr/>
            </w:pPr>
            <w:r>
              <w:rPr/>
              <w:t>  ​ ​ ​</w:t>
            </w:r>
          </w:p>
        </w:tc>
        <w:tc>
          <w:tcPr>
            <w:tcW w:w="1677"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28" w:before="0" w:after="0"/>
              <w:ind w:left="0" w:right="0" w:hanging="0"/>
              <w:jc w:val="left"/>
              <w:rPr/>
            </w:pPr>
            <w:r>
              <w:rPr/>
              <w:t>  ​ ​ ​</w:t>
            </w:r>
          </w:p>
        </w:tc>
        <w:tc>
          <w:tcPr>
            <w:tcW w:w="892"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w:t>
              <w:br/>
              <w:t>Change</w:t>
            </w:r>
          </w:p>
        </w:tc>
        <w:tc>
          <w:tcPr>
            <w:tcW w:w="346" w:type="dxa"/>
            <w:tcBorders/>
            <w:vAlign w:val="center"/>
          </w:tcPr>
          <w:p>
            <w:pPr>
              <w:pStyle w:val="TableContents"/>
              <w:bidi w:val="0"/>
              <w:spacing w:lineRule="auto" w:line="328"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w:t>
              <w:br/>
              <w:t>Change</w:t>
            </w:r>
          </w:p>
        </w:tc>
        <w:tc>
          <w:tcPr>
            <w:tcW w:w="319" w:type="dxa"/>
            <w:tcBorders/>
            <w:vAlign w:val="center"/>
          </w:tcPr>
          <w:p>
            <w:pPr>
              <w:pStyle w:val="TableContents"/>
              <w:bidi w:val="0"/>
              <w:spacing w:lineRule="auto" w:line="328" w:before="0" w:after="0"/>
              <w:ind w:left="0" w:right="0" w:hanging="0"/>
              <w:jc w:val="left"/>
              <w:rPr/>
            </w:pPr>
            <w:r>
              <w:rPr/>
              <w:t>​</w:t>
            </w:r>
          </w:p>
        </w:tc>
      </w:tr>
      <w:tr>
        <w:trPr/>
        <w:tc>
          <w:tcPr>
            <w:tcW w:w="98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036"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3859" w:type="dxa"/>
            <w:gridSpan w:val="5"/>
            <w:tcBorders/>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and per Share Amounts)</w:t>
            </w:r>
          </w:p>
        </w:tc>
        <w:tc>
          <w:tcPr>
            <w:tcW w:w="346" w:type="dxa"/>
            <w:tcBorders/>
            <w:vAlign w:val="center"/>
          </w:tcPr>
          <w:p>
            <w:pPr>
              <w:pStyle w:val="TableContents"/>
              <w:bidi w:val="0"/>
              <w:spacing w:lineRule="auto" w:line="328" w:before="0" w:after="0"/>
              <w:ind w:left="0" w:right="0" w:hanging="0"/>
              <w:jc w:val="left"/>
              <w:rPr/>
            </w:pPr>
            <w:r>
              <w:rPr/>
              <w:t>​</w:t>
            </w:r>
          </w:p>
        </w:tc>
        <w:tc>
          <w:tcPr>
            <w:tcW w:w="892" w:type="dxa"/>
            <w:gridSpan w:val="2"/>
            <w:tcBorders>
              <w:top w:val="single" w:sz="2" w:space="0" w:color="000000"/>
            </w:tcBorders>
            <w:tcMar>
              <w:top w:w="28" w:type="dxa"/>
            </w:tcMar>
            <w:vAlign w:val="center"/>
          </w:tcPr>
          <w:p>
            <w:pPr>
              <w:pStyle w:val="TableContents"/>
              <w:bidi w:val="0"/>
              <w:spacing w:lineRule="auto" w:line="328" w:before="0" w:after="0"/>
              <w:ind w:left="0" w:right="0" w:hanging="0"/>
              <w:jc w:val="center"/>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top w:val="single" w:sz="2" w:space="0" w:color="000000"/>
            </w:tcBorders>
            <w:tcMar>
              <w:top w:w="28" w:type="dxa"/>
            </w:tcMar>
            <w:vAlign w:val="center"/>
          </w:tcPr>
          <w:p>
            <w:pPr>
              <w:pStyle w:val="TableContents"/>
              <w:bidi w:val="0"/>
              <w:spacing w:lineRule="auto" w:line="328" w:before="0" w:after="0"/>
              <w:ind w:left="0" w:right="0" w:hanging="0"/>
              <w:jc w:val="center"/>
              <w:rPr/>
            </w:pPr>
            <w:r>
              <w:rPr/>
              <w:t>​</w:t>
            </w:r>
          </w:p>
        </w:tc>
        <w:tc>
          <w:tcPr>
            <w:tcW w:w="319" w:type="dxa"/>
            <w:tcBorders/>
            <w:vAlign w:val="center"/>
          </w:tcPr>
          <w:p>
            <w:pPr>
              <w:pStyle w:val="TableContents"/>
              <w:bidi w:val="0"/>
              <w:spacing w:lineRule="auto" w:line="328" w:before="0" w:after="0"/>
              <w:ind w:left="0" w:right="0" w:hanging="0"/>
              <w:jc w:val="left"/>
              <w:rPr/>
            </w:pPr>
            <w:r>
              <w:rPr/>
              <w:t>​</w:t>
            </w:r>
          </w:p>
        </w:tc>
      </w:tr>
      <w:tr>
        <w:trPr/>
        <w:tc>
          <w:tcPr>
            <w:tcW w:w="303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shd w:fill="CCEEFF" w:val="clear"/>
            <w:vAlign w:val="center"/>
          </w:tcPr>
          <w:p>
            <w:pPr>
              <w:pStyle w:val="TableContents"/>
              <w:bidi w:val="0"/>
              <w:spacing w:lineRule="auto" w:line="328" w:before="0" w:after="0"/>
              <w:ind w:left="0" w:right="0" w:hanging="0"/>
              <w:jc w:val="left"/>
              <w:rPr/>
            </w:pPr>
            <w:r>
              <w:rPr/>
              <w:t>​</w:t>
            </w:r>
          </w:p>
        </w:tc>
        <w:tc>
          <w:tcPr>
            <w:tcW w:w="1366" w:type="dxa"/>
            <w:tcBorders/>
            <w:shd w:fill="CCEEFF" w:val="clear"/>
            <w:vAlign w:val="center"/>
          </w:tcPr>
          <w:p>
            <w:pPr>
              <w:pStyle w:val="TableContents"/>
              <w:bidi w:val="0"/>
              <w:spacing w:lineRule="auto" w:line="328" w:before="0" w:after="0"/>
              <w:ind w:left="0" w:right="0" w:hanging="0"/>
              <w:jc w:val="left"/>
              <w:rPr/>
            </w:pPr>
            <w:r>
              <w:rPr/>
              <w:t>​</w:t>
            </w:r>
          </w:p>
        </w:tc>
        <w:tc>
          <w:tcPr>
            <w:tcW w:w="507"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shd w:fill="CCEEFF" w:val="clear"/>
            <w:vAlign w:val="center"/>
          </w:tcPr>
          <w:p>
            <w:pPr>
              <w:pStyle w:val="TableContents"/>
              <w:bidi w:val="0"/>
              <w:spacing w:lineRule="auto" w:line="328" w:before="0" w:after="0"/>
              <w:ind w:left="0" w:right="0" w:hanging="0"/>
              <w:jc w:val="left"/>
              <w:rPr/>
            </w:pPr>
            <w:r>
              <w:rPr/>
              <w:t>​</w:t>
            </w:r>
          </w:p>
        </w:tc>
        <w:tc>
          <w:tcPr>
            <w:tcW w:w="1368" w:type="dxa"/>
            <w:tcBorders/>
            <w:shd w:fill="CCEEFF" w:val="clear"/>
            <w:vAlign w:val="center"/>
          </w:tcPr>
          <w:p>
            <w:pPr>
              <w:pStyle w:val="TableContents"/>
              <w:bidi w:val="0"/>
              <w:spacing w:lineRule="auto" w:line="328" w:before="0" w:after="0"/>
              <w:ind w:left="0" w:right="0" w:hanging="0"/>
              <w:jc w:val="left"/>
              <w:rPr/>
            </w:pPr>
            <w:r>
              <w:rPr/>
              <w: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pPr>
            <w:r>
              <w:rPr/>
              <w:t>​</w:t>
            </w:r>
          </w:p>
        </w:tc>
        <w:tc>
          <w:tcPr>
            <w:tcW w:w="681" w:type="dxa"/>
            <w:tcBorders/>
            <w:shd w:fill="CCEEFF" w:val="clear"/>
            <w:vAlign w:val="center"/>
          </w:tcPr>
          <w:p>
            <w:pPr>
              <w:pStyle w:val="TableContents"/>
              <w:bidi w:val="0"/>
              <w:spacing w:lineRule="auto" w:line="328" w:before="0" w:after="0"/>
              <w:ind w:left="0" w:right="0" w:hanging="0"/>
              <w:jc w:val="left"/>
              <w:rPr/>
            </w:pPr>
            <w:r>
              <w:rPr/>
              <w: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left"/>
              <w:rPr/>
            </w:pPr>
            <w:r>
              <w:rPr/>
              <w:t>​</w:t>
            </w:r>
          </w:p>
        </w:tc>
        <w:tc>
          <w:tcPr>
            <w:tcW w:w="319" w:type="dxa"/>
            <w:tcBorders/>
            <w:shd w:fill="CCEEFF" w:val="clear"/>
            <w:vAlign w:val="center"/>
          </w:tcPr>
          <w:p>
            <w:pPr>
              <w:pStyle w:val="TableContents"/>
              <w:bidi w:val="0"/>
              <w:spacing w:lineRule="auto" w:line="328" w:before="0" w:after="0"/>
              <w:ind w:left="0" w:right="0" w:hanging="0"/>
              <w:jc w:val="left"/>
              <w:rPr/>
            </w:pPr>
            <w:r>
              <w:rPr/>
              <w:t>​</w:t>
            </w:r>
          </w:p>
        </w:tc>
      </w:tr>
      <w:tr>
        <w:trPr/>
        <w:tc>
          <w:tcPr>
            <w:tcW w:w="30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328" w:before="0" w:after="0"/>
              <w:ind w:left="0" w:right="0" w:hanging="0"/>
              <w:jc w:val="left"/>
              <w:rPr/>
            </w:pPr>
            <w:r>
              <w:rPr/>
              <w:t>​</w:t>
            </w:r>
          </w:p>
        </w:tc>
        <w:tc>
          <w:tcPr>
            <w:tcW w:w="3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(1,942)</w:t>
            </w:r>
          </w:p>
        </w:tc>
        <w:tc>
          <w:tcPr>
            <w:tcW w:w="507" w:type="dxa"/>
            <w:tcBorders/>
            <w:vAlign w:val="center"/>
          </w:tcPr>
          <w:p>
            <w:pPr>
              <w:pStyle w:val="TableContents"/>
              <w:bidi w:val="0"/>
              <w:spacing w:lineRule="auto" w:line="328" w:before="0" w:after="0"/>
              <w:ind w:left="0" w:right="0" w:hanging="0"/>
              <w:jc w:val="left"/>
              <w:rPr/>
            </w:pPr>
            <w:r>
              <w:rPr/>
              <w:t>​</w:t>
            </w:r>
          </w:p>
        </w:tc>
        <w:tc>
          <w:tcPr>
            <w:tcW w:w="30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8"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(6,754)</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(4,812)</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1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shd w:fill="CCEEFF" w:val="clear"/>
            <w:vAlign w:val="center"/>
          </w:tcPr>
          <w:p>
            <w:pPr>
              <w:pStyle w:val="TableContents"/>
              <w:bidi w:val="0"/>
              <w:spacing w:lineRule="auto" w:line="328" w:before="0" w:after="0"/>
              <w:ind w:left="0" w:right="0" w:hanging="0"/>
              <w:jc w:val="left"/>
              <w:rPr/>
            </w:pPr>
            <w:r>
              <w:rPr/>
              <w:t>​</w:t>
            </w:r>
          </w:p>
        </w:tc>
        <w:tc>
          <w:tcPr>
            <w:tcW w:w="136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(4,549)</w:t>
            </w:r>
          </w:p>
        </w:tc>
        <w:tc>
          <w:tcPr>
            <w:tcW w:w="507"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shd w:fill="CCEEFF" w:val="clear"/>
            <w:vAlign w:val="center"/>
          </w:tcPr>
          <w:p>
            <w:pPr>
              <w:pStyle w:val="TableContents"/>
              <w:bidi w:val="0"/>
              <w:spacing w:lineRule="auto" w:line="328" w:before="0" w:after="0"/>
              <w:ind w:left="0" w:right="0" w:hanging="0"/>
              <w:jc w:val="left"/>
              <w:rPr/>
            </w:pPr>
            <w:r>
              <w:rPr/>
              <w:t>​</w:t>
            </w:r>
          </w:p>
        </w:tc>
        <w:tc>
          <w:tcPr>
            <w:tcW w:w="1368"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(6,368)</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pPr>
            <w:r>
              <w:rPr/>
              <w:t>​</w:t>
            </w:r>
          </w:p>
        </w:tc>
        <w:tc>
          <w:tcPr>
            <w:tcW w:w="68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(1,819)</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19"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lineRule="auto" w:line="328"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(6,491)</w:t>
            </w:r>
          </w:p>
        </w:tc>
        <w:tc>
          <w:tcPr>
            <w:tcW w:w="507" w:type="dxa"/>
            <w:tcBorders/>
            <w:vAlign w:val="center"/>
          </w:tcPr>
          <w:p>
            <w:pPr>
              <w:pStyle w:val="TableContents"/>
              <w:bidi w:val="0"/>
              <w:spacing w:lineRule="auto" w:line="328"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1368"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(13,122)</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pPr>
            <w:r>
              <w:rPr/>
              <w:t>​</w:t>
            </w:r>
          </w:p>
        </w:tc>
        <w:tc>
          <w:tcPr>
            <w:tcW w:w="68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(6,631)</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1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136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(6,491)</w:t>
            </w:r>
          </w:p>
        </w:tc>
        <w:tc>
          <w:tcPr>
            <w:tcW w:w="507"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1368"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(13,122)</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pPr>
            <w:r>
              <w:rPr/>
              <w:t>​</w:t>
            </w:r>
          </w:p>
        </w:tc>
        <w:tc>
          <w:tcPr>
            <w:tcW w:w="68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(6,631)</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19"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lineRule="auto" w:line="328" w:before="0" w:after="0"/>
              <w:ind w:left="0" w:right="0" w:hanging="0"/>
              <w:jc w:val="left"/>
              <w:rPr/>
            </w:pPr>
            <w:r>
              <w:rPr/>
              <w:t>​</w:t>
            </w:r>
          </w:p>
        </w:tc>
        <w:tc>
          <w:tcPr>
            <w:tcW w:w="309" w:type="dxa"/>
            <w:tcBorders/>
            <w:vAlign w:val="center"/>
          </w:tcPr>
          <w:p>
            <w:pPr>
              <w:pStyle w:val="TableContents"/>
              <w:bidi w:val="0"/>
              <w:spacing w:lineRule="auto" w:line="328" w:before="0" w:after="0"/>
              <w:ind w:left="0" w:right="0" w:hanging="0"/>
              <w:jc w:val="left"/>
              <w:rPr/>
            </w:pPr>
            <w:r>
              <w:rPr/>
              <w:t>​</w:t>
            </w:r>
          </w:p>
        </w:tc>
        <w:tc>
          <w:tcPr>
            <w:tcW w:w="1366" w:type="dxa"/>
            <w:tcBorders/>
            <w:vAlign w:val="center"/>
          </w:tcPr>
          <w:p>
            <w:pPr>
              <w:pStyle w:val="TableContents"/>
              <w:bidi w:val="0"/>
              <w:spacing w:lineRule="auto" w:line="328" w:before="0" w:after="0"/>
              <w:ind w:left="0" w:right="0" w:hanging="0"/>
              <w:jc w:val="left"/>
              <w:rPr/>
            </w:pPr>
            <w:r>
              <w:rPr/>
              <w:t>​</w:t>
            </w:r>
          </w:p>
        </w:tc>
        <w:tc>
          <w:tcPr>
            <w:tcW w:w="507" w:type="dxa"/>
            <w:tcBorders/>
            <w:vAlign w:val="center"/>
          </w:tcPr>
          <w:p>
            <w:pPr>
              <w:pStyle w:val="TableContents"/>
              <w:bidi w:val="0"/>
              <w:spacing w:lineRule="auto" w:line="328" w:before="0" w:after="0"/>
              <w:ind w:left="0" w:right="0" w:hanging="0"/>
              <w:jc w:val="left"/>
              <w:rPr/>
            </w:pPr>
            <w:r>
              <w:rPr/>
              <w:t>​</w:t>
            </w:r>
          </w:p>
        </w:tc>
        <w:tc>
          <w:tcPr>
            <w:tcW w:w="309" w:type="dxa"/>
            <w:tcBorders/>
            <w:vAlign w:val="center"/>
          </w:tcPr>
          <w:p>
            <w:pPr>
              <w:pStyle w:val="TableContents"/>
              <w:bidi w:val="0"/>
              <w:spacing w:lineRule="auto" w:line="328" w:before="0" w:after="0"/>
              <w:ind w:left="0" w:right="0" w:hanging="0"/>
              <w:jc w:val="left"/>
              <w:rPr/>
            </w:pPr>
            <w:r>
              <w:rPr/>
              <w:t>​</w:t>
            </w:r>
          </w:p>
        </w:tc>
        <w:tc>
          <w:tcPr>
            <w:tcW w:w="136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pPr>
            <w:r>
              <w:rPr/>
              <w:t>​</w:t>
            </w:r>
          </w:p>
        </w:tc>
        <w:tc>
          <w:tcPr>
            <w:tcW w:w="681"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pPr>
            <w:r>
              <w:rPr/>
              <w:t>​</w:t>
            </w:r>
          </w:p>
        </w:tc>
        <w:tc>
          <w:tcPr>
            <w:tcW w:w="319" w:type="dxa"/>
            <w:tcBorders/>
            <w:vAlign w:val="center"/>
          </w:tcPr>
          <w:p>
            <w:pPr>
              <w:pStyle w:val="TableContents"/>
              <w:bidi w:val="0"/>
              <w:spacing w:lineRule="auto" w:line="328" w:before="0" w:after="0"/>
              <w:ind w:left="0" w:right="0" w:hanging="0"/>
              <w:jc w:val="left"/>
              <w:rPr/>
            </w:pPr>
            <w:r>
              <w:rPr/>
              <w:t>​</w:t>
            </w:r>
          </w:p>
        </w:tc>
      </w:tr>
      <w:tr>
        <w:trPr/>
        <w:tc>
          <w:tcPr>
            <w:tcW w:w="303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Financing costs related to issuance of convertible promissory notes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shd w:fill="CCEEFF" w:val="clear"/>
            <w:vAlign w:val="center"/>
          </w:tcPr>
          <w:p>
            <w:pPr>
              <w:pStyle w:val="TableContents"/>
              <w:bidi w:val="0"/>
              <w:spacing w:lineRule="auto" w:line="328" w:before="0" w:after="0"/>
              <w:ind w:left="0" w:right="0" w:hanging="0"/>
              <w:jc w:val="left"/>
              <w:rPr/>
            </w:pPr>
            <w:r>
              <w:rPr/>
              <w:t>​</w:t>
            </w:r>
          </w:p>
        </w:tc>
        <w:tc>
          <w:tcPr>
            <w:tcW w:w="136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507"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shd w:fill="CCEEFF" w:val="clear"/>
            <w:vAlign w:val="center"/>
          </w:tcPr>
          <w:p>
            <w:pPr>
              <w:pStyle w:val="TableContents"/>
              <w:bidi w:val="0"/>
              <w:spacing w:lineRule="auto" w:line="328" w:before="0" w:after="0"/>
              <w:ind w:left="0" w:right="0" w:hanging="0"/>
              <w:jc w:val="left"/>
              <w:rPr/>
            </w:pPr>
            <w:r>
              <w:rPr/>
              <w:t>​</w:t>
            </w:r>
          </w:p>
        </w:tc>
        <w:tc>
          <w:tcPr>
            <w:tcW w:w="1368" w:type="dxa"/>
            <w:tcBorders/>
            <w:shd w:fill="CCEEFF" w:val="clear"/>
            <w:vAlign w:val="center"/>
          </w:tcPr>
          <w:p>
            <w:pPr>
              <w:pStyle w:val="TableContents"/>
              <w:bidi w:val="0"/>
              <w:spacing w:lineRule="auto" w:line="328" w:before="0" w:after="0"/>
              <w:ind w:left="0" w:right="0" w:hanging="0"/>
              <w:jc w:val="right"/>
              <w:rPr/>
            </w:pPr>
            <w:r>
              <w:rPr/>
              <w: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pPr>
            <w:r>
              <w:rPr/>
              <w:t>​</w:t>
            </w:r>
          </w:p>
        </w:tc>
        <w:tc>
          <w:tcPr>
            <w:tcW w:w="68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r>
      <w:tr>
        <w:trPr/>
        <w:tc>
          <w:tcPr>
            <w:tcW w:w="30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promissory notes – related parties</w:t>
            </w:r>
          </w:p>
        </w:tc>
        <w:tc>
          <w:tcPr>
            <w:tcW w:w="346" w:type="dxa"/>
            <w:tcBorders/>
            <w:vAlign w:val="center"/>
          </w:tcPr>
          <w:p>
            <w:pPr>
              <w:pStyle w:val="TableContents"/>
              <w:bidi w:val="0"/>
              <w:spacing w:lineRule="auto" w:line="328" w:before="0" w:after="0"/>
              <w:ind w:left="0" w:right="0" w:hanging="0"/>
              <w:jc w:val="left"/>
              <w:rPr/>
            </w:pPr>
            <w:r>
              <w:rPr/>
              <w:t>​</w:t>
            </w:r>
          </w:p>
        </w:tc>
        <w:tc>
          <w:tcPr>
            <w:tcW w:w="309" w:type="dxa"/>
            <w:tcBorders/>
            <w:vAlign w:val="center"/>
          </w:tcPr>
          <w:p>
            <w:pPr>
              <w:pStyle w:val="TableContents"/>
              <w:bidi w:val="0"/>
              <w:spacing w:lineRule="auto" w:line="328" w:before="0" w:after="0"/>
              <w:ind w:left="0" w:right="0" w:hanging="0"/>
              <w:jc w:val="left"/>
              <w:rPr/>
            </w:pPr>
            <w:r>
              <w:rPr/>
              <w:t>​</w:t>
            </w:r>
          </w:p>
        </w:tc>
        <w:tc>
          <w:tcPr>
            <w:tcW w:w="136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(1,407)</w:t>
            </w:r>
          </w:p>
        </w:tc>
        <w:tc>
          <w:tcPr>
            <w:tcW w:w="507" w:type="dxa"/>
            <w:tcBorders/>
            <w:vAlign w:val="center"/>
          </w:tcPr>
          <w:p>
            <w:pPr>
              <w:pStyle w:val="TableContents"/>
              <w:bidi w:val="0"/>
              <w:spacing w:lineRule="auto" w:line="328" w:before="0" w:after="0"/>
              <w:ind w:left="0" w:right="0" w:hanging="0"/>
              <w:jc w:val="left"/>
              <w:rPr/>
            </w:pPr>
            <w:r>
              <w:rPr/>
              <w:t>​</w:t>
            </w:r>
          </w:p>
        </w:tc>
        <w:tc>
          <w:tcPr>
            <w:tcW w:w="309" w:type="dxa"/>
            <w:tcBorders/>
            <w:vAlign w:val="center"/>
          </w:tcPr>
          <w:p>
            <w:pPr>
              <w:pStyle w:val="TableContents"/>
              <w:bidi w:val="0"/>
              <w:spacing w:lineRule="auto" w:line="328" w:before="0" w:after="0"/>
              <w:ind w:left="0" w:right="0" w:hanging="0"/>
              <w:jc w:val="left"/>
              <w:rPr/>
            </w:pPr>
            <w:r>
              <w:rPr/>
              <w:t>​</w:t>
            </w:r>
          </w:p>
        </w:tc>
        <w:tc>
          <w:tcPr>
            <w:tcW w:w="1368"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pPr>
            <w:r>
              <w:rPr/>
              <w:t>​</w:t>
            </w:r>
          </w:p>
        </w:tc>
        <w:tc>
          <w:tcPr>
            <w:tcW w:w="68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1,407</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9" w:type="dxa"/>
            <w:tcBorders/>
            <w:vAlign w:val="center"/>
          </w:tcPr>
          <w:p>
            <w:pPr>
              <w:pStyle w:val="TableContents"/>
              <w:bidi w:val="0"/>
              <w:spacing w:lineRule="auto" w:line="328" w:before="0" w:after="0"/>
              <w:ind w:left="0" w:right="0" w:hanging="0"/>
              <w:jc w:val="left"/>
              <w:rPr/>
            </w:pPr>
            <w:r>
              <w:rPr/>
              <w:t>​</w:t>
            </w:r>
          </w:p>
        </w:tc>
      </w:tr>
      <w:tr>
        <w:trPr/>
        <w:tc>
          <w:tcPr>
            <w:tcW w:w="303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convertible promissory notes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shd w:fill="CCEEFF" w:val="clear"/>
            <w:vAlign w:val="center"/>
          </w:tcPr>
          <w:p>
            <w:pPr>
              <w:pStyle w:val="TableContents"/>
              <w:bidi w:val="0"/>
              <w:spacing w:lineRule="auto" w:line="328" w:before="0" w:after="0"/>
              <w:ind w:left="0" w:right="0" w:hanging="0"/>
              <w:jc w:val="left"/>
              <w:rPr/>
            </w:pPr>
            <w:r>
              <w:rPr/>
              <w:t>​</w:t>
            </w:r>
          </w:p>
        </w:tc>
        <w:tc>
          <w:tcPr>
            <w:tcW w:w="1366"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507"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shd w:fill="CCEEFF" w:val="clear"/>
            <w:vAlign w:val="center"/>
          </w:tcPr>
          <w:p>
            <w:pPr>
              <w:pStyle w:val="TableContents"/>
              <w:bidi w:val="0"/>
              <w:spacing w:lineRule="auto" w:line="328" w:before="0" w:after="0"/>
              <w:ind w:left="0" w:right="0" w:hanging="0"/>
              <w:jc w:val="left"/>
              <w:rPr/>
            </w:pPr>
            <w:r>
              <w:rPr/>
              <w:t>​</w:t>
            </w:r>
          </w:p>
        </w:tc>
        <w:tc>
          <w:tcPr>
            <w:tcW w:w="1368" w:type="dxa"/>
            <w:tcBorders/>
            <w:shd w:fill="CCEEFF" w:val="clear"/>
            <w:vAlign w:val="center"/>
          </w:tcPr>
          <w:p>
            <w:pPr>
              <w:pStyle w:val="TableContents"/>
              <w:bidi w:val="0"/>
              <w:spacing w:lineRule="auto" w:line="328" w:before="0" w:after="0"/>
              <w:ind w:left="0" w:right="0" w:hanging="0"/>
              <w:jc w:val="right"/>
              <w:rPr/>
            </w:pPr>
            <w:r>
              <w:rPr/>
              <w: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pPr>
            <w:r>
              <w:rPr/>
              <w:t>​</w:t>
            </w:r>
          </w:p>
        </w:tc>
        <w:tc>
          <w:tcPr>
            <w:tcW w:w="68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9" w:type="dxa"/>
            <w:tcBorders/>
            <w:shd w:fill="CCEEFF" w:val="clear"/>
            <w:vAlign w:val="center"/>
          </w:tcPr>
          <w:p>
            <w:pPr>
              <w:pStyle w:val="TableContents"/>
              <w:bidi w:val="0"/>
              <w:spacing w:lineRule="auto" w:line="328" w:before="0" w:after="0"/>
              <w:ind w:left="0" w:right="0" w:hanging="0"/>
              <w:jc w:val="left"/>
              <w:rPr/>
            </w:pPr>
            <w:r>
              <w:rPr/>
              <w:t>​</w:t>
            </w:r>
          </w:p>
        </w:tc>
      </w:tr>
      <w:tr>
        <w:trPr/>
        <w:tc>
          <w:tcPr>
            <w:tcW w:w="30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46" w:type="dxa"/>
            <w:tcBorders/>
            <w:vAlign w:val="center"/>
          </w:tcPr>
          <w:p>
            <w:pPr>
              <w:pStyle w:val="TableContents"/>
              <w:bidi w:val="0"/>
              <w:spacing w:lineRule="auto" w:line="328" w:before="0" w:after="0"/>
              <w:ind w:left="0" w:right="0" w:hanging="0"/>
              <w:jc w:val="left"/>
              <w:rPr/>
            </w:pPr>
            <w:r>
              <w:rPr/>
              <w:t>​</w:t>
            </w:r>
          </w:p>
        </w:tc>
        <w:tc>
          <w:tcPr>
            <w:tcW w:w="309" w:type="dxa"/>
            <w:tcBorders/>
            <w:vAlign w:val="center"/>
          </w:tcPr>
          <w:p>
            <w:pPr>
              <w:pStyle w:val="TableContents"/>
              <w:bidi w:val="0"/>
              <w:spacing w:lineRule="auto" w:line="328" w:before="0" w:after="0"/>
              <w:ind w:left="0" w:right="0" w:hanging="0"/>
              <w:jc w:val="left"/>
              <w:rPr/>
            </w:pPr>
            <w:r>
              <w:rPr/>
              <w:t>​</w:t>
            </w:r>
          </w:p>
        </w:tc>
        <w:tc>
          <w:tcPr>
            <w:tcW w:w="1366"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507" w:type="dxa"/>
            <w:tcBorders/>
            <w:vAlign w:val="center"/>
          </w:tcPr>
          <w:p>
            <w:pPr>
              <w:pStyle w:val="TableContents"/>
              <w:bidi w:val="0"/>
              <w:spacing w:lineRule="auto" w:line="328" w:before="0" w:after="0"/>
              <w:ind w:left="0" w:right="0" w:hanging="0"/>
              <w:jc w:val="left"/>
              <w:rPr/>
            </w:pPr>
            <w:r>
              <w:rPr/>
              <w:t>​</w:t>
            </w:r>
          </w:p>
        </w:tc>
        <w:tc>
          <w:tcPr>
            <w:tcW w:w="309" w:type="dxa"/>
            <w:tcBorders/>
            <w:vAlign w:val="center"/>
          </w:tcPr>
          <w:p>
            <w:pPr>
              <w:pStyle w:val="TableContents"/>
              <w:bidi w:val="0"/>
              <w:spacing w:lineRule="auto" w:line="328" w:before="0" w:after="0"/>
              <w:ind w:left="0" w:right="0" w:hanging="0"/>
              <w:jc w:val="left"/>
              <w:rPr/>
            </w:pPr>
            <w:r>
              <w:rPr/>
              <w:t>​</w:t>
            </w:r>
          </w:p>
        </w:tc>
        <w:tc>
          <w:tcPr>
            <w:tcW w:w="1368"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pPr>
            <w:r>
              <w:rPr/>
              <w:t>​</w:t>
            </w:r>
          </w:p>
        </w:tc>
        <w:tc>
          <w:tcPr>
            <w:tcW w:w="68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9" w:type="dxa"/>
            <w:tcBorders/>
            <w:vAlign w:val="center"/>
          </w:tcPr>
          <w:p>
            <w:pPr>
              <w:pStyle w:val="TableContents"/>
              <w:bidi w:val="0"/>
              <w:spacing w:lineRule="auto" w:line="328" w:before="0" w:after="0"/>
              <w:ind w:left="0" w:right="0" w:hanging="0"/>
              <w:jc w:val="left"/>
              <w:rPr/>
            </w:pPr>
            <w:r>
              <w:rPr/>
              <w:t>​</w:t>
            </w:r>
          </w:p>
        </w:tc>
      </w:tr>
      <w:tr>
        <w:trPr/>
        <w:tc>
          <w:tcPr>
            <w:tcW w:w="303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left"/>
              <w:rPr/>
            </w:pPr>
            <w:r>
              <w:rPr/>
              <w:t>​</w:t>
            </w:r>
          </w:p>
        </w:tc>
        <w:tc>
          <w:tcPr>
            <w:tcW w:w="1366"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507"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left"/>
              <w:rPr/>
            </w:pPr>
            <w:r>
              <w:rPr/>
              <w:t>​</w:t>
            </w:r>
          </w:p>
        </w:tc>
        <w:tc>
          <w:tcPr>
            <w:tcW w:w="1368"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pPr>
            <w:r>
              <w:rPr/>
              <w:t>​</w:t>
            </w:r>
          </w:p>
        </w:tc>
        <w:tc>
          <w:tcPr>
            <w:tcW w:w="68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9" w:type="dxa"/>
            <w:tcBorders/>
            <w:shd w:fill="CCEEFF" w:val="clear"/>
            <w:vAlign w:val="center"/>
          </w:tcPr>
          <w:p>
            <w:pPr>
              <w:pStyle w:val="TableContents"/>
              <w:bidi w:val="0"/>
              <w:spacing w:lineRule="auto" w:line="328" w:before="0" w:after="0"/>
              <w:ind w:left="0" w:right="0" w:hanging="0"/>
              <w:jc w:val="left"/>
              <w:rPr/>
            </w:pPr>
            <w:r>
              <w:rPr/>
              <w:t>​</w:t>
            </w:r>
          </w:p>
        </w:tc>
      </w:tr>
      <w:tr>
        <w:trPr/>
        <w:tc>
          <w:tcPr>
            <w:tcW w:w="30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vAlign w:val="center"/>
          </w:tcPr>
          <w:p>
            <w:pPr>
              <w:pStyle w:val="TableContents"/>
              <w:bidi w:val="0"/>
              <w:spacing w:lineRule="auto" w:line="328" w:before="0" w:after="0"/>
              <w:ind w:left="0" w:right="0" w:hanging="0"/>
              <w:jc w:val="left"/>
              <w:rPr/>
            </w:pPr>
            <w:r>
              <w:rPr/>
              <w:t>​</w:t>
            </w:r>
          </w:p>
        </w:tc>
        <w:tc>
          <w:tcPr>
            <w:tcW w:w="309" w:type="dxa"/>
            <w:tcBorders>
              <w:top w:val="single" w:sz="2" w:space="0" w:color="000000"/>
              <w:bottom w:val="single" w:sz="2" w:space="0" w:color="000000"/>
            </w:tcBorders>
            <w:tcMar>
              <w:top w:w="28" w:type="dxa"/>
              <w:bottom w:w="28" w:type="dxa"/>
            </w:tcMar>
            <w:vAlign w:val="center"/>
          </w:tcPr>
          <w:p>
            <w:pPr>
              <w:pStyle w:val="TableContents"/>
              <w:bidi w:val="0"/>
              <w:spacing w:lineRule="auto" w:line="328" w:before="0" w:after="0"/>
              <w:ind w:left="0" w:right="0" w:hanging="0"/>
              <w:jc w:val="left"/>
              <w:rPr/>
            </w:pPr>
            <w:r>
              <w:rPr/>
              <w:t>​</w:t>
            </w:r>
          </w:p>
        </w:tc>
        <w:tc>
          <w:tcPr>
            <w:tcW w:w="1366" w:type="dxa"/>
            <w:tcBorders>
              <w:top w:val="single" w:sz="2" w:space="0" w:color="000000"/>
              <w:bottom w:val="single" w:sz="2" w:space="0" w:color="000000"/>
            </w:tcBorders>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(2,084)</w:t>
            </w:r>
          </w:p>
        </w:tc>
        <w:tc>
          <w:tcPr>
            <w:tcW w:w="507" w:type="dxa"/>
            <w:tcBorders/>
            <w:vAlign w:val="center"/>
          </w:tcPr>
          <w:p>
            <w:pPr>
              <w:pStyle w:val="TableContents"/>
              <w:bidi w:val="0"/>
              <w:spacing w:lineRule="auto" w:line="328" w:before="0" w:after="0"/>
              <w:ind w:left="0" w:right="0" w:hanging="0"/>
              <w:jc w:val="left"/>
              <w:rPr/>
            </w:pPr>
            <w:r>
              <w:rPr/>
              <w:t>​</w:t>
            </w:r>
          </w:p>
        </w:tc>
        <w:tc>
          <w:tcPr>
            <w:tcW w:w="309" w:type="dxa"/>
            <w:tcBorders>
              <w:top w:val="single" w:sz="2" w:space="0" w:color="000000"/>
              <w:bottom w:val="single" w:sz="2" w:space="0" w:color="000000"/>
            </w:tcBorders>
            <w:tcMar>
              <w:top w:w="28" w:type="dxa"/>
              <w:bottom w:w="28" w:type="dxa"/>
            </w:tcMar>
            <w:vAlign w:val="center"/>
          </w:tcPr>
          <w:p>
            <w:pPr>
              <w:pStyle w:val="TableContents"/>
              <w:bidi w:val="0"/>
              <w:spacing w:lineRule="auto" w:line="328" w:before="0" w:after="0"/>
              <w:ind w:left="0" w:right="0" w:hanging="0"/>
              <w:jc w:val="left"/>
              <w:rPr/>
            </w:pPr>
            <w:r>
              <w:rPr/>
              <w:t>​</w:t>
            </w:r>
          </w:p>
        </w:tc>
        <w:tc>
          <w:tcPr>
            <w:tcW w:w="1368" w:type="dxa"/>
            <w:tcBorders>
              <w:top w:val="single" w:sz="2" w:space="0" w:color="000000"/>
              <w:bottom w:val="single" w:sz="2" w:space="0" w:color="000000"/>
            </w:tcBorders>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pPr>
            <w:r>
              <w:rPr/>
              <w:t>​</w:t>
            </w:r>
          </w:p>
        </w:tc>
        <w:tc>
          <w:tcPr>
            <w:tcW w:w="68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(2,336)</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9" w:type="dxa"/>
            <w:tcBorders/>
            <w:vAlign w:val="center"/>
          </w:tcPr>
          <w:p>
            <w:pPr>
              <w:pStyle w:val="TableContents"/>
              <w:bidi w:val="0"/>
              <w:spacing w:lineRule="auto" w:line="328" w:before="0" w:after="0"/>
              <w:ind w:left="0" w:right="0" w:hanging="0"/>
              <w:jc w:val="left"/>
              <w:rPr/>
            </w:pPr>
            <w:r>
              <w:rPr/>
              <w:t>​</w:t>
            </w:r>
          </w:p>
        </w:tc>
      </w:tr>
      <w:tr>
        <w:trPr/>
        <w:tc>
          <w:tcPr>
            <w:tcW w:w="303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pPr>
            <w:r>
              <w:rPr/>
              <w:t>​</w:t>
            </w:r>
          </w:p>
        </w:tc>
        <w:tc>
          <w:tcPr>
            <w:tcW w:w="136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(8,575)</w:t>
            </w:r>
          </w:p>
        </w:tc>
        <w:tc>
          <w:tcPr>
            <w:tcW w:w="507"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pPr>
            <w:r>
              <w:rPr/>
              <w:t>​</w:t>
            </w:r>
          </w:p>
        </w:tc>
        <w:tc>
          <w:tcPr>
            <w:tcW w:w="136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(12,870)</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pPr>
            <w:r>
              <w:rPr/>
              <w:t>​</w:t>
            </w:r>
          </w:p>
        </w:tc>
        <w:tc>
          <w:tcPr>
            <w:tcW w:w="68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(4,295)</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19"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w:t>
            </w:r>
          </w:p>
        </w:tc>
        <w:tc>
          <w:tcPr>
            <w:tcW w:w="346" w:type="dxa"/>
            <w:tcBorders/>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top w:val="double" w:sz="6"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(8,575)</w:t>
            </w:r>
          </w:p>
        </w:tc>
        <w:tc>
          <w:tcPr>
            <w:tcW w:w="507" w:type="dxa"/>
            <w:tcBorders/>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8" w:type="dxa"/>
            <w:tcBorders>
              <w:top w:val="double" w:sz="6"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(12,870)</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(4,295)</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1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(8,575)</w:t>
            </w:r>
          </w:p>
        </w:tc>
        <w:tc>
          <w:tcPr>
            <w:tcW w:w="507"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8"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(12,870)</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(4,295)</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19"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tcBorders>
            <w:tcMar>
              <w:top w:w="28" w:type="dxa"/>
            </w:tcMar>
            <w:vAlign w:val="center"/>
          </w:tcPr>
          <w:p>
            <w:pPr>
              <w:pStyle w:val="TableContents"/>
              <w:bidi w:val="0"/>
              <w:spacing w:lineRule="auto" w:line="328" w:before="0" w:after="0"/>
              <w:ind w:left="0" w:right="0" w:hanging="0"/>
              <w:jc w:val="left"/>
              <w:rPr/>
            </w:pPr>
            <w:r>
              <w:rPr/>
              <w:t>​</w:t>
            </w:r>
          </w:p>
        </w:tc>
        <w:tc>
          <w:tcPr>
            <w:tcW w:w="1366" w:type="dxa"/>
            <w:tcBorders>
              <w:top w:val="double" w:sz="6" w:space="0" w:color="000000"/>
            </w:tcBorders>
            <w:tcMar>
              <w:top w:w="28" w:type="dxa"/>
            </w:tcMar>
            <w:vAlign w:val="center"/>
          </w:tcPr>
          <w:p>
            <w:pPr>
              <w:pStyle w:val="TableContents"/>
              <w:bidi w:val="0"/>
              <w:spacing w:lineRule="auto" w:line="328" w:before="0" w:after="0"/>
              <w:ind w:left="0" w:right="0" w:hanging="0"/>
              <w:jc w:val="left"/>
              <w:rPr/>
            </w:pPr>
            <w:r>
              <w:rPr/>
              <w:t>​</w:t>
            </w:r>
          </w:p>
        </w:tc>
        <w:tc>
          <w:tcPr>
            <w:tcW w:w="507" w:type="dxa"/>
            <w:tcBorders/>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tcBorders>
            <w:tcMar>
              <w:top w:w="28" w:type="dxa"/>
            </w:tcMar>
            <w:vAlign w:val="center"/>
          </w:tcPr>
          <w:p>
            <w:pPr>
              <w:pStyle w:val="TableContents"/>
              <w:bidi w:val="0"/>
              <w:spacing w:lineRule="auto" w:line="328" w:before="0" w:after="0"/>
              <w:ind w:left="0" w:right="0" w:hanging="0"/>
              <w:jc w:val="left"/>
              <w:rPr/>
            </w:pPr>
            <w:r>
              <w:rPr/>
              <w:t>​</w:t>
            </w:r>
          </w:p>
        </w:tc>
        <w:tc>
          <w:tcPr>
            <w:tcW w:w="1368" w:type="dxa"/>
            <w:tcBorders>
              <w:top w:val="double" w:sz="6" w:space="0" w:color="000000"/>
            </w:tcBorders>
            <w:tcMar>
              <w:top w:w="28" w:type="dxa"/>
            </w:tcMar>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pPr>
            <w:r>
              <w:rPr/>
              <w:t>​</w:t>
            </w:r>
          </w:p>
        </w:tc>
        <w:tc>
          <w:tcPr>
            <w:tcW w:w="681"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pPr>
            <w:r>
              <w:rPr/>
              <w:t>​</w:t>
            </w:r>
          </w:p>
        </w:tc>
        <w:tc>
          <w:tcPr>
            <w:tcW w:w="319" w:type="dxa"/>
            <w:tcBorders/>
            <w:vAlign w:val="center"/>
          </w:tcPr>
          <w:p>
            <w:pPr>
              <w:pStyle w:val="TableContents"/>
              <w:bidi w:val="0"/>
              <w:spacing w:lineRule="auto" w:line="328" w:before="0" w:after="0"/>
              <w:ind w:left="0" w:right="0" w:hanging="0"/>
              <w:jc w:val="left"/>
              <w:rPr/>
            </w:pPr>
            <w:r>
              <w:rPr/>
              <w:t>​</w:t>
            </w:r>
          </w:p>
        </w:tc>
      </w:tr>
      <w:tr>
        <w:trPr/>
        <w:tc>
          <w:tcPr>
            <w:tcW w:w="303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 and other</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left"/>
              <w:rPr/>
            </w:pPr>
            <w:r>
              <w:rPr/>
              <w:t>​</w:t>
            </w:r>
          </w:p>
        </w:tc>
        <w:tc>
          <w:tcPr>
            <w:tcW w:w="1366"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507"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left"/>
              <w:rPr/>
            </w:pPr>
            <w:r>
              <w:rPr/>
              <w:t>​</w:t>
            </w:r>
          </w:p>
        </w:tc>
        <w:tc>
          <w:tcPr>
            <w:tcW w:w="1368"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pPr>
            <w:r>
              <w:rPr/>
              <w:t>​</w:t>
            </w:r>
          </w:p>
        </w:tc>
        <w:tc>
          <w:tcPr>
            <w:tcW w:w="68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9" w:type="dxa"/>
            <w:tcBorders/>
            <w:shd w:fill="CCEEFF" w:val="clear"/>
            <w:vAlign w:val="center"/>
          </w:tcPr>
          <w:p>
            <w:pPr>
              <w:pStyle w:val="TableContents"/>
              <w:bidi w:val="0"/>
              <w:spacing w:lineRule="auto" w:line="328" w:before="0" w:after="0"/>
              <w:ind w:left="0" w:right="0" w:hanging="0"/>
              <w:jc w:val="left"/>
              <w:rPr/>
            </w:pPr>
            <w:r>
              <w:rPr/>
              <w:t>​</w:t>
            </w:r>
          </w:p>
        </w:tc>
      </w:tr>
      <w:tr>
        <w:trPr/>
        <w:tc>
          <w:tcPr>
            <w:tcW w:w="30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vAlign w:val="center"/>
          </w:tcPr>
          <w:p>
            <w:pPr>
              <w:pStyle w:val="TableContents"/>
              <w:bidi w:val="0"/>
              <w:spacing w:lineRule="auto" w:line="328" w:before="0" w:after="0"/>
              <w:ind w:left="0" w:right="0" w:hanging="0"/>
              <w:jc w:val="left"/>
              <w:rPr/>
            </w:pPr>
            <w:r>
              <w:rPr/>
              <w:t>​</w:t>
            </w:r>
          </w:p>
        </w:tc>
        <w:tc>
          <w:tcPr>
            <w:tcW w:w="309" w:type="dxa"/>
            <w:tcBorders>
              <w:top w:val="single" w:sz="2"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left"/>
              <w:rPr/>
            </w:pPr>
            <w:r>
              <w:rPr/>
              <w:t>​</w:t>
            </w:r>
          </w:p>
        </w:tc>
        <w:tc>
          <w:tcPr>
            <w:tcW w:w="1366" w:type="dxa"/>
            <w:tcBorders>
              <w:top w:val="single" w:sz="2"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(8,873)</w:t>
            </w:r>
          </w:p>
        </w:tc>
        <w:tc>
          <w:tcPr>
            <w:tcW w:w="507" w:type="dxa"/>
            <w:tcBorders/>
            <w:vAlign w:val="center"/>
          </w:tcPr>
          <w:p>
            <w:pPr>
              <w:pStyle w:val="TableContents"/>
              <w:bidi w:val="0"/>
              <w:spacing w:lineRule="auto" w:line="328" w:before="0" w:after="0"/>
              <w:ind w:left="0" w:right="0" w:hanging="0"/>
              <w:jc w:val="left"/>
              <w:rPr/>
            </w:pPr>
            <w:r>
              <w:rPr/>
              <w:t>​</w:t>
            </w:r>
          </w:p>
        </w:tc>
        <w:tc>
          <w:tcPr>
            <w:tcW w:w="309" w:type="dxa"/>
            <w:tcBorders>
              <w:top w:val="single" w:sz="2"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left"/>
              <w:rPr/>
            </w:pPr>
            <w:r>
              <w:rPr/>
              <w:t>​</w:t>
            </w:r>
          </w:p>
        </w:tc>
        <w:tc>
          <w:tcPr>
            <w:tcW w:w="1368" w:type="dxa"/>
            <w:tcBorders>
              <w:top w:val="single" w:sz="2"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(12,862)</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pPr>
            <w:r>
              <w:rPr/>
              <w:t>​</w:t>
            </w:r>
          </w:p>
        </w:tc>
        <w:tc>
          <w:tcPr>
            <w:tcW w:w="68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(3,989)</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1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common stockholders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(8,873)</w:t>
            </w:r>
          </w:p>
        </w:tc>
        <w:tc>
          <w:tcPr>
            <w:tcW w:w="507"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8"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(12,862)</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(3,989)</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19"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share</w:t>
            </w:r>
          </w:p>
        </w:tc>
        <w:tc>
          <w:tcPr>
            <w:tcW w:w="346" w:type="dxa"/>
            <w:tcBorders/>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top w:val="double" w:sz="6"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507" w:type="dxa"/>
            <w:tcBorders/>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8" w:type="dxa"/>
            <w:tcBorders>
              <w:top w:val="double" w:sz="6" w:space="0" w:color="000000"/>
              <w:bottom w:val="double" w:sz="6" w:space="0" w:color="000000"/>
            </w:tcBorders>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(0.87)</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19"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weighted-average common shares outstanding</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pPr>
            <w:r>
              <w:rPr/>
              <w:t>​</w:t>
            </w:r>
          </w:p>
        </w:tc>
        <w:tc>
          <w:tcPr>
            <w:tcW w:w="136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5,056,994</w:t>
            </w:r>
          </w:p>
        </w:tc>
        <w:tc>
          <w:tcPr>
            <w:tcW w:w="507" w:type="dxa"/>
            <w:tcBorders/>
            <w:shd w:fill="CCEEFF" w:val="clear"/>
            <w:vAlign w:val="center"/>
          </w:tcPr>
          <w:p>
            <w:pPr>
              <w:pStyle w:val="TableContents"/>
              <w:bidi w:val="0"/>
              <w:spacing w:lineRule="auto" w:line="328" w:before="0" w:after="0"/>
              <w:ind w:left="0" w:right="0" w:hanging="0"/>
              <w:jc w:val="left"/>
              <w:rPr/>
            </w:pPr>
            <w:r>
              <w:rPr/>
              <w:t>​</w:t>
            </w:r>
          </w:p>
        </w:tc>
        <w:tc>
          <w:tcPr>
            <w:tcW w:w="309"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left"/>
              <w:rPr/>
            </w:pPr>
            <w:r>
              <w:rPr/>
              <w:t>​</w:t>
            </w:r>
          </w:p>
        </w:tc>
        <w:tc>
          <w:tcPr>
            <w:tcW w:w="1368"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5,016,149</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pPr>
            <w:r>
              <w:rPr/>
              <w:t>​</w:t>
            </w:r>
          </w:p>
        </w:tc>
        <w:tc>
          <w:tcPr>
            <w:tcW w:w="68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40,845</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9"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2522" w:type="dxa"/>
        <w:jc w:val="left"/>
        <w:tblInd w:w="200" w:type="dxa"/>
        <w:tblLayout w:type="fixed"/>
        <w:tblCellMar>
          <w:top w:w="0" w:type="dxa"/>
          <w:left w:w="0" w:type="dxa"/>
          <w:bottom w:w="0" w:type="dxa"/>
          <w:right w:w="0" w:type="dxa"/>
        </w:tblCellMar>
      </w:tblPr>
      <w:tblGrid>
        <w:gridCol w:w="346"/>
        <w:gridCol w:w="21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Meaningful (“N/M”)</w:t>
            </w:r>
          </w:p>
        </w:tc>
      </w:tr>
    </w:tbl>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Research and development expenses decreased by $4.8 million, or 71.2%, from $6.7 million for the three months ended March 31, 2025 to $1.9 million for the three months ended March 31, 2026. The decline primarily resulted from receipts of $3.4 million from joint development partners for the three months ended March 31, 2026, compared to $0.03 million for the three months ended March 31, 2025, which are recorded net in research and development expenses. The decrease was further attributable to the absence of occupancy and depreciation costs that had previously been allocated to research and development, following the exit of the Methuen, Massachusetts facility in October 2025.</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General and administrative expenses decreased by $1.8 million, or 28.6%, from $6.3 million for the three months ended March 31, 2025 to $4.5 million for the three months ended March 31, 2026, primarily due to a decline in stock-based compensation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expense. General and administrative stock-based compensation expense decreased by $2.2 million, or 63%, from $3.5 million for the three months ended March 31, 2025, to $1.3 million for the three months ended March 31, 2026. The decrease was further attributable to the absence of occupancy and depreciation costs that had previously been allocated to general and administrative expenses, following the exit of the Methuen, Massachusetts facility in October 2025. These decreases were partially offset by increases in professional services expenses including legal, audit, and advisory fees.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Financing Costs Related to Issuance of Convertible Promissory Notes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January 2026, we issued convertible promissory notes under which we could receive aggregate proceeds of up to $5.4 million. During the three months ended March 31, 2026, we received proceeds of $4.3 million. We incurred issuance costs of $0.04 million, which was recorded as a financing cost.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 in Fair Value of Convertible Promissory Notes – Related Parties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fair value of our convertible promissory notes to related parties increased by $1.4 million for the three months ended March 31, 2026. These notes were issued in 2025. Changes in fair value of convertible promissory notes to related parties are non-cash and are included in net loss.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 in Fair Value of Convertible Promissory Notes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fair value of our convertible promissory notes increased by $0.3 million for the three months ended March 31, 2026. These notes were issued in January 2026. Changes in fair value of convertible promissory notes are non-cash and are included in net loss.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Change in Fair Value of Warrant Liabilities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change in fair value of our warrant liabilities increased by $0.1 million for the three months ended March 31, 2026. There was no change in fair value of our warrant liabilities for the three months ended March 31, 2025. Changes in fair value of warrant liabilities are non-cash and are included in net loss.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Other income (expense), net reflected an expense of $0.2 million for the three months ended March 31, 2026, compared to income of $0.3 million for the three months ended March 31, 2025, a change of $0.5 million. The change is due to fluctuations in the effects of foreign exchange offset by a reduction interest income.</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did not record an income tax provision for the three months ended March 31, 2026 or 2025 due to losses incurred and the establishment of a full valuation allowance against deferred tax assets.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Since inception, we have financed our operations primarily from the sales of preferred and convertible preferred stock, and equity-linked securities. As of March 31, 2026, our principal sources of liquidity were our cash and cash equivalents in the amount of $25.5 million. Our cash equivalents are invested primarily in U.S. Treasury money market funds.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the date of this filing, Factorial has yet to generate any revenue from its business operations. To date, Factorial has funded its capital expenditure and working capital requirements through equity as further discussed below. Factorial’s ability to successfully develop its products, commence commercial operations and expand its business will depend on many factors, including its working capital needs, the availability of equity or debt financing and, over time, its ability to generate cash flows from operations.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As of March 31, 2026, Factorial’s cash and cash equivalents amounted to $25.5 million. As a result of the closing of the Business Combination, Factorial’s cash and cash equivalents have increased to approximately $116.6 million on June 10, 2026. In January 2026, Factorial entered into agreements with new investors to issue convertible notes where Factorial can receive proceeds up to $5.4 million. Upon the Closing the convertible notes were converted into shares issued by Factorial in conjunction with the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Business Combination and exchanged for shares of PubCo Series A Common Stock in the Business Combination. As of June 10, 2026, Factorial has received proceeds of $5.4 million.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 expects its capital expenditures and working capital requirements to increase materially in the near future, as it seeks to accelerate its research and development efforts and scale up the production operations with its OEM partners. As described in “Information about Factorial” section of the Proxy Statement/Prospectus, Factorial expects to satisfy early demand for its solid-state battery products by expanding its existing fabrication line operations in South Korea and the United States, to support initial commercial production. During the three months ended March 31, 2026, Factorial paid capital expenditures for such expansion of approximately $0.5 million and expects to incur capital expenditures of approximately $7.5 million during the remainder of 2026. The expansion is expected to be completed by the end of 2027. Beyond the initial investment to expand our existing fabrication line operations in South Korea and the United States, we do not plan to build or acquire additional manufacturing facilities or incur substantial capital expenditures for the expansion of our existing facilities. Instead, as demand grows, including incremental high spec applications and gigawatt-scale ramp-up in the automotive market, we expect to scale primarily through a partner manufacturing approach.</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 believes that its cash on hand, including the net proceeds from CGC’s cash in trust post redemption and the PIPE Financing, will be sufficient to meet its working capital and capital expenditure requirements for a period of at least twelve months from the date of this filing and sufficient to fund its operations until it commences commercial production of the Factorial solid-state battery, assuming Factorial is able to do so as currently contemplated. Factorial may, however, need additional cash resources due to changed business conditions or other developments, including unanticipated delays in negotiations with OEMs and tier-one automotive suppliers or other suppliers, supply chain challenges, competitive pressures, and regulatory developments, among other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 which could have an adverse impact on its business and financial prospects.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Based on its current operating plan, the Company estimates that its cash and cash equivalents as of the date of this filing will be sufficient to fund its operating expenses and capital expenditure requirements into the first quarter of 2028. The Company has based this estimate on assumptions that may prove to be wrong and could deplete its liquid resources sooner than it currently expects.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600" w:right="200" w:hanging="0"/>
        <w:jc w:val="left"/>
        <w:rPr>
          <w:rFonts w:ascii="Times New Roman;Times;serif" w:hAnsi="Times New Roman;Times;serif"/>
          <w:sz w:val="20"/>
        </w:rPr>
      </w:pPr>
      <w:r>
        <w:rPr>
          <w:rFonts w:ascii="Times New Roman;Times;serif" w:hAnsi="Times New Roman;Times;serif"/>
          <w:sz w:val="20"/>
        </w:rPr>
        <w:t>The following table provides a summary of Factorial’s cash flow data for the periods indicated:</w:t>
      </w:r>
    </w:p>
    <w:tbl>
      <w:tblPr>
        <w:tblW w:w="9156" w:type="dxa"/>
        <w:jc w:val="left"/>
        <w:tblInd w:w="200" w:type="dxa"/>
        <w:tblLayout w:type="fixed"/>
        <w:tblCellMar>
          <w:top w:w="0" w:type="dxa"/>
          <w:left w:w="0" w:type="dxa"/>
          <w:bottom w:w="0" w:type="dxa"/>
          <w:right w:w="0" w:type="dxa"/>
        </w:tblCellMar>
      </w:tblPr>
      <w:tblGrid>
        <w:gridCol w:w="3961"/>
        <w:gridCol w:w="346"/>
        <w:gridCol w:w="248"/>
        <w:gridCol w:w="745"/>
        <w:gridCol w:w="408"/>
        <w:gridCol w:w="248"/>
        <w:gridCol w:w="749"/>
        <w:gridCol w:w="346"/>
        <w:gridCol w:w="211"/>
        <w:gridCol w:w="571"/>
        <w:gridCol w:w="346"/>
        <w:gridCol w:w="661"/>
        <w:gridCol w:w="316"/>
      </w:tblGrid>
      <w:tr>
        <w:trPr/>
        <w:tc>
          <w:tcPr>
            <w:tcW w:w="39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398" w:type="dxa"/>
            <w:gridSpan w:val="5"/>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lineRule="auto" w:line="328" w:before="0" w:after="0"/>
              <w:ind w:left="0" w:right="0" w:hanging="0"/>
              <w:jc w:val="left"/>
              <w:rPr/>
            </w:pPr>
            <w:r>
              <w:rPr/>
              <w:t>​</w:t>
            </w:r>
          </w:p>
        </w:tc>
        <w:tc>
          <w:tcPr>
            <w:tcW w:w="782" w:type="dxa"/>
            <w:gridSpan w:val="2"/>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left"/>
              <w:rPr/>
            </w:pPr>
            <w:r>
              <w:rPr/>
              <w:t>​</w:t>
            </w:r>
          </w:p>
        </w:tc>
        <w:tc>
          <w:tcPr>
            <w:tcW w:w="316" w:type="dxa"/>
            <w:tcBorders/>
            <w:vAlign w:val="center"/>
          </w:tcPr>
          <w:p>
            <w:pPr>
              <w:pStyle w:val="TableContents"/>
              <w:bidi w:val="0"/>
              <w:spacing w:lineRule="auto" w:line="328" w:before="0" w:after="0"/>
              <w:ind w:left="0" w:right="0" w:hanging="0"/>
              <w:jc w:val="left"/>
              <w:rPr/>
            </w:pPr>
            <w:r>
              <w:rPr/>
              <w:t> </w:t>
            </w:r>
          </w:p>
        </w:tc>
      </w:tr>
      <w:tr>
        <w:trPr/>
        <w:tc>
          <w:tcPr>
            <w:tcW w:w="3961"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  ​ ​ ​</w:t>
            </w:r>
          </w:p>
        </w:tc>
        <w:tc>
          <w:tcPr>
            <w:tcW w:w="993"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8" w:type="dxa"/>
            <w:tcBorders/>
            <w:vAlign w:val="center"/>
          </w:tcPr>
          <w:p>
            <w:pPr>
              <w:pStyle w:val="TableContents"/>
              <w:bidi w:val="0"/>
              <w:spacing w:lineRule="auto" w:line="328" w:before="0" w:after="0"/>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28"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w:t>
              <w:br/>
              <w:t>Change</w:t>
            </w:r>
          </w:p>
        </w:tc>
        <w:tc>
          <w:tcPr>
            <w:tcW w:w="346" w:type="dxa"/>
            <w:tcBorders/>
            <w:vAlign w:val="center"/>
          </w:tcPr>
          <w:p>
            <w:pPr>
              <w:pStyle w:val="TableContents"/>
              <w:bidi w:val="0"/>
              <w:spacing w:lineRule="auto" w:line="328"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w:t>
              <w:br/>
              <w:t>Change</w:t>
            </w:r>
          </w:p>
        </w:tc>
        <w:tc>
          <w:tcPr>
            <w:tcW w:w="316" w:type="dxa"/>
            <w:tcBorders/>
            <w:vAlign w:val="center"/>
          </w:tcPr>
          <w:p>
            <w:pPr>
              <w:pStyle w:val="TableContents"/>
              <w:bidi w:val="0"/>
              <w:spacing w:lineRule="auto" w:line="328" w:before="0" w:after="0"/>
              <w:ind w:left="0" w:right="0" w:hanging="0"/>
              <w:jc w:val="left"/>
              <w:rPr/>
            </w:pPr>
            <w:r>
              <w:rPr/>
              <w:t>​</w:t>
            </w:r>
          </w:p>
        </w:tc>
      </w:tr>
      <w:tr>
        <w:trPr/>
        <w:tc>
          <w:tcPr>
            <w:tcW w:w="3961"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Amount in thousands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48"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745"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408" w:type="dxa"/>
            <w:tcBorders/>
            <w:shd w:fill="CCEEFF" w:val="clear"/>
            <w:vAlign w:val="center"/>
          </w:tcPr>
          <w:p>
            <w:pPr>
              <w:pStyle w:val="TableContents"/>
              <w:bidi w:val="0"/>
              <w:spacing w:lineRule="auto" w:line="328" w:before="0" w:after="0"/>
              <w:ind w:left="0" w:right="0" w:hanging="0"/>
              <w:jc w:val="left"/>
              <w:rPr/>
            </w:pPr>
            <w:r>
              <w:rPr/>
              <w:t>​</w:t>
            </w:r>
          </w:p>
        </w:tc>
        <w:tc>
          <w:tcPr>
            <w:tcW w:w="248"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749"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w:t>
            </w:r>
          </w:p>
        </w:tc>
        <w:tc>
          <w:tcPr>
            <w:tcW w:w="316" w:type="dxa"/>
            <w:tcBorders/>
            <w:shd w:fill="CCEEFF" w:val="clear"/>
            <w:vAlign w:val="center"/>
          </w:tcPr>
          <w:p>
            <w:pPr>
              <w:pStyle w:val="TableContents"/>
              <w:bidi w:val="0"/>
              <w:spacing w:lineRule="auto" w:line="328" w:before="0" w:after="0"/>
              <w:ind w:left="0" w:right="0" w:hanging="0"/>
              <w:jc w:val="left"/>
              <w:rPr/>
            </w:pPr>
            <w:r>
              <w:rPr/>
              <w:t>​</w:t>
            </w:r>
          </w:p>
        </w:tc>
      </w:tr>
      <w:tr>
        <w:trPr/>
        <w:tc>
          <w:tcPr>
            <w:tcW w:w="3961"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Net cash provided (used in) operating activities</w:t>
            </w:r>
          </w:p>
        </w:tc>
        <w:tc>
          <w:tcPr>
            <w:tcW w:w="346" w:type="dxa"/>
            <w:tcBorders/>
            <w:vAlign w:val="center"/>
          </w:tcPr>
          <w:p>
            <w:pPr>
              <w:pStyle w:val="TableContents"/>
              <w:bidi w:val="0"/>
              <w:spacing w:lineRule="auto" w:line="328" w:before="0" w:after="0"/>
              <w:ind w:left="0" w:right="0" w:hanging="0"/>
              <w:jc w:val="left"/>
              <w:rPr/>
            </w:pPr>
            <w:r>
              <w:rPr/>
              <w:t>​</w:t>
            </w:r>
          </w:p>
        </w:tc>
        <w:tc>
          <w:tcPr>
            <w:tcW w:w="248"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(6,120)</w:t>
            </w:r>
          </w:p>
        </w:tc>
        <w:tc>
          <w:tcPr>
            <w:tcW w:w="408" w:type="dxa"/>
            <w:tcBorders/>
            <w:vAlign w:val="center"/>
          </w:tcPr>
          <w:p>
            <w:pPr>
              <w:pStyle w:val="TableContents"/>
              <w:bidi w:val="0"/>
              <w:spacing w:lineRule="auto" w:line="328" w:before="0" w:after="0"/>
              <w:ind w:left="0" w:right="0" w:hanging="0"/>
              <w:jc w:val="left"/>
              <w:rPr/>
            </w:pPr>
            <w:r>
              <w:rPr/>
              <w:t>​</w:t>
            </w:r>
          </w:p>
        </w:tc>
        <w:tc>
          <w:tcPr>
            <w:tcW w:w="248"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(6,103)</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1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Net cash provided (used in) investing activities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48" w:type="dxa"/>
            <w:tcBorders/>
            <w:shd w:fill="CCEEFF" w:val="clear"/>
            <w:vAlign w:val="center"/>
          </w:tcPr>
          <w:p>
            <w:pPr>
              <w:pStyle w:val="TableContents"/>
              <w:bidi w:val="0"/>
              <w:spacing w:lineRule="auto" w:line="328" w:before="0" w:after="0"/>
              <w:ind w:left="0" w:right="0" w:hanging="0"/>
              <w:jc w:val="left"/>
              <w:rPr/>
            </w:pPr>
            <w:r>
              <w:rPr/>
              <w:t>​</w:t>
            </w:r>
          </w:p>
        </w:tc>
        <w:tc>
          <w:tcPr>
            <w:tcW w:w="745"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408" w:type="dxa"/>
            <w:tcBorders/>
            <w:shd w:fill="CCEEFF" w:val="clear"/>
            <w:vAlign w:val="center"/>
          </w:tcPr>
          <w:p>
            <w:pPr>
              <w:pStyle w:val="TableContents"/>
              <w:bidi w:val="0"/>
              <w:spacing w:lineRule="auto" w:line="328" w:before="0" w:after="0"/>
              <w:ind w:left="0" w:right="0" w:hanging="0"/>
              <w:jc w:val="left"/>
              <w:rPr/>
            </w:pPr>
            <w:r>
              <w:rPr/>
              <w:t>​</w:t>
            </w:r>
          </w:p>
        </w:tc>
        <w:tc>
          <w:tcPr>
            <w:tcW w:w="248" w:type="dxa"/>
            <w:tcBorders/>
            <w:shd w:fill="CCEEFF" w:val="clear"/>
            <w:vAlign w:val="center"/>
          </w:tcPr>
          <w:p>
            <w:pPr>
              <w:pStyle w:val="TableContents"/>
              <w:bidi w:val="0"/>
              <w:spacing w:lineRule="auto" w:line="328" w:before="0" w:after="0"/>
              <w:ind w:left="0" w:right="0" w:hanging="0"/>
              <w:jc w:val="left"/>
              <w:rPr/>
            </w:pPr>
            <w:r>
              <w:rPr/>
              <w:t>​</w:t>
            </w:r>
          </w:p>
        </w:tc>
        <w:tc>
          <w:tcPr>
            <w:tcW w:w="749"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11"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661" w:type="dxa"/>
            <w:tcBorders/>
            <w:shd w:fill="CCEEFF" w:val="clear"/>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183.1</w:t>
            </w:r>
          </w:p>
        </w:tc>
        <w:tc>
          <w:tcPr>
            <w:tcW w:w="31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Net cash provided (used in) financing activities</w:t>
            </w:r>
          </w:p>
        </w:tc>
        <w:tc>
          <w:tcPr>
            <w:tcW w:w="346" w:type="dxa"/>
            <w:tcBorders/>
            <w:vAlign w:val="center"/>
          </w:tcPr>
          <w:p>
            <w:pPr>
              <w:pStyle w:val="TableContents"/>
              <w:bidi w:val="0"/>
              <w:spacing w:lineRule="auto" w:line="328" w:before="0" w:after="0"/>
              <w:ind w:left="0" w:right="0" w:hanging="0"/>
              <w:jc w:val="left"/>
              <w:rPr/>
            </w:pPr>
            <w:r>
              <w:rPr/>
              <w:t>​</w:t>
            </w:r>
          </w:p>
        </w:tc>
        <w:tc>
          <w:tcPr>
            <w:tcW w:w="248" w:type="dxa"/>
            <w:tcBorders/>
            <w:vAlign w:val="center"/>
          </w:tcPr>
          <w:p>
            <w:pPr>
              <w:pStyle w:val="TableContents"/>
              <w:bidi w:val="0"/>
              <w:spacing w:lineRule="auto" w:line="328" w:before="0" w:after="0"/>
              <w:ind w:left="0" w:right="0" w:hanging="0"/>
              <w:jc w:val="left"/>
              <w:rPr/>
            </w:pPr>
            <w:r>
              <w:rPr/>
              <w:t>​</w:t>
            </w:r>
          </w:p>
        </w:tc>
        <w:tc>
          <w:tcPr>
            <w:tcW w:w="745"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3,302</w:t>
            </w:r>
          </w:p>
        </w:tc>
        <w:tc>
          <w:tcPr>
            <w:tcW w:w="408" w:type="dxa"/>
            <w:tcBorders/>
            <w:vAlign w:val="center"/>
          </w:tcPr>
          <w:p>
            <w:pPr>
              <w:pStyle w:val="TableContents"/>
              <w:bidi w:val="0"/>
              <w:spacing w:lineRule="auto" w:line="328" w:before="0" w:after="0"/>
              <w:ind w:left="0" w:right="0" w:hanging="0"/>
              <w:jc w:val="left"/>
              <w:rPr/>
            </w:pPr>
            <w:r>
              <w:rPr/>
              <w:t>​</w:t>
            </w:r>
          </w:p>
        </w:tc>
        <w:tc>
          <w:tcPr>
            <w:tcW w:w="248" w:type="dxa"/>
            <w:tcBorders/>
            <w:vAlign w:val="center"/>
          </w:tcPr>
          <w:p>
            <w:pPr>
              <w:pStyle w:val="TableContents"/>
              <w:bidi w:val="0"/>
              <w:spacing w:lineRule="auto" w:line="328" w:before="0" w:after="0"/>
              <w:ind w:left="0" w:right="0" w:hanging="0"/>
              <w:jc w:val="left"/>
              <w:rPr/>
            </w:pPr>
            <w:r>
              <w:rPr/>
              <w:t>​</w:t>
            </w:r>
          </w:p>
        </w:tc>
        <w:tc>
          <w:tcPr>
            <w:tcW w:w="749"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lineRule="auto" w:line="328" w:before="0" w:after="0"/>
              <w:ind w:left="0" w:right="0" w:hanging="0"/>
              <w:jc w:val="left"/>
              <w:rPr/>
            </w:pPr>
            <w:r>
              <w:rPr/>
              <w:t>​</w:t>
            </w:r>
          </w:p>
        </w:tc>
        <w:tc>
          <w:tcPr>
            <w:tcW w:w="2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3,507</w:t>
            </w:r>
          </w:p>
        </w:tc>
        <w:tc>
          <w:tcPr>
            <w:tcW w:w="346" w:type="dxa"/>
            <w:tcBorders/>
            <w:vAlign w:val="center"/>
          </w:tcPr>
          <w:p>
            <w:pPr>
              <w:pStyle w:val="TableContents"/>
              <w:bidi w:val="0"/>
              <w:spacing w:lineRule="auto" w:line="328" w:before="0" w:after="0"/>
              <w:ind w:left="0" w:right="0" w:hanging="0"/>
              <w:jc w:val="left"/>
              <w:rPr/>
            </w:pPr>
            <w:r>
              <w:rPr/>
              <w:t>​</w:t>
            </w:r>
          </w:p>
        </w:tc>
        <w:tc>
          <w:tcPr>
            <w:tcW w:w="661"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lineRule="auto" w:line="328"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Factorial’s cash flows used in operating activities to date have been primarily comprised of payroll, material and supplies, facilities expense, and professional services related to research and development and general and administrative activities. As Factorial continues to ramp up hiring for technical headcounts to accelerate its developmental efforts, Factorial expects its cash used in operating activities to increase significantly before it starts to generate any material cash flows from its business.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Net cash used in operating activities was $6.1 million for the three months ended March 31, 2026, and 2025 and primarily represents payments on employee compensation and benefits, R&amp;D materials, facilities, and professional fees. The payments were offset by an increase in receivables under collaboration agreements of $2.2 million during the three months ended March 31, 2026. Receivables under collaboration agreements decreased by $0.5 million during the three months ended March 31, 2025.</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Cash Flows from Investing Activities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Factorial’s cash flows used in investing activities, to date, have been comprised of purchases of property and equipment and purchases and disposals of equipment. Factorial expects the costs to acquire property and equipment to increase in the near future as it builds pilot and sample production lines for its FEST Silicon and Solstice programs.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Net cash used from investing activities was $0.5 million and $0.2 million for the three months ended March 31, 2026, and 2025, respectively, which was used for property and equipment purchases. The 2026 purchases were entirely to support production in Korea.</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Cash Flows from Financing Activities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Through March 31, 2026, Factorial has financed its operations primarily through the sale of equity and equity-linked securities. In addition, in January 2026, Factorial entered into agreements with new investors to issue convertible notes where Factorial can receive proceeds up to $5.4 million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Net cash from financing activities was $3.3 million for the three months ended March 31, 2026, and primarily represents proceeds from issuance of convertible notes, offset by the payment of deferred transaction costs. Net cash used in financing activities was $.2 million for the three months ended March 31, 2025, and primarily represents principal payments on the Company’s former finance lease for the Methuen, Massachusetts facility.</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 leases its headquarters space in Billerica, Massachusetts (the “Billerica Sublease”) under a single sublease classified as an operating lease expiring on October 30th, 2032. The Billerica Sublease does not contain any provision for an extension. Factorial also leased laboratory and office space in Tallahassee, Florida (the “Tallahassee Lease”) under a single lease classified as an operating lease that expired at the end of its term on February 28th, 2025. Additionally, Factorial leases laboratory and storage space, which includes offices, in Woburn, Massachusetts (the “Woburn Lease”) under a single lease classified as an operating lease expiring on April 30, 2028. The Woburn Lease does not contain any provision for extension. Finally, Factorial leased laboratory and manufacturing space, which included offices, in Methuen, Massachusetts (the “Methuen Lease”) under a single lease classified as a financing lease. The Methuen Lease was terminated on October 18, 2025. Factorial has not commenced negotiations with respect to extending the Billerica Sublease or the related lease between the applicable sublessor from whom the Company subleases such property and the ultimate lessor, but intends to do so prior to the expiration thereof.</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January 2026, Factorial entered into agreements with new investors to issue convertible notes where Factorial can receive proceeds up to $5.4 million. Upon the Closing the notes were converted into shares issued by Factorial in conjunction with the Business Combination and exchanged for shares of PubCo Series A Common Stock in the Business Combination. As of June 10, 2026, Factorial has received proceeds of $5.4 million.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600" w:right="200" w:hanging="0"/>
        <w:jc w:val="left"/>
        <w:rPr>
          <w:rFonts w:ascii="Times New Roman;Times;serif" w:hAnsi="Times New Roman;Times;serif"/>
          <w:sz w:val="20"/>
        </w:rPr>
      </w:pPr>
      <w:r>
        <w:rPr>
          <w:rFonts w:ascii="Times New Roman;Times;serif" w:hAnsi="Times New Roman;Times;serif"/>
          <w:sz w:val="20"/>
        </w:rPr>
        <w:t>Factorial is not a party to any off-balance sheet arrangements, as defined under SEC rules.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Factorial’s financial statements have been prepared in accordance with GAAP. In the preparation of these financial statements, Factorial is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There have been no significant changes to our critical accounting policies in the preparation of our condensed consolidated financial statements during the three months ended March 31, 2026 compared to those disclosed in our audited annual consolidated financial statements for the year ended December 31, 2025, included in the Proxy Statement/Prospectus.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There have been no significant changes to our critical accounting estimates in the preparation of our condensed consolidated financial statements during the three months ended March 31, 2026 compared to those disclosed in our audited annual consolidated financial statements for the year ended December 31, 2025, included in the Proxy Statement/Prospectus.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Each of Factorial and CGC is an “emerging growth company” as defined in Section 2(a) of the Securities Act and has elected to take advantage of the benefits of the extended transition period for new or revised financial accounting standards. This may make it difficult or impossible to compare Factorial’s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PubCo may continue to qualify as an “emerging growth company” after the Business Combination until the earliest of (i) such time as of which it is a “large accelerated filer”, (ii) its annual gross revenues exceed $1.235 billion, (iii) it issues more than $1 billion of non-convertible debt securities during a three-year period or (iv) the end of the fifth fiscal year after CGC’s IPO, which occurred in 2025.</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See Note 2 to the audited consolidated financial statements included in the Proxy Statement/Prospectus for more information about recent accounting pronouncements, the timing of their adoption, and Factorial’s assessment, to the extent it has made one, of their potential impact on Factorial’s financial condition and its results of operations and cash flows.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 is exposed to a variety of markets and other risks including the effects of change in interest rates, inflation and foreign currency translation and transaction risks as well as risks to the availability of funding sources, hazard events and specific asset risks.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market interest risk in Factorial’s financial instruments and financial positions represents the potential loss arising from adverse changes in interest rates. As of March 31, 2026, we had cash and cash equivalents of $25.4 million and restricted cash of $0.9 million, substantially all of which was held in interest-bearing accounts for which the fair market value would be affected by change in the general level of U.S. interest rates. However, due to the short-term maturities and the low-risk profile of our investments, an immediate 10% change in the interest rate would not have a material effect on the fair market value of our cash and cash equivalents.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 significant change in interest rates may also have an impact on the valuation of our equity and equity-linked instruments, as discussed in “Equity Valuations.” This could cause a material change in the carrying value of our equity and equity-linked instruments.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Foreign Currency Risk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Factorial’s U.S. entities and certain foreign subsidiaries have the U.S. dollar as their functional currency, while Factorial’s South Korea entity has the Korean Won as their functional currency. Factorial’s current and potential future subsidiaries could be expected to have other functional currencies, reflecting their principal operating markets. Once Factorial starts commercialization, it expects to be exposed to both additional currency transaction and translation risk. To date, Factorial has not hedged such exposure, although it may do so in the future.</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33" w:name="_f7938949_f7da_4f06_bf88_1e6cbce91f4f"/>
      <w:bookmarkStart w:id="34" w:name="MANAGEMENTSDISCUSSIONCGC"/>
      <w:bookmarkEnd w:id="33"/>
      <w:bookmarkEnd w:id="34"/>
      <w:r>
        <w:rPr>
          <w:rFonts w:ascii="Times New Roman;Times;serif" w:hAnsi="Times New Roman;Times;serif"/>
          <w:b/>
          <w:sz w:val="20"/>
        </w:rPr>
        <w:t>MANAGEMENT’S DISCUSSION AND ANALYSIS OF FINANCIAL CONDITION AND RESULTS OF OPERATIONS OF CGC</w:t>
      </w:r>
    </w:p>
    <w:p>
      <w:pPr>
        <w:pStyle w:val="TextBody"/>
        <w:bidi w:val="0"/>
        <w:spacing w:before="0" w:after="240"/>
        <w:ind w:left="200" w:right="200" w:firstLine="360"/>
        <w:jc w:val="left"/>
        <w:rPr>
          <w:rFonts w:ascii="Times New Roman;Times;serif" w:hAnsi="Times New Roman;Times;serif"/>
          <w:i/>
          <w:sz w:val="20"/>
        </w:rPr>
      </w:pPr>
      <w:r>
        <w:rPr>
          <w:rFonts w:ascii="Times New Roman;Times;serif" w:hAnsi="Times New Roman;Times;serif"/>
          <w:i/>
          <w:sz w:val="20"/>
        </w:rPr>
        <w:t>References in this section to “we,” “us,” “our” or the “Company” refer to Cartesian Growth Corporation III. References to our “management” or our “management team” refer to our officers and directors, and references to the “Sponsor” refer to CGC III Sponsor LLC. The following discussion and analysis of the Company’s financial condition and results of operations should be read in conjunction with the unaudited condensed financial statements and the notes thereto contained elsewhere in this Amendment. Certain information contained in the discussion and analysis set forth below includes forward-looking statements that involve risks and uncertainties.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this Quarterly Report and the Annual Report on Form 10-K filed with the U.S. Securities and Exchange Commission (the “SEC”) on March 23, 2026 (the “2025 Annual Report”).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are a blank check company incorporated on October 29, 2024 as a Cayman Islands exempted company and formed for the purpose of effecting a merger, amalgamation, share exchange, asset acquisition, share purchase, reorganization or similar business combination with one or more businesses or entities (“Business Combination”). We intend to effectuate our initial Business Combination using cash derived from the proceeds of the Initial Public Offering and the Private Placement (as defined and described below), our shares, debt or a combination of cash, shares and debt.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While we may pursue our initial Business Combination in any business industry or sector, we are focused on seeking high-growth businesses with proven or potential transnational operations or outlooks in order to capitalize on the experience, reputation, and network of our management team. Furthermore, we seek target businesses where we believe we will have an opportunity to drive ongoing value creation after our initial Business Combination is completed.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expect to continue to incur significant costs in the pursuit of our acquisition plans. We cannot assure you that our plans to complete our initial Business Combination will be successful.</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Business Combination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December 17, 2025, the Company, Fenway MS, Inc., a Delaware corporation (“Merger Sub”), and Factorial Inc., a Delaware corporation (“Factorial”), entered into a Business Combination Agreement (as it may be amended, supplemented or otherwise modified from time to time, the “Business Combination Agreement”). The Business Combination Agreement and the transactions contemplated thereby (the “Proposed Business Combination”) were unanimously approved by the boards of directors and special committees comprised of independent and disinterested members of the boards of directors of each of the Company and Factorial. The Proposed Business Combination is expected to close in mid-2026, following the receipt of the requisite approvals of the Company’s shareholders and Factorial stockholders and the fulfillment of other customary closing conditions.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Amendment to Business Combination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March 26, 2026, the Company, Merger Sub and Factorial entered into an Amendment to the Business Combination Agreement (the “BCA Amendment”). The BCA Amendment, among other things, (A) amends the sixth paragraph of the Preamble and inserts a new clause (a) into Section 2.1 of the Business Combination Agreement to provide that the Shareholder Redemption shall occur at least one day prior to the Domestication, thereby clarifying the timing and sequencing of the “Shareholder Redemption relative to the Domestication; (B) amends certain definitions, including the definition of “Ancillary Documents” to remove references to the “CGC Private Warrant Exchange Agreement,” the definition of “Company Convertible Notes” to mean any convertible note or other equity-linked debt instrument convertible into Equity Securities of the Company or any of its subsidiaries outstanding as of the Merger Effective Time; (C) amends clause (b)(iii) of Section 5.8 of the Business Combination Agreement to bifurcate the previously singular “Nasdaq Proposal” into two distinct proposals to be submitted to the Company’s shareholders for approval: (i) the adoption and approval of the issuance of shares in connection with the transactions contemplated by the Business Combination Agreement and (ii) the adoption and approval of the issuance of CGC Shares in connection with the PIPE Financing, and consequently update the definition of “Nasdaq Proposal” to read “Nasdaq Proposals;” and (D) amend and restate Sections 5.21 and 5.22 of the Business Combination Agreement to remove the provisions related to the Warrant Exchange.</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neither engaged in any operations nor generated any revenues to date. Our only activities from October 29, 2024 (inception) through March 31, 2026 were organizational activities and those necessary to prepare for the Initial Public Offering, and subsequent to the Initial Public Offering, identifying a target company for our initial Business Combination. We do not expect to generate any operating revenues until after the completion of our initial Business Combination. Subsequent to the Initial Public Offering, we generate non-operating income in the form of interest income on marketable securities held in the trust account established for the benefit of our public shareholders (the “Trust Account”), with Continental Stock Transfer &amp; Trust Company acting as trustee. We incur expenses as a result of being a public company (for legal, financial reporting, accounting and auditing compliance), as well as for due diligence expenses in connection with searching for, and completing, our initial Business Combination.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the three months ended March 31, 2026, we had a net income of $1,680,417, which consisted of interest earned on investments held in the Trust Account of $2,491,718, offset by general and administrative costs of $811,301.</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the three months ended March 31, 2025, we had a net loss of $20,449, which consisted of general and administrative costs.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Liquidity and Capital Resources and Going Concern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Until the consummation of the Initial Public Offering, our only source of liquidity was an initial purchase of Class B ordinary shares, par value $0.0001 per share (“founder shares”), by the Sponsor and CGC III Sponsor DirectorCo LLC (“DirectorCo” and together with the Sponsor in such capacity, our “initial shareholders”), and a loan from the Sponsor pursuant to an unsecured promissory note (the “Sponsor Promissory Note”). As of May 5, 2025, we had borrowed $250,000 under the Sponsor Promissory Note, which was repaid simultaneously with the closing of the Initial Public Offering.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May 5, 2025, we consummated the Initial Public Offering of 27,600,000 units (the “Units”) at $10.00 per Unit, which included the full exercise by the underwriters of their over-allotment option of 3,600,000 Units. Each Unit consists of one Class A ordinary share, par value $0.0001 per share (“Class A ordinary shares”), and one-half of one redeemable warrant. Simultaneously with the closing of the Initial Public Offering, we consummated the sale of an aggregate of 6,800,000 private placement warrants (the “Private Placement Warrants”), at a price of $1.00 per warrant, in a private placement to the Sponsor and Cantor Fitzgerald &amp; Co. (“Cantor”), the representative of the underwriters of the Initial Public Offering, generating gross proceeds of $6,800,000 (the “Private Placement”).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Following the Initial Public Offering, including the full exercise of the over-allotment option, and the Private Placement, a total of $276,000,000 ($10.00 per Unit) was placed in the Trust Account. We incurred $18,821,468 of transaction costs, consisting of $4,800,000 of cash underwriting commissions, $13,140,000 of deferred underwriting commissions, and $881,468 of other offering costs (including repayment of the Sponsor Promissory Note).</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For the three months ended March 31, 2026, cash used in operating activities was $227,953. Net income of $1,680,417 was affected by interest earned on investments held in the Trust Account of $2,491,718. Changes in operating assets and liabilities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provided $583,348 of cash for operating activities. For the three months ended March 31, 2025, cash used in operating activities was $0. Net loss of $20,449 was affected by payment of expenses through promissory note – related party of $20,449.</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March 31, 2026, we had marketable securities held in the Trust Account of $285,868,994 (including approximately $9,868,994 of interest income) consisting of mutual funds primarily invested in U.S. Treasury Bills with a maturity of 185 days or less. We may withdraw interest from the Trust Account to pay taxes, if any. We intend to use substantially all of the funds held in the Trust Account, including any amounts representing interest earned on the Trust Account (excluding deferred underwriting commissions and less taxes payable, if any), net of redemptions, to complete our initial Business Combination. To the extent that our share capital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March 31, 2026, we had cash of $396,210.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an initial Business Combination, and to pay for directors and officers liability insurance premiums.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order to fund working capital deficiencies or finance transaction costs in connection with an intended initial Business Combination, the Sponsor or an affiliate of the Sponsor or certain of our officers and directors may, but are not obligated to, loan us funds as may be required (“Working Capital Loans”). If we complete our initial Business Combination, we would repay such loaned amounts. In the event that our initial Business Combination does not close, we may use a portion of the funds held outside the Trust Account to repay such loaned amounts but no proceeds from the Trust Account would be used for such repayment. Up to $1,500,000 of such Working Capital Loans may be convertible into warrants of the post Business Combination entity at a price of $1.00 per warrant at the option of the lender. Such warrants would be identical to the Private Placement Warrants. As of March 31, 2026 and December 31, 2025, no such Working Capital Loans were outstanding.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our assessment of going concern considerations in accordance with Accounting Standards Codification (“ASC”) 205-40, “Presentation of Financial Statements - Going Concern,” management has determined that our liquidity condition raises substantial doubt about the Company’s ability to continue as a going concern. No adjustments have been made to the carrying amounts of assets or liabilities should the Company be required to liquidate after the Completion Window.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believe we will need to raise additional funds in order to meet the expenditures required for operating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initial Business Combination.</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have no obligations, assets or liabilities, which would be considered off-balance sheet arrangements as of March 31, 2026.</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do not have any long-term debt obligations, capital lease obligations, operating lease obligations, purchase obligations or other long-term liabilities, other than an agreement to pay the Sponsor an aggregate of $10,000 per month for office space, utilities and secretarial and administrative support. We began incurring these fees on May 1, 2025 and will continue to incur these fees monthly until the earlier of the completion of our initial Business Combination and our liquidation.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granted the underwriters of the Initial Public Offering a 45-day option from May 1, 2025, the effective date of the registration statements for the Initial Public Offering, to purchase up to an additional 3,600,000 Units to cover over-allotments, if any, at the Initial Public Offering price less underwriting discounts and commissions. On May 2, 2025, the underwriters fully exercised their over-allotment option, closing on the 3,600,000 additional Units simultaneously with the Initial Public Offering.</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underwriters of the Initial Public Offering are entitled to a deferred underwriting discount of 4.50% of the gross proceeds of the Initial Public Offering held in the Trust Account, other than the gross proceeds from Units sold pursuant to the underwriters’ over-</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allotment option, and 6.50% of the gross proceeds from Units sold pursuant to the underwriters’ over-allotment option, or $13,140,000 in the aggregate. Subject to the terms of the underwriting agreement for the Initial Public Offering, the deferred underwriting discount (i) will become payable to such underwriters from the amounts held in the Trust Account solely in the event that we complete our initial Business Combination and (ii) will be waived by such underwriters in the event that we do not complete our initial Business Combination.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December 17, 2025, we entered into a Fee Modification Agreement with Cantor in connection with its contemplated business combination with Factorial Inc., pursuant to which Cantor agreed to modify the previously agreed $13,140,000 deferred underwriting commission. If the business combination with Factorial Inc. is consummated, we (or the target or successor) will pay Cantor a non-refundable modified deferred fee payable at closing equal to $3.75 million plus amounts based on the value of public shares not redeemed in the transaction, subject to an aggregate cap of $13.0 million.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holders of the founder shares (and the Class A ordinary shares issuable upon conversion of the founder shares), Private Placement Warrants (and the Class A ordinary shares underlying such Private Placement Warrants), and private placement equivalent-warrants that may be issued upon conversion of the Working Capital Loans have registration rights to require us to register a sale of any of our securities held by them and any other securities of the Company acquired by them prior to the consummation of our initial Business Combination pursuant to a registration rights agreement signed on May 1, 2025, the effective date of the registration statements for the Initial Public Offering. The holders of these securities are entitled to make up to three demands, excluding short form demands, that we register such securities. In addition, the holders have certain “piggy-back” registration rights with respect to registration statements filed subsequent to the completion of our initial Business Combination. Notwithstanding anything to the contrary, Cantor may only make a demand on one occasion and only during the five-year period beginning from the commencement of sales in the Initial Public Offering. In addition, Cantor may participate in a “piggy-back” registration only during the seven-year period beginning from the commencement of sales in the Initial Public Offering. We will bear the expenses incurred in connection with the filing of any such registration statements.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Critical Accounting Estimates and Accounting Policies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preparation of the unaudited condensed financial statements in conformity with GAAP requires our management to make estimates and assumptions that affect the reported amounts of assets and liabilities, and disclosure of contingent assets and liabilities at the date of the unaudited condensed financial statements and the reported amounts of revenues and expenses during the reporting period. 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Accordingly, the actual results could differ significantly from those estimates. We have identified the following critical accounting estimates and accounting policies: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Warrant Instruments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accounted for the public warrants and Private Placement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 The public warrants have been classified within shareholders’ deficit and will not require remeasurement after issuance.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fair value of the public warrants at issuance was determined using a Monte Carlo simulation model. The valuation required the use of significant assumptions, including expected share price volatility, risk-free interest rate, market-implied probability of completing a business combination, our share price, and the expected remaining term of the warrants. Changes in these assumptions could have a material impact on the estimated fair value of the warrants.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Ordinary Shares Subject to Possible Redemption</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public shares contain a redemption feature which allows for the redemption of such public shares in connection with our liquidation, or if there is a shareholder vote or tender offer in connection with our initial Business Combination. In accordance with ASC 480-10-S99, we classify public shares subject to redemption outside of permanent equity as the redemption provisions are not solely within our control. We recognize changes in redemption value immediately as they occur and will adjust the carrying value of redeemable shares to equal the redemption value at the end of each reporting period. Immediately upon the closing of the Initial Public Offering, we recognized the accretion from initial book value to redemption value. The change in the carrying value of redeemable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shares will result in charges against additional paid-in capital (to the extent available) and then to accumulated deficit. Accordingly, as of March 31, 2026 and December 31, 2025, Class A ordinary shares subject to possible redemption are presented at redemption value as temporary equity, outside of the shareholders’ deficit section of our condensed balance sheets.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Net Income (Loss) Per Ordinary Share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We comply with accounting and disclosure requirements of FASB ASC Topic 260, “Earnings Per Share.” Net income (loss) per ordinary share is computed by dividing net income (loss) by the weighted average number of shares of ordinary shares outstanding for the period. We have two classes of ordinary shares, which are referred to as redeemable Class A ordinary shares and non-redeemable Class A and Class B ordinary shares. Remeasurement associated with the redeemable shares of Class A ordinary shares is excluded from income (loss) per ordinary share as the redemption value approximates fair value.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calculation of diluted income (loss) per ordinary share does not consider the effect of the warrants issued in connection with the Initial Public Offering and the Private Placement Warrants since the exercise of the warrants is contingent upon the occurrence of future events. The warrants are exercisable to purchase 20,600,000 Class A ordinary shares in the aggregate. As of March 31, 2026 and December 31, 2025, we did not have any dilutive securities or other contracts that could, potentially, be exercised or converted into ordinary shares that then share in our earnings.</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Recent Accounting Standards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Management does not believe that any recently issued, but not yet effective, accounting standards, if currently adopted, would have a material effect on our unaudited condensed financial statements.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5" w:name="INDEXTOFINANCIALSTATEMENTS_776555"/>
      <w:bookmarkStart w:id="36" w:name="_d7234646_a3fe_46c8_bfb4_4fb60b8daaa7"/>
      <w:bookmarkEnd w:id="35"/>
      <w:bookmarkEnd w:id="36"/>
      <w:r>
        <w:rPr>
          <w:rFonts w:ascii="Times New Roman;Times;serif" w:hAnsi="Times New Roman;Times;serif"/>
          <w:b/>
          <w:sz w:val="20"/>
        </w:rPr>
        <w:t>INDEX TO FINANCIAL STATEMENTS</w:t>
      </w:r>
    </w:p>
    <w:tbl>
      <w:tblPr>
        <w:tblW w:w="9805" w:type="dxa"/>
        <w:jc w:val="left"/>
        <w:tblInd w:w="200" w:type="dxa"/>
        <w:tblLayout w:type="fixed"/>
        <w:tblCellMar>
          <w:top w:w="0" w:type="dxa"/>
          <w:left w:w="0" w:type="dxa"/>
          <w:bottom w:w="0" w:type="dxa"/>
          <w:right w:w="0" w:type="dxa"/>
        </w:tblCellMar>
      </w:tblPr>
      <w:tblGrid>
        <w:gridCol w:w="8888"/>
        <w:gridCol w:w="346"/>
        <w:gridCol w:w="571"/>
      </w:tblGrid>
      <w:tr>
        <w:trPr/>
        <w:tc>
          <w:tcPr>
            <w:tcW w:w="88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8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643880" cy="175260"/>
                      <wp:effectExtent l="0" t="0" r="0" b="0"/>
                      <wp:wrapNone/>
                      <wp:docPr id="110" name="Frame109"/>
                      <a:graphic xmlns:a="http://schemas.openxmlformats.org/drawingml/2006/main">
                        <a:graphicData uri="http://schemas.microsoft.com/office/word/2010/wordprocessingShape">
                          <wps:wsp>
                            <wps:cNvSpPr txBox="1"/>
                            <wps:spPr>
                              <a:xfrm>
                                <a:off x="0" y="0"/>
                                <a:ext cx="564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62585" cy="175260"/>
                      <wp:effectExtent l="0" t="0" r="0" b="0"/>
                      <wp:wrapNone/>
                      <wp:docPr id="111" name="Frame1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FACTORIAL INC. UNAUDITED FINANCIAL STATEMENTS</w:t>
            </w:r>
          </w:p>
        </w:tc>
      </w:tr>
      <w:tr>
        <w:trPr/>
        <w:tc>
          <w:tcPr>
            <w:tcW w:w="88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888" w:type="dxa"/>
            <w:tcBorders/>
            <w:vAlign w:val="center"/>
          </w:tcPr>
          <w:p>
            <w:pPr>
              <w:pStyle w:val="TableContents"/>
              <w:bidi w:val="0"/>
              <w:spacing w:before="0" w:after="0"/>
              <w:ind w:left="0" w:right="0" w:hanging="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8888"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8888" w:type="dxa"/>
            <w:tcBorders/>
            <w:vAlign w:val="center"/>
          </w:tcPr>
          <w:p>
            <w:pPr>
              <w:pStyle w:val="TableContents"/>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Loss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8888" w:type="dxa"/>
            <w:tcBorders/>
            <w:vAlign w:val="center"/>
          </w:tcPr>
          <w:p>
            <w:pPr>
              <w:pStyle w:val="TableContents"/>
              <w:bidi w:val="0"/>
              <w:spacing w:before="0" w:after="0"/>
              <w:ind w:left="0" w:right="0" w:hanging="0"/>
              <w:jc w:val="left"/>
              <w:rPr/>
            </w:pPr>
            <w:hyperlink w:anchor="CondensedConsolidatedStatementsofRedeema">
              <w:r>
                <w:rPr>
                  <w:rStyle w:val="InternetLink"/>
                  <w:rFonts w:ascii="Times New Roman;Times;serif" w:hAnsi="Times New Roman;Times;serif"/>
                  <w:b w:val="false"/>
                  <w:i w:val="false"/>
                  <w:caps w:val="false"/>
                  <w:smallCaps w:val="false"/>
                  <w:sz w:val="20"/>
                </w:rPr>
                <w:t>Condensed Consolidated Statements of Redeemable Convertible Preferred Stock and Stockholders’ Deficit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8888"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8888" w:type="dxa"/>
            <w:tcBorders/>
            <w:vAlign w:val="center"/>
          </w:tcPr>
          <w:p>
            <w:pPr>
              <w:pStyle w:val="TableContents"/>
              <w:bidi w:val="0"/>
              <w:spacing w:before="0" w:after="0"/>
              <w:ind w:left="0" w:right="0" w:hanging="0"/>
              <w:jc w:val="left"/>
              <w:rPr/>
            </w:pPr>
            <w:hyperlink w:anchor="Note1TheCompany_862815">
              <w:r>
                <w:rPr>
                  <w:rStyle w:val="InternetLink"/>
                  <w:rFonts w:ascii="Times New Roman;Times;serif" w:hAnsi="Times New Roman;Times;serif"/>
                  <w:b w:val="false"/>
                  <w:i w:val="false"/>
                  <w:caps w:val="false"/>
                  <w:smallCaps w:val="false"/>
                  <w:sz w:val="20"/>
                </w:rPr>
                <w:t>Notes to the Condensed Consolidated Financial Statements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88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805"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CARTESIAN GROWTH CORPORATION III FINANCIAL STATEMENTS</w:t>
            </w:r>
          </w:p>
        </w:tc>
      </w:tr>
      <w:tr>
        <w:trPr/>
        <w:tc>
          <w:tcPr>
            <w:tcW w:w="888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888" w:type="dxa"/>
            <w:tcBorders/>
            <w:vAlign w:val="center"/>
          </w:tcPr>
          <w:p>
            <w:pPr>
              <w:pStyle w:val="TableContents"/>
              <w:bidi w:val="0"/>
              <w:spacing w:before="0" w:after="0"/>
              <w:ind w:left="0" w:right="0" w:hanging="0"/>
              <w:jc w:val="left"/>
              <w:rPr/>
            </w:pPr>
            <w:hyperlink w:anchor="CONDENSEDBALANCESHEETS_533849">
              <w:r>
                <w:rPr>
                  <w:rStyle w:val="InternetLink"/>
                  <w:rFonts w:ascii="Times New Roman;Times;serif" w:hAnsi="Times New Roman;Times;serif"/>
                  <w:b w:val="false"/>
                  <w:i w:val="false"/>
                  <w:caps w:val="false"/>
                  <w:smallCaps w:val="false"/>
                  <w:sz w:val="20"/>
                </w:rPr>
                <w:t>Condensed Balance Sheets as of March 31, 2026 (Unaudited) and December 31, 2025</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F-23</w:t>
            </w:r>
          </w:p>
        </w:tc>
      </w:tr>
      <w:tr>
        <w:trPr/>
        <w:tc>
          <w:tcPr>
            <w:tcW w:w="8888" w:type="dxa"/>
            <w:tcBorders/>
            <w:vAlign w:val="center"/>
          </w:tcPr>
          <w:p>
            <w:pPr>
              <w:pStyle w:val="TableContents"/>
              <w:bidi w:val="0"/>
              <w:spacing w:before="0" w:after="0"/>
              <w:ind w:left="0" w:right="0" w:hanging="0"/>
              <w:jc w:val="left"/>
              <w:rPr/>
            </w:pPr>
            <w:hyperlink w:anchor="CONDENSEDSTATEMENTOFOPERATIONS_744640">
              <w:r>
                <w:rPr>
                  <w:rStyle w:val="InternetLink"/>
                  <w:rFonts w:ascii="Times New Roman;Times;serif" w:hAnsi="Times New Roman;Times;serif"/>
                  <w:b w:val="false"/>
                  <w:i w:val="false"/>
                  <w:caps w:val="false"/>
                  <w:smallCaps w:val="false"/>
                  <w:sz w:val="20"/>
                </w:rPr>
                <w:t>Condensed Statements of Operations For the Three Months Ended March 31, 2026 and 2025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F-24</w:t>
            </w:r>
          </w:p>
        </w:tc>
      </w:tr>
      <w:tr>
        <w:trPr/>
        <w:tc>
          <w:tcPr>
            <w:tcW w:w="8888" w:type="dxa"/>
            <w:tcBorders/>
            <w:vAlign w:val="center"/>
          </w:tcPr>
          <w:p>
            <w:pPr>
              <w:pStyle w:val="TableContents"/>
              <w:bidi w:val="0"/>
              <w:spacing w:before="0" w:after="0"/>
              <w:ind w:left="0" w:right="0" w:hanging="0"/>
              <w:jc w:val="left"/>
              <w:rPr/>
            </w:pPr>
            <w:hyperlink w:anchor="CONDENSEDSTATEMENTOFCHANGESINSHAREHOLDER">
              <w:r>
                <w:rPr>
                  <w:rStyle w:val="InternetLink"/>
                  <w:rFonts w:ascii="Times New Roman;Times;serif" w:hAnsi="Times New Roman;Times;serif"/>
                  <w:b w:val="false"/>
                  <w:i w:val="false"/>
                  <w:caps w:val="false"/>
                  <w:smallCaps w:val="false"/>
                  <w:sz w:val="20"/>
                </w:rPr>
                <w:t>Condensed Statements of Changes in Shareholders’ Deficit For the Three Months Ended March 31, 2026 and 2025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F-25</w:t>
            </w:r>
          </w:p>
        </w:tc>
      </w:tr>
      <w:tr>
        <w:trPr/>
        <w:tc>
          <w:tcPr>
            <w:tcW w:w="8888" w:type="dxa"/>
            <w:tcBorders/>
            <w:vAlign w:val="center"/>
          </w:tcPr>
          <w:p>
            <w:pPr>
              <w:pStyle w:val="TableContents"/>
              <w:bidi w:val="0"/>
              <w:spacing w:before="0" w:after="0"/>
              <w:ind w:left="0" w:right="0" w:hanging="0"/>
              <w:jc w:val="left"/>
              <w:rPr/>
            </w:pPr>
            <w:hyperlink w:anchor="CONDENSEDSTATEMENTOFCASHFLOWS_350042">
              <w:r>
                <w:rPr>
                  <w:rStyle w:val="InternetLink"/>
                  <w:rFonts w:ascii="Times New Roman;Times;serif" w:hAnsi="Times New Roman;Times;serif"/>
                  <w:b w:val="false"/>
                  <w:i w:val="false"/>
                  <w:caps w:val="false"/>
                  <w:smallCaps w:val="false"/>
                  <w:sz w:val="20"/>
                </w:rPr>
                <w:t>Condensed Statement of Cash Flows For the Three Months ended March 31, 2026 and 2025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F-26</w:t>
            </w:r>
          </w:p>
        </w:tc>
      </w:tr>
      <w:tr>
        <w:trPr/>
        <w:tc>
          <w:tcPr>
            <w:tcW w:w="8888" w:type="dxa"/>
            <w:tcBorders/>
            <w:vAlign w:val="center"/>
          </w:tcPr>
          <w:p>
            <w:pPr>
              <w:pStyle w:val="TableContents"/>
              <w:bidi w:val="0"/>
              <w:spacing w:before="0" w:after="0"/>
              <w:ind w:left="0" w:right="0" w:hanging="0"/>
              <w:jc w:val="left"/>
              <w:rPr/>
            </w:pPr>
            <w:hyperlink w:anchor="NOTE1DESCRIPTIONOFORGANIZATIONANDBUSINES">
              <w:r>
                <w:rPr>
                  <w:rStyle w:val="InternetLink"/>
                  <w:rFonts w:ascii="Times New Roman;Times;serif" w:hAnsi="Times New Roman;Times;serif"/>
                  <w:b w:val="false"/>
                  <w:i w:val="false"/>
                  <w:caps w:val="false"/>
                  <w:smallCaps w:val="false"/>
                  <w:sz w:val="20"/>
                </w:rPr>
                <w:t>Notes to Condensed Financial Statements (Unaudited)</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F-27</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7" w:name="_71c4fb2c_1c55_4f69_b0f2_ad8cc76048c2"/>
      <w:bookmarkEnd w:id="37"/>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bookmarkStart w:id="38" w:name="CondensedConsolidatedBalanceSheetsUnaudi"/>
      <w:bookmarkEnd w:id="38"/>
      <w:r>
        <w:rPr>
          <w:rFonts w:ascii="Times New Roman;Times;serif" w:hAnsi="Times New Roman;Times;serif"/>
          <w:b/>
          <w:sz w:val="20"/>
        </w:rPr>
        <w:t>CONDENSED CONSOLIDATED BALANCE SHEETS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9805" w:type="dxa"/>
        <w:jc w:val="left"/>
        <w:tblInd w:w="200" w:type="dxa"/>
        <w:tblLayout w:type="fixed"/>
        <w:tblCellMar>
          <w:top w:w="0" w:type="dxa"/>
          <w:left w:w="0" w:type="dxa"/>
          <w:bottom w:w="0" w:type="dxa"/>
          <w:right w:w="0" w:type="dxa"/>
        </w:tblCellMar>
      </w:tblPr>
      <w:tblGrid>
        <w:gridCol w:w="6651"/>
        <w:gridCol w:w="346"/>
        <w:gridCol w:w="243"/>
        <w:gridCol w:w="868"/>
        <w:gridCol w:w="346"/>
        <w:gridCol w:w="280"/>
        <w:gridCol w:w="1071"/>
      </w:tblGrid>
      <w:tr>
        <w:trPr/>
        <w:tc>
          <w:tcPr>
            <w:tcW w:w="6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ind w:left="0" w:right="0" w:hanging="0"/>
              <w:jc w:val="left"/>
              <w:rPr>
                <w:sz w:val="4"/>
                <w:szCs w:val="4"/>
              </w:rPr>
            </w:pPr>
            <w:r>
              <w:rPr>
                <w:sz w:val="4"/>
                <w:szCs w:val="4"/>
              </w:rPr>
            </w:r>
          </w:p>
        </w:tc>
      </w:tr>
      <w:tr>
        <w:trPr/>
        <w:tc>
          <w:tcPr>
            <w:tcW w:w="6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left"/>
              <w:rPr/>
            </w:pPr>
            <w:r>
              <w:rPr/>
              <w:t>​</w:t>
            </w:r>
          </w:p>
        </w:tc>
      </w:tr>
      <w:tr>
        <w:trPr/>
        <w:tc>
          <w:tcPr>
            <w:tcW w:w="6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As of</w:t>
            </w:r>
          </w:p>
        </w:tc>
      </w:tr>
      <w:tr>
        <w:trPr/>
        <w:tc>
          <w:tcPr>
            <w:tcW w:w="6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March 31, 2026</w:t>
            </w:r>
          </w:p>
        </w:tc>
        <w:tc>
          <w:tcPr>
            <w:tcW w:w="346" w:type="dxa"/>
            <w:tcBorders/>
            <w:vAlign w:val="center"/>
          </w:tcPr>
          <w:p>
            <w:pPr>
              <w:pStyle w:val="TableContents"/>
              <w:bidi w:val="0"/>
              <w:spacing w:before="0" w:after="0"/>
              <w:ind w:left="0" w:right="0" w:hanging="0"/>
              <w:jc w:val="left"/>
              <w:rPr/>
            </w:pPr>
            <w:r>
              <w:rPr/>
              <w:t>  ​ ​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December 31, 2025</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w:t>
            </w:r>
          </w:p>
        </w:tc>
        <w:tc>
          <w:tcPr>
            <w:tcW w:w="1071" w:type="dxa"/>
            <w:tcBorders/>
            <w:shd w:fill="CCEEFF" w:val="clear"/>
            <w:vAlign w:val="center"/>
          </w:tcPr>
          <w:p>
            <w:pPr>
              <w:pStyle w:val="TableContents"/>
              <w:bidi w:val="0"/>
              <w:spacing w:before="0" w:after="0"/>
              <w:ind w:left="0" w:right="0" w:hanging="0"/>
              <w:jc w:val="right"/>
              <w:rPr/>
            </w:pPr>
            <w:r>
              <w:rPr/>
              <w:t>  ​</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Current assets:</w:t>
            </w:r>
          </w:p>
        </w:tc>
        <w:tc>
          <w:tcPr>
            <w:tcW w:w="3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pPr>
            <w:r>
              <w:rPr/>
              <w:t>  ​</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25,449</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28,891</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Receivables under collaboration agreements (includes $0 and $1,000 as related party as of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3,360</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1,152</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transaction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3,468</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1,423</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 (includes $910 and $1,110 as related party as of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1,718</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1,425</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33,995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32,891</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884</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881</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20,206</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21,276</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lease right-of-use assets, net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7,266</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7,576</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non-current assets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160</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ASSETS</w:t>
            </w:r>
          </w:p>
        </w:tc>
        <w:tc>
          <w:tcPr>
            <w:tcW w:w="346" w:type="dxa"/>
            <w:tcBorders/>
            <w:vAlign w:val="center"/>
          </w:tcPr>
          <w:p>
            <w:pPr>
              <w:pStyle w:val="TableContents"/>
              <w:bidi w:val="0"/>
              <w:spacing w:before="0" w:after="0"/>
              <w:ind w:left="0" w:right="0" w:hanging="0"/>
              <w:jc w:val="left"/>
              <w:rPr/>
            </w:pPr>
            <w:r>
              <w:rPr/>
              <w:t>​</w:t>
            </w:r>
          </w:p>
        </w:tc>
        <w:tc>
          <w:tcPr>
            <w:tcW w:w="243"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68"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62,391</w:t>
            </w:r>
          </w:p>
        </w:tc>
        <w:tc>
          <w:tcPr>
            <w:tcW w:w="346" w:type="dxa"/>
            <w:tcBorders/>
            <w:vAlign w:val="center"/>
          </w:tcPr>
          <w:p>
            <w:pPr>
              <w:pStyle w:val="TableContents"/>
              <w:bidi w:val="0"/>
              <w:spacing w:before="0" w:after="0"/>
              <w:ind w:left="0" w:right="0" w:hanging="0"/>
              <w:jc w:val="left"/>
              <w:rPr/>
            </w:pPr>
            <w:r>
              <w:rPr/>
              <w:t>​</w:t>
            </w:r>
          </w:p>
        </w:tc>
        <w:tc>
          <w:tcPr>
            <w:tcW w:w="28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7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62,784</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LIABILITIES, REDEEMABLE CONVERTIBLE PREFERRED STOCK &amp; STOCKHOLDERS’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68"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1071" w:type="dxa"/>
            <w:tcBorders>
              <w:top w:val="double" w:sz="6" w:space="0" w:color="000000"/>
            </w:tcBorders>
            <w:shd w:fill="CCEEFF" w:val="clear"/>
            <w:tcMar>
              <w:top w:w="28" w:type="dxa"/>
            </w:tcMar>
            <w:vAlign w:val="center"/>
          </w:tcPr>
          <w:p>
            <w:pPr>
              <w:pStyle w:val="TableContents"/>
              <w:bidi w:val="0"/>
              <w:spacing w:before="0" w:after="0"/>
              <w:ind w:left="0" w:right="0" w:hanging="0"/>
              <w:jc w:val="right"/>
              <w:rPr/>
            </w:pPr>
            <w:r>
              <w:rPr/>
              <w:t>  ​</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Current liabilities: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pPr>
            <w:r>
              <w:rPr/>
              <w:t>  ​</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payable (includes $30 and $190 as related party, as of March 31,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656</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741</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expenses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4,128</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2,981</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lease liabilities,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1,401</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1,357</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current liabilities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6,185</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5,079</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lease liabilities,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6,817</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7,180</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Convertible promissory notes - related parties, at fair value</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20,296</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18,889</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Convertible promissory notes,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4,600</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pPr>
            <w:r>
              <w:rPr/>
              <w:t>—</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Warrant liabilities for Series B-1 and Series D redeemable convertible preferred stock (includes $2,803 and $2,770 to related parties as of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3,484</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3,378</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41,382</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34,526</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Commitments and contingencies (Note 8)</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pPr>
            <w:r>
              <w:rPr/>
              <w:t>  ​</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Redeemable convertible preferred stock (Note 9):</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pPr>
            <w:r>
              <w:rPr/>
              <w:t>  ​</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Series A-1 redeemable convertible preferred stock, $0.0001 par value; 1,234,568 shares authorized, issued and outstanding as March 31, 2026, and December 31, 2025. Liquidation preference of $3,000 as of March 31, 2026, and December 31, 2025</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327</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327</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Series A-2 redeemable convertible preferred stock, $0.0001 par value; 2,362,204 shares authorized, issued and outstanding as of March 31, 2026, and December 31, 2025. Liquidation preference of $6,000 as March 31,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655</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Series B-1 redeemable convertible preferred stock, $0.0001 par value; 2,738,469 shares authorized; 2,718,539 shares issued and outstanding as of March 31, 2026, and December 31, 2025. Liquidation preference of $22,166 as of March 31, 2026, and December 31, 2025</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2,169</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2,169</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Series C-1 redeemable convertible preferred stock, $0.0001 par value; 3,570,724 shares authorized, issued and outstanding as of March 31, 2026, and December 31, 2025. Liquidation preference of $28,423 as of March 31,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28,303</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28,303</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Series C-2 redeemable convertible preferred stock, $0.0001 par value; 2,513,698 shares authorized, issued and outstanding as of March 31, 2026, and December 31, 2025. Liquidation preference of $26,857 as of March 31, 2026, and December 31, 2025</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26,013</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26,013</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Series D redeemable convertible preferred stock, $0.0001 par value; 7,625,734 shares authorized; 5,950,204 shares issued and outstanding as of March 31, 2026, and December 31, 2025. Liquidation preference of $202,385 as of March 31,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192,185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192,185</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redeemable convertible preferred stock</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249,652</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249,652</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Stockholders’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pPr>
            <w:r>
              <w:rPr/>
              <w:t>  ​</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Common stock, $0.0001 par value; 32,000,000 shares authorized as of March 31, 2026, and December 31, 2025. 5,068,690 and 5,039,438 shares issued and outstanding as of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pPr>
            <w:r>
              <w:rPr/>
              <w:t>—</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36,285</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34,661</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Accumulated deficit</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(264,151)</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(255,576)</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Accumulated 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(743)</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(445)</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Treasury stock, at cost; 108,466 shares as of March 31, 2026, and December 31, 2025</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w:t>
            </w:r>
          </w:p>
        </w:tc>
      </w:tr>
      <w:tr>
        <w:trPr/>
        <w:tc>
          <w:tcPr>
            <w:tcW w:w="66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stockholders’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(228,643)</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(221,394)</w:t>
            </w:r>
          </w:p>
        </w:tc>
      </w:tr>
      <w:tr>
        <w:trPr/>
        <w:tc>
          <w:tcPr>
            <w:tcW w:w="6651"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TOTAL LIABILITIES, REDEEMABLE CONVERTIBLE PREFERRED STOCK &amp; STOCKHOLDERS’ DEFICIT</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62,391</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107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5"/>
              </w:rPr>
            </w:pPr>
            <w:r>
              <w:rPr>
                <w:rFonts w:ascii="Times New Roman;Times;serif" w:hAnsi="Times New Roman;Times;serif"/>
                <w:b/>
                <w:sz w:val="15"/>
              </w:rPr>
              <w:t>62,784</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39" w:name="_ced50dab_733b_4e0a_be7d_b36f02317736"/>
      <w:bookmarkEnd w:id="39"/>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bookmarkStart w:id="40" w:name="CondensedConsolidatedStatementsofOperati"/>
      <w:bookmarkEnd w:id="40"/>
      <w:r>
        <w:rPr>
          <w:rFonts w:ascii="Times New Roman;Times;serif" w:hAnsi="Times New Roman;Times;serif"/>
          <w:b/>
          <w:sz w:val="20"/>
        </w:rPr>
        <w:t>CONDENSED CONSOLIDATED STATEMENTS OF OPERATIONS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9805" w:type="dxa"/>
        <w:jc w:val="left"/>
        <w:tblInd w:w="200" w:type="dxa"/>
        <w:tblLayout w:type="fixed"/>
        <w:tblCellMar>
          <w:top w:w="0" w:type="dxa"/>
          <w:left w:w="0" w:type="dxa"/>
          <w:bottom w:w="0" w:type="dxa"/>
          <w:right w:w="0" w:type="dxa"/>
        </w:tblCellMar>
      </w:tblPr>
      <w:tblGrid>
        <w:gridCol w:w="6724"/>
        <w:gridCol w:w="346"/>
        <w:gridCol w:w="211"/>
        <w:gridCol w:w="931"/>
        <w:gridCol w:w="346"/>
        <w:gridCol w:w="211"/>
        <w:gridCol w:w="1036"/>
      </w:tblGrid>
      <w:tr>
        <w:trPr/>
        <w:tc>
          <w:tcPr>
            <w:tcW w:w="67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ind w:left="0" w:right="0" w:hanging="0"/>
              <w:jc w:val="left"/>
              <w:rPr>
                <w:sz w:val="4"/>
                <w:szCs w:val="4"/>
              </w:rPr>
            </w:pPr>
            <w:r>
              <w:rPr>
                <w:sz w:val="4"/>
                <w:szCs w:val="4"/>
              </w:rPr>
            </w:r>
          </w:p>
        </w:tc>
      </w:tr>
      <w:tr>
        <w:trPr/>
        <w:tc>
          <w:tcPr>
            <w:tcW w:w="6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69740" cy="175260"/>
                      <wp:effectExtent l="0" t="0" r="0" b="0"/>
                      <wp:wrapNone/>
                      <wp:docPr id="112" name="Frame111"/>
                      <a:graphic xmlns:a="http://schemas.openxmlformats.org/drawingml/2006/main">
                        <a:graphicData uri="http://schemas.microsoft.com/office/word/2010/wordprocessingShape">
                          <wps:wsp>
                            <wps:cNvSpPr txBox="1"/>
                            <wps:spPr>
                              <a:xfrm>
                                <a:off x="0" y="0"/>
                                <a:ext cx="426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3"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4"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91185" cy="175260"/>
                      <wp:effectExtent l="0" t="0" r="0" b="0"/>
                      <wp:wrapNone/>
                      <wp:docPr id="115" name="Frame1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6"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7"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57860" cy="175260"/>
                      <wp:effectExtent l="0" t="0" r="0" b="0"/>
                      <wp:wrapNone/>
                      <wp:docPr id="118" name="Frame1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Three Months Ended March 31,</w:t>
            </w:r>
          </w:p>
        </w:tc>
      </w:tr>
      <w:tr>
        <w:trPr/>
        <w:tc>
          <w:tcPr>
            <w:tcW w:w="672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2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w:t>
            </w:r>
          </w:p>
        </w:tc>
        <w:tc>
          <w:tcPr>
            <w:tcW w:w="93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w:t>
            </w:r>
          </w:p>
        </w:tc>
        <w:tc>
          <w:tcPr>
            <w:tcW w:w="1036"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w:t>
            </w:r>
          </w:p>
        </w:tc>
      </w:tr>
      <w:tr>
        <w:trPr/>
        <w:tc>
          <w:tcPr>
            <w:tcW w:w="672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net (includes $0 and $24 of related party research and development reimbursement, net, during the three months ended March 31, 2026, and 2025, respectively)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(6,754)</w:t>
            </w:r>
          </w:p>
        </w:tc>
      </w:tr>
      <w:tr>
        <w:trPr/>
        <w:tc>
          <w:tcPr>
            <w:tcW w:w="672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(includes $88 and $44 of related party expenses, during the three months ended March 31, 2026, and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(6,368)</w:t>
            </w:r>
          </w:p>
        </w:tc>
      </w:tr>
      <w:tr>
        <w:trPr/>
        <w:tc>
          <w:tcPr>
            <w:tcW w:w="672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931"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(6,491)</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1036"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(13,122)</w:t>
            </w:r>
          </w:p>
        </w:tc>
      </w:tr>
      <w:tr>
        <w:trPr/>
        <w:tc>
          <w:tcPr>
            <w:tcW w:w="672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672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costs related to issuance of convertible promissory notes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672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convertible promissory notes – related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672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convertible promissory notes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672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 (includes related party loss of $33 and $0 during the three months ended March 31, 2026, and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672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6724"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(expenses)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93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103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252</w:t>
            </w:r>
          </w:p>
        </w:tc>
      </w:tr>
      <w:tr>
        <w:trPr/>
        <w:tc>
          <w:tcPr>
            <w:tcW w:w="672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before 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931"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(8,575)</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1036"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(12,870)</w:t>
            </w:r>
          </w:p>
        </w:tc>
      </w:tr>
      <w:tr>
        <w:trPr/>
        <w:tc>
          <w:tcPr>
            <w:tcW w:w="672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724"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(8,575)</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(12,870)</w:t>
            </w:r>
          </w:p>
        </w:tc>
      </w:tr>
      <w:tr>
        <w:trPr/>
        <w:tc>
          <w:tcPr>
            <w:tcW w:w="672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 - basic and diluted (Note 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(12,870)</w:t>
            </w:r>
          </w:p>
        </w:tc>
      </w:tr>
      <w:tr>
        <w:trPr/>
        <w:tc>
          <w:tcPr>
            <w:tcW w:w="672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 basic and diluted (Note 12)</w:t>
            </w:r>
          </w:p>
        </w:tc>
        <w:tc>
          <w:tcPr>
            <w:tcW w:w="346" w:type="dxa"/>
            <w:tcBorders/>
            <w:vAlign w:val="center"/>
          </w:tcPr>
          <w:p>
            <w:pPr>
              <w:pStyle w:val="TableContents"/>
              <w:bidi w:val="0"/>
              <w:spacing w:before="0" w:after="1"/>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top w:val="double" w:sz="6"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w:t>
            </w:r>
          </w:p>
        </w:tc>
        <w:tc>
          <w:tcPr>
            <w:tcW w:w="346" w:type="dxa"/>
            <w:tcBorders/>
            <w:vAlign w:val="center"/>
          </w:tcPr>
          <w:p>
            <w:pPr>
              <w:pStyle w:val="TableContents"/>
              <w:bidi w:val="0"/>
              <w:spacing w:before="0" w:after="1"/>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top w:val="double" w:sz="6"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(2.57)</w:t>
            </w:r>
          </w:p>
        </w:tc>
      </w:tr>
      <w:tr>
        <w:trPr/>
        <w:tc>
          <w:tcPr>
            <w:tcW w:w="672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stock outstanding - basic and diluted (Note 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93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5,056,994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103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5,016,149</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1" w:name="_ea0de89b_e803_49e6_9f0c_0ac9efea90eb"/>
      <w:bookmarkEnd w:id="41"/>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bookmarkStart w:id="42" w:name="CondensedConsolidatedStatementsofCompreh"/>
      <w:bookmarkEnd w:id="42"/>
      <w:r>
        <w:rPr>
          <w:rFonts w:ascii="Times New Roman;Times;serif" w:hAnsi="Times New Roman;Times;serif"/>
          <w:b/>
          <w:sz w:val="20"/>
        </w:rPr>
        <w:t>CONDENSED CONSOLIDATED STATEMENTS OF COMPREHENSIVE LOSS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6827" w:type="dxa"/>
        <w:jc w:val="left"/>
        <w:tblInd w:w="200" w:type="dxa"/>
        <w:tblLayout w:type="fixed"/>
        <w:tblCellMar>
          <w:top w:w="0" w:type="dxa"/>
          <w:left w:w="0" w:type="dxa"/>
          <w:bottom w:w="0" w:type="dxa"/>
          <w:right w:w="0" w:type="dxa"/>
        </w:tblCellMar>
      </w:tblPr>
      <w:tblGrid>
        <w:gridCol w:w="4036"/>
        <w:gridCol w:w="346"/>
        <w:gridCol w:w="236"/>
        <w:gridCol w:w="707"/>
        <w:gridCol w:w="388"/>
        <w:gridCol w:w="236"/>
        <w:gridCol w:w="878"/>
      </w:tblGrid>
      <w:tr>
        <w:trPr/>
        <w:tc>
          <w:tcPr>
            <w:tcW w:w="4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ind w:left="0" w:right="0" w:hanging="0"/>
              <w:jc w:val="left"/>
              <w:rPr>
                <w:sz w:val="4"/>
                <w:szCs w:val="4"/>
              </w:rPr>
            </w:pPr>
            <w:r>
              <w:rPr>
                <w:sz w:val="4"/>
                <w:szCs w:val="4"/>
              </w:rPr>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9860" cy="175260"/>
                      <wp:effectExtent l="0" t="0" r="0" b="0"/>
                      <wp:wrapNone/>
                      <wp:docPr id="120" name="Frame11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48945" cy="175260"/>
                      <wp:effectExtent l="0" t="0" r="0" b="0"/>
                      <wp:wrapNone/>
                      <wp:docPr id="121" name="Frame120"/>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46380" cy="175260"/>
                      <wp:effectExtent l="0" t="0" r="0" b="0"/>
                      <wp:wrapNone/>
                      <wp:docPr id="122" name="Frame121"/>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9860" cy="175260"/>
                      <wp:effectExtent l="0" t="0" r="0" b="0"/>
                      <wp:wrapNone/>
                      <wp:docPr id="123" name="Frame122"/>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57530" cy="175260"/>
                      <wp:effectExtent l="0" t="0" r="0" b="0"/>
                      <wp:wrapNone/>
                      <wp:docPr id="124" name="Frame123"/>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8" w:type="dxa"/>
            <w:tcBorders/>
            <w:vAlign w:val="center"/>
          </w:tcPr>
          <w:p>
            <w:pPr>
              <w:pStyle w:val="TableContents"/>
              <w:bidi w:val="0"/>
              <w:spacing w:before="0" w:after="1"/>
              <w:ind w:left="0" w:right="0" w:hanging="0"/>
              <w:jc w:val="left"/>
              <w:rPr/>
            </w:pPr>
            <w:r>
              <w:rPr/>
              <w:t>  ​ ​ ​</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(8,575)</w:t>
            </w:r>
          </w:p>
        </w:tc>
        <w:tc>
          <w:tcPr>
            <w:tcW w:w="388"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(12,870)</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88"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pPr>
            <w:r>
              <w:rPr/>
              <w:t>  ​</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88"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 of tax</w:t>
            </w:r>
          </w:p>
        </w:tc>
        <w:tc>
          <w:tcPr>
            <w:tcW w:w="346" w:type="dxa"/>
            <w:tcBorders/>
            <w:vAlign w:val="center"/>
          </w:tcPr>
          <w:p>
            <w:pPr>
              <w:pStyle w:val="TableContents"/>
              <w:bidi w:val="0"/>
              <w:spacing w:before="0" w:after="1"/>
              <w:ind w:left="0" w:right="0" w:hanging="0"/>
              <w:jc w:val="left"/>
              <w:rPr/>
            </w:pPr>
            <w:r>
              <w:rPr/>
              <w:t>​</w:t>
            </w:r>
          </w:p>
        </w:tc>
        <w:tc>
          <w:tcPr>
            <w:tcW w:w="23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07"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(298)</w:t>
            </w:r>
          </w:p>
        </w:tc>
        <w:tc>
          <w:tcPr>
            <w:tcW w:w="388" w:type="dxa"/>
            <w:tcBorders/>
            <w:vAlign w:val="center"/>
          </w:tcPr>
          <w:p>
            <w:pPr>
              <w:pStyle w:val="TableContents"/>
              <w:bidi w:val="0"/>
              <w:spacing w:before="0" w:after="1"/>
              <w:ind w:left="0" w:right="0" w:hanging="0"/>
              <w:jc w:val="left"/>
              <w:rPr/>
            </w:pPr>
            <w:r>
              <w:rPr/>
              <w:t>​</w:t>
            </w:r>
          </w:p>
        </w:tc>
        <w:tc>
          <w:tcPr>
            <w:tcW w:w="23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8"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0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(8,873)</w:t>
            </w:r>
          </w:p>
        </w:tc>
        <w:tc>
          <w:tcPr>
            <w:tcW w:w="388" w:type="dxa"/>
            <w:tcBorders/>
            <w:shd w:fill="CCEEFF" w:val="clear"/>
            <w:vAlign w:val="center"/>
          </w:tcPr>
          <w:p>
            <w:pPr>
              <w:pStyle w:val="TableContents"/>
              <w:bidi w:val="0"/>
              <w:spacing w:before="0" w:after="1"/>
              <w:ind w:left="0" w:right="0" w:hanging="0"/>
              <w:jc w:val="left"/>
              <w:rPr/>
            </w:pPr>
            <w:r>
              <w:rPr/>
              <w:t>​</w:t>
            </w:r>
          </w:p>
        </w:tc>
        <w:tc>
          <w:tcPr>
            <w:tcW w:w="23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(12,862)</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 attributable to stockholders</w:t>
            </w:r>
          </w:p>
        </w:tc>
        <w:tc>
          <w:tcPr>
            <w:tcW w:w="346" w:type="dxa"/>
            <w:tcBorders/>
            <w:vAlign w:val="center"/>
          </w:tcPr>
          <w:p>
            <w:pPr>
              <w:pStyle w:val="TableContents"/>
              <w:bidi w:val="0"/>
              <w:spacing w:before="0" w:after="1"/>
              <w:ind w:left="0" w:right="0" w:hanging="0"/>
              <w:jc w:val="left"/>
              <w:rPr/>
            </w:pPr>
            <w:r>
              <w:rPr/>
              <w:t>​</w:t>
            </w:r>
          </w:p>
        </w:tc>
        <w:tc>
          <w:tcPr>
            <w:tcW w:w="23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07"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(8,873)</w:t>
            </w:r>
          </w:p>
        </w:tc>
        <w:tc>
          <w:tcPr>
            <w:tcW w:w="388" w:type="dxa"/>
            <w:tcBorders/>
            <w:vAlign w:val="center"/>
          </w:tcPr>
          <w:p>
            <w:pPr>
              <w:pStyle w:val="TableContents"/>
              <w:bidi w:val="0"/>
              <w:spacing w:before="0" w:after="1"/>
              <w:ind w:left="0" w:right="0" w:hanging="0"/>
              <w:jc w:val="left"/>
              <w:rPr/>
            </w:pPr>
            <w:r>
              <w:rPr/>
              <w:t>​</w:t>
            </w:r>
          </w:p>
        </w:tc>
        <w:tc>
          <w:tcPr>
            <w:tcW w:w="23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8"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(12,862)</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bookmarkStart w:id="43" w:name="CondensedConsolidatedStatementsofRedeema"/>
      <w:bookmarkEnd w:id="43"/>
      <w:r>
        <w:rPr>
          <w:rFonts w:ascii="Times New Roman;Times;serif" w:hAnsi="Times New Roman;Times;serif"/>
          <w:b/>
          <w:sz w:val="20"/>
        </w:rPr>
        <w:t>CONDENSED CONSOLIDATED STATEMENTS OF REDEEMABLE CONVERTIBLE PREFERRED STOCK AND STOCKHOLDERS’ DEFICIT (UNAUDITED)</w:t>
      </w:r>
    </w:p>
    <w:p>
      <w:pPr>
        <w:pStyle w:val="TextBody"/>
        <w:bidi w:val="0"/>
        <w:spacing w:before="0" w:after="240"/>
        <w:ind w:left="200" w:right="200" w:hanging="0"/>
        <w:jc w:val="center"/>
        <w:rPr>
          <w:rFonts w:ascii="Times New Roman;Times;serif" w:hAnsi="Times New Roman;Times;serif"/>
          <w:b/>
          <w:i/>
          <w:sz w:val="20"/>
        </w:rPr>
      </w:pPr>
      <w:r>
        <w:rPr>
          <w:rFonts w:ascii="Times New Roman;Times;serif" w:hAnsi="Times New Roman;Times;serif"/>
          <w:b/>
          <w:i/>
          <w:sz w:val="20"/>
        </w:rPr>
        <w:t>(In thousands, except share data)</w:t>
      </w:r>
    </w:p>
    <w:tbl>
      <w:tblPr>
        <w:tblW w:w="14390" w:type="dxa"/>
        <w:jc w:val="left"/>
        <w:tblInd w:w="200" w:type="dxa"/>
        <w:tblLayout w:type="fixed"/>
        <w:tblCellMar>
          <w:top w:w="0" w:type="dxa"/>
          <w:left w:w="0" w:type="dxa"/>
          <w:bottom w:w="0" w:type="dxa"/>
          <w:right w:w="0" w:type="dxa"/>
        </w:tblCellMar>
      </w:tblPr>
      <w:tblGrid>
        <w:gridCol w:w="1081"/>
        <w:gridCol w:w="346"/>
        <w:gridCol w:w="916"/>
        <w:gridCol w:w="346"/>
        <w:gridCol w:w="196"/>
        <w:gridCol w:w="691"/>
        <w:gridCol w:w="346"/>
        <w:gridCol w:w="826"/>
        <w:gridCol w:w="346"/>
        <w:gridCol w:w="309"/>
        <w:gridCol w:w="547"/>
        <w:gridCol w:w="346"/>
        <w:gridCol w:w="287"/>
        <w:gridCol w:w="884"/>
        <w:gridCol w:w="346"/>
        <w:gridCol w:w="326"/>
        <w:gridCol w:w="1085"/>
        <w:gridCol w:w="346"/>
        <w:gridCol w:w="488"/>
        <w:gridCol w:w="1088"/>
        <w:gridCol w:w="346"/>
        <w:gridCol w:w="363"/>
        <w:gridCol w:w="643"/>
        <w:gridCol w:w="346"/>
        <w:gridCol w:w="305"/>
        <w:gridCol w:w="1241"/>
      </w:tblGrid>
      <w:tr>
        <w:trPr/>
        <w:tc>
          <w:tcPr>
            <w:tcW w:w="10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81660" cy="175260"/>
                      <wp:effectExtent l="0" t="0" r="0" b="0"/>
                      <wp:wrapNone/>
                      <wp:docPr id="126" name="Frame1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24460" cy="175260"/>
                      <wp:effectExtent l="0" t="0" r="0" b="0"/>
                      <wp:wrapNone/>
                      <wp:docPr id="128" name="Frame1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38785" cy="175260"/>
                      <wp:effectExtent l="0" t="0" r="0" b="0"/>
                      <wp:wrapNone/>
                      <wp:docPr id="129" name="Frame1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0"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24510" cy="175260"/>
                      <wp:effectExtent l="0" t="0" r="0" b="0"/>
                      <wp:wrapNone/>
                      <wp:docPr id="131" name="Frame1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2"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96215" cy="175260"/>
                      <wp:effectExtent l="0" t="0" r="0" b="0"/>
                      <wp:wrapNone/>
                      <wp:docPr id="133" name="Frame132"/>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47345" cy="175260"/>
                      <wp:effectExtent l="0" t="0" r="0" b="0"/>
                      <wp:wrapNone/>
                      <wp:docPr id="134" name="Frame133"/>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5"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82245" cy="175260"/>
                      <wp:effectExtent l="0" t="0" r="0" b="0"/>
                      <wp:wrapNone/>
                      <wp:docPr id="136" name="Frame135"/>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61340" cy="175260"/>
                      <wp:effectExtent l="0" t="0" r="0" b="0"/>
                      <wp:wrapNone/>
                      <wp:docPr id="137" name="Frame136"/>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8"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88975" cy="175260"/>
                      <wp:effectExtent l="0" t="0" r="0" b="0"/>
                      <wp:wrapNone/>
                      <wp:docPr id="140" name="Frame139"/>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1"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09880" cy="175260"/>
                      <wp:effectExtent l="0" t="0" r="0" b="0"/>
                      <wp:wrapNone/>
                      <wp:docPr id="142" name="Frame141"/>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0880" cy="175260"/>
                      <wp:effectExtent l="0" t="0" r="0" b="0"/>
                      <wp:wrapNone/>
                      <wp:docPr id="143" name="Frame142"/>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4"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0505" cy="175260"/>
                      <wp:effectExtent l="0" t="0" r="0" b="0"/>
                      <wp:wrapNone/>
                      <wp:docPr id="145" name="Frame14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08305" cy="175260"/>
                      <wp:effectExtent l="0" t="0" r="0" b="0"/>
                      <wp:wrapNone/>
                      <wp:docPr id="146" name="Frame145"/>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93675" cy="175260"/>
                      <wp:effectExtent l="0" t="0" r="0" b="0"/>
                      <wp:wrapNone/>
                      <wp:docPr id="148" name="Frame14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88035" cy="175260"/>
                      <wp:effectExtent l="0" t="0" r="0" b="0"/>
                      <wp:wrapNone/>
                      <wp:docPr id="149" name="Frame148"/>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49"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REDEEMABLE</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  ​ ​ ​</w:t>
            </w:r>
          </w:p>
        </w:tc>
        <w:tc>
          <w:tcPr>
            <w:tcW w:w="82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 ​ ​</w:t>
            </w:r>
          </w:p>
        </w:tc>
        <w:tc>
          <w:tcPr>
            <w:tcW w:w="309"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87"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26" w:type="dxa"/>
            <w:tcBorders/>
            <w:vAlign w:val="center"/>
          </w:tcPr>
          <w:p>
            <w:pPr>
              <w:pStyle w:val="TableContents"/>
              <w:bidi w:val="0"/>
              <w:spacing w:before="0" w:after="1"/>
              <w:ind w:left="0" w:right="0" w:hanging="0"/>
              <w:jc w:val="left"/>
              <w:rPr/>
            </w:pPr>
            <w:r>
              <w:rPr/>
              <w:t>​</w:t>
            </w:r>
          </w:p>
        </w:tc>
        <w:tc>
          <w:tcPr>
            <w:tcW w:w="10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488" w:type="dxa"/>
            <w:tcBorders/>
            <w:vAlign w:val="center"/>
          </w:tcPr>
          <w:p>
            <w:pPr>
              <w:pStyle w:val="TableContents"/>
              <w:bidi w:val="0"/>
              <w:spacing w:before="0" w:after="1"/>
              <w:ind w:left="0" w:right="0" w:hanging="0"/>
              <w:jc w:val="left"/>
              <w:rPr/>
            </w:pPr>
            <w:r>
              <w:rPr/>
              <w:t>​</w:t>
            </w:r>
          </w:p>
        </w:tc>
        <w:tc>
          <w:tcPr>
            <w:tcW w:w="108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63"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05" w:type="dxa"/>
            <w:tcBorders/>
            <w:vAlign w:val="center"/>
          </w:tcPr>
          <w:p>
            <w:pPr>
              <w:pStyle w:val="TableContents"/>
              <w:bidi w:val="0"/>
              <w:spacing w:before="0" w:after="1"/>
              <w:ind w:left="0" w:right="0" w:hanging="0"/>
              <w:jc w:val="left"/>
              <w:rPr/>
            </w:pPr>
            <w:r>
              <w:rPr/>
              <w:t>​</w:t>
            </w:r>
          </w:p>
        </w:tc>
        <w:tc>
          <w:tcPr>
            <w:tcW w:w="124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24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46" w:type="dxa"/>
            <w:tcBorders/>
            <w:vAlign w:val="center"/>
          </w:tcPr>
          <w:p>
            <w:pPr>
              <w:pStyle w:val="TableContents"/>
              <w:bidi w:val="0"/>
              <w:spacing w:before="0" w:after="1"/>
              <w:ind w:left="0" w:right="0" w:hanging="0"/>
              <w:jc w:val="left"/>
              <w:rPr/>
            </w:pPr>
            <w:r>
              <w:rPr/>
              <w:t>​</w:t>
            </w:r>
          </w:p>
        </w:tc>
        <w:tc>
          <w:tcPr>
            <w:tcW w:w="2028"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$0.0001 PAR VALUE</w:t>
            </w:r>
          </w:p>
        </w:tc>
        <w:tc>
          <w:tcPr>
            <w:tcW w:w="346" w:type="dxa"/>
            <w:tcBorders/>
            <w:vAlign w:val="center"/>
          </w:tcPr>
          <w:p>
            <w:pPr>
              <w:pStyle w:val="TableContents"/>
              <w:bidi w:val="0"/>
              <w:spacing w:before="0" w:after="1"/>
              <w:ind w:left="0" w:right="0" w:hanging="0"/>
              <w:jc w:val="left"/>
              <w:rPr/>
            </w:pPr>
            <w:r>
              <w:rPr/>
              <w:t>​</w:t>
            </w:r>
          </w:p>
        </w:tc>
        <w:tc>
          <w:tcPr>
            <w:tcW w:w="202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$0.0001 PAR VALUE</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4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081"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Three Months Ended March 31, 2026</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2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85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COST</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081" w:type="dxa"/>
            <w:tcBorders>
              <w:top w:val="single" w:sz="2" w:space="0" w:color="000000"/>
            </w:tcBorders>
            <w:shd w:fill="CCEEFF" w:val="clear"/>
            <w:tcMar>
              <w:top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18,349,937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249,652</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5,039,438</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47"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4"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34,661</w:t>
            </w:r>
          </w:p>
        </w:tc>
        <w:tc>
          <w:tcPr>
            <w:tcW w:w="346" w:type="dxa"/>
            <w:tcBorders/>
            <w:shd w:fill="CCEEFF" w:val="clear"/>
            <w:vAlign w:val="center"/>
          </w:tcPr>
          <w:p>
            <w:pPr>
              <w:pStyle w:val="TableContents"/>
              <w:bidi w:val="0"/>
              <w:spacing w:before="0" w:after="1"/>
              <w:ind w:left="0" w:right="0" w:hanging="0"/>
              <w:jc w:val="left"/>
              <w:rPr/>
            </w:pPr>
            <w:r>
              <w:rPr/>
              <w:t>​</w:t>
            </w:r>
          </w:p>
        </w:tc>
        <w:tc>
          <w:tcPr>
            <w:tcW w:w="326"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85"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(255,576)</w:t>
            </w:r>
          </w:p>
        </w:tc>
        <w:tc>
          <w:tcPr>
            <w:tcW w:w="346" w:type="dxa"/>
            <w:tcBorders/>
            <w:shd w:fill="CCEEFF" w:val="clear"/>
            <w:vAlign w:val="center"/>
          </w:tcPr>
          <w:p>
            <w:pPr>
              <w:pStyle w:val="TableContents"/>
              <w:bidi w:val="0"/>
              <w:spacing w:before="0" w:after="1"/>
              <w:ind w:left="0" w:right="0" w:hanging="0"/>
              <w:jc w:val="left"/>
              <w:rPr/>
            </w:pPr>
            <w:r>
              <w:rPr/>
              <w:t>​</w:t>
            </w:r>
          </w:p>
        </w:tc>
        <w:tc>
          <w:tcPr>
            <w:tcW w:w="488"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88"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(445)</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43"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24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(221,394)</w:t>
            </w:r>
          </w:p>
        </w:tc>
      </w:tr>
      <w:tr>
        <w:trPr/>
        <w:tc>
          <w:tcPr>
            <w:tcW w:w="108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from stock option exercises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29,252</w:t>
            </w:r>
          </w:p>
        </w:tc>
        <w:tc>
          <w:tcPr>
            <w:tcW w:w="3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left"/>
              <w:rPr/>
            </w:pPr>
            <w:r>
              <w:rPr/>
              <w:t> </w:t>
            </w:r>
          </w:p>
        </w:tc>
        <w:tc>
          <w:tcPr>
            <w:tcW w:w="108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6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w:t>
            </w:r>
          </w:p>
        </w:tc>
      </w:tr>
      <w:tr>
        <w:trPr/>
        <w:tc>
          <w:tcPr>
            <w:tcW w:w="10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 </w:t>
            </w:r>
          </w:p>
        </w:tc>
        <w:tc>
          <w:tcPr>
            <w:tcW w:w="5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1,534</w:t>
            </w:r>
          </w:p>
        </w:tc>
        <w:tc>
          <w:tcPr>
            <w:tcW w:w="3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left"/>
              <w:rPr/>
            </w:pPr>
            <w:r>
              <w:rPr/>
              <w:t> </w:t>
            </w:r>
          </w:p>
        </w:tc>
        <w:tc>
          <w:tcPr>
            <w:tcW w:w="10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6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1,534</w:t>
            </w:r>
          </w:p>
        </w:tc>
      </w:tr>
      <w:tr>
        <w:trPr/>
        <w:tc>
          <w:tcPr>
            <w:tcW w:w="108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left"/>
              <w:rPr/>
            </w:pPr>
            <w:r>
              <w:rPr/>
              <w:t> </w:t>
            </w:r>
          </w:p>
        </w:tc>
        <w:tc>
          <w:tcPr>
            <w:tcW w:w="10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6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w:t>
            </w:r>
          </w:p>
        </w:tc>
      </w:tr>
      <w:tr>
        <w:trPr/>
        <w:tc>
          <w:tcPr>
            <w:tcW w:w="10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(8,575)</w:t>
            </w:r>
          </w:p>
        </w:tc>
        <w:tc>
          <w:tcPr>
            <w:tcW w:w="346" w:type="dxa"/>
            <w:tcBorders/>
            <w:shd w:fill="CCEEFF" w:val="clear"/>
            <w:vAlign w:val="center"/>
          </w:tcPr>
          <w:p>
            <w:pPr>
              <w:pStyle w:val="TableContents"/>
              <w:bidi w:val="0"/>
              <w:spacing w:before="0" w:after="1"/>
              <w:ind w:left="0" w:right="0" w:hanging="0"/>
              <w:jc w:val="left"/>
              <w:rPr/>
            </w:pPr>
            <w:r>
              <w:rPr/>
              <w:t>​</w:t>
            </w:r>
          </w:p>
        </w:tc>
        <w:tc>
          <w:tcPr>
            <w:tcW w:w="48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(8,575)</w:t>
            </w:r>
          </w:p>
        </w:tc>
      </w:tr>
      <w:tr>
        <w:trPr/>
        <w:tc>
          <w:tcPr>
            <w:tcW w:w="108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b/>
                <w:sz w:val="16"/>
              </w:rPr>
              <w:t>Balance as of</w:t>
            </w:r>
            <w:r>
              <w:rPr>
                <w:rFonts w:ascii="Times New Roman;Times;serif" w:hAnsi="Times New Roman;Times;serif"/>
                <w:sz w:val="16"/>
              </w:rPr>
              <w:t xml:space="preserve"> </w:t>
            </w: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w:t>
            </w:r>
          </w:p>
        </w:tc>
        <w:tc>
          <w:tcPr>
            <w:tcW w:w="91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18,349,937</w:t>
            </w:r>
          </w:p>
        </w:tc>
        <w:tc>
          <w:tcPr>
            <w:tcW w:w="346" w:type="dxa"/>
            <w:tcBorders/>
            <w:vAlign w:val="center"/>
          </w:tcPr>
          <w:p>
            <w:pPr>
              <w:pStyle w:val="TableContents"/>
              <w:bidi w:val="0"/>
              <w:spacing w:before="0" w:after="1"/>
              <w:ind w:left="0" w:right="0" w:hanging="0"/>
              <w:jc w:val="left"/>
              <w:rPr/>
            </w:pPr>
            <w:r>
              <w:rPr/>
              <w:t>​</w:t>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249,652</w:t>
            </w:r>
          </w:p>
        </w:tc>
        <w:tc>
          <w:tcPr>
            <w:tcW w:w="346" w:type="dxa"/>
            <w:tcBorders/>
            <w:vAlign w:val="center"/>
          </w:tcPr>
          <w:p>
            <w:pPr>
              <w:pStyle w:val="TableContents"/>
              <w:bidi w:val="0"/>
              <w:spacing w:before="0" w:after="1"/>
              <w:ind w:left="0" w:right="0" w:hanging="0"/>
              <w:jc w:val="left"/>
              <w:rPr/>
            </w:pPr>
            <w:r>
              <w:rPr/>
              <w:t> </w:t>
            </w:r>
          </w:p>
        </w:tc>
        <w:tc>
          <w:tcPr>
            <w:tcW w:w="82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5,068,690</w:t>
            </w:r>
          </w:p>
        </w:tc>
        <w:tc>
          <w:tcPr>
            <w:tcW w:w="346" w:type="dxa"/>
            <w:tcBorders/>
            <w:vAlign w:val="center"/>
          </w:tcPr>
          <w:p>
            <w:pPr>
              <w:pStyle w:val="TableContents"/>
              <w:bidi w:val="0"/>
              <w:spacing w:before="0" w:after="1"/>
              <w:ind w:left="0" w:right="0" w:hanging="0"/>
              <w:jc w:val="left"/>
              <w:rPr/>
            </w:pPr>
            <w:r>
              <w:rPr/>
              <w:t>​</w:t>
            </w:r>
          </w:p>
        </w:tc>
        <w:tc>
          <w:tcPr>
            <w:tcW w:w="30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47"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4"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36,285</w:t>
            </w:r>
          </w:p>
        </w:tc>
        <w:tc>
          <w:tcPr>
            <w:tcW w:w="346" w:type="dxa"/>
            <w:tcBorders/>
            <w:vAlign w:val="center"/>
          </w:tcPr>
          <w:p>
            <w:pPr>
              <w:pStyle w:val="TableContents"/>
              <w:bidi w:val="0"/>
              <w:spacing w:before="0" w:after="1"/>
              <w:ind w:left="0" w:right="0" w:hanging="0"/>
              <w:jc w:val="left"/>
              <w:rPr/>
            </w:pPr>
            <w:r>
              <w:rPr/>
              <w:t>​</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85"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(264,151)</w:t>
            </w:r>
          </w:p>
        </w:tc>
        <w:tc>
          <w:tcPr>
            <w:tcW w:w="346" w:type="dxa"/>
            <w:tcBorders/>
            <w:vAlign w:val="center"/>
          </w:tcPr>
          <w:p>
            <w:pPr>
              <w:pStyle w:val="TableContents"/>
              <w:bidi w:val="0"/>
              <w:spacing w:before="0" w:after="1"/>
              <w:ind w:left="0" w:right="0" w:hanging="0"/>
              <w:jc w:val="left"/>
              <w:rPr/>
            </w:pPr>
            <w:r>
              <w:rPr/>
              <w:t>​</w:t>
            </w:r>
          </w:p>
        </w:tc>
        <w:tc>
          <w:tcPr>
            <w:tcW w:w="488"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88"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(743)</w:t>
            </w:r>
          </w:p>
        </w:tc>
        <w:tc>
          <w:tcPr>
            <w:tcW w:w="346" w:type="dxa"/>
            <w:tcBorders/>
            <w:vAlign w:val="center"/>
          </w:tcPr>
          <w:p>
            <w:pPr>
              <w:pStyle w:val="TableContents"/>
              <w:bidi w:val="0"/>
              <w:spacing w:before="0" w:after="1"/>
              <w:ind w:left="0" w:right="0" w:hanging="0"/>
              <w:jc w:val="left"/>
              <w:rPr/>
            </w:pPr>
            <w:r>
              <w:rPr/>
              <w:t>​</w:t>
            </w:r>
          </w:p>
        </w:tc>
        <w:tc>
          <w:tcPr>
            <w:tcW w:w="363"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43"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w:t>
            </w:r>
          </w:p>
        </w:tc>
        <w:tc>
          <w:tcPr>
            <w:tcW w:w="346" w:type="dxa"/>
            <w:tcBorders/>
            <w:vAlign w:val="center"/>
          </w:tcPr>
          <w:p>
            <w:pPr>
              <w:pStyle w:val="TableContents"/>
              <w:bidi w:val="0"/>
              <w:spacing w:before="0" w:after="1"/>
              <w:ind w:left="0" w:right="0" w:hanging="0"/>
              <w:jc w:val="left"/>
              <w:rPr/>
            </w:pPr>
            <w:r>
              <w:rPr/>
              <w:t>​</w:t>
            </w:r>
          </w:p>
        </w:tc>
        <w:tc>
          <w:tcPr>
            <w:tcW w:w="305"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24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(228,643)</w:t>
            </w:r>
          </w:p>
        </w:tc>
      </w:tr>
    </w:tbl>
    <w:p>
      <w:pPr>
        <w:pStyle w:val="TextBody"/>
        <w:bidi w:val="0"/>
        <w:spacing w:before="0" w:after="240"/>
        <w:ind w:left="200" w:right="200" w:hanging="0"/>
        <w:jc w:val="center"/>
        <w:rPr/>
      </w:pPr>
      <w:r>
        <w:rPr/>
        <w:t>​</w:t>
      </w:r>
    </w:p>
    <w:tbl>
      <w:tblPr>
        <w:tblW w:w="14390" w:type="dxa"/>
        <w:jc w:val="left"/>
        <w:tblInd w:w="200" w:type="dxa"/>
        <w:tblLayout w:type="fixed"/>
        <w:tblCellMar>
          <w:top w:w="0" w:type="dxa"/>
          <w:left w:w="0" w:type="dxa"/>
          <w:bottom w:w="0" w:type="dxa"/>
          <w:right w:w="0" w:type="dxa"/>
        </w:tblCellMar>
      </w:tblPr>
      <w:tblGrid>
        <w:gridCol w:w="1081"/>
        <w:gridCol w:w="346"/>
        <w:gridCol w:w="916"/>
        <w:gridCol w:w="346"/>
        <w:gridCol w:w="196"/>
        <w:gridCol w:w="691"/>
        <w:gridCol w:w="346"/>
        <w:gridCol w:w="826"/>
        <w:gridCol w:w="346"/>
        <w:gridCol w:w="309"/>
        <w:gridCol w:w="547"/>
        <w:gridCol w:w="346"/>
        <w:gridCol w:w="287"/>
        <w:gridCol w:w="884"/>
        <w:gridCol w:w="346"/>
        <w:gridCol w:w="292"/>
        <w:gridCol w:w="1119"/>
        <w:gridCol w:w="346"/>
        <w:gridCol w:w="569"/>
        <w:gridCol w:w="1007"/>
        <w:gridCol w:w="346"/>
        <w:gridCol w:w="363"/>
        <w:gridCol w:w="643"/>
        <w:gridCol w:w="346"/>
        <w:gridCol w:w="305"/>
        <w:gridCol w:w="1241"/>
      </w:tblGrid>
      <w:tr>
        <w:trPr/>
        <w:tc>
          <w:tcPr>
            <w:tcW w:w="10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0"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81660" cy="175260"/>
                      <wp:effectExtent l="0" t="0" r="0" b="0"/>
                      <wp:wrapNone/>
                      <wp:docPr id="151" name="Frame15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2"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4460" cy="175260"/>
                      <wp:effectExtent l="0" t="0" r="0" b="0"/>
                      <wp:wrapNone/>
                      <wp:docPr id="153" name="Frame1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8785" cy="175260"/>
                      <wp:effectExtent l="0" t="0" r="0" b="0"/>
                      <wp:wrapNone/>
                      <wp:docPr id="154" name="Frame1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5"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24510" cy="175260"/>
                      <wp:effectExtent l="0" t="0" r="0" b="0"/>
                      <wp:wrapNone/>
                      <wp:docPr id="156" name="Frame1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96215" cy="175260"/>
                      <wp:effectExtent l="0" t="0" r="0" b="0"/>
                      <wp:wrapNone/>
                      <wp:docPr id="158" name="Frame157"/>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47345" cy="175260"/>
                      <wp:effectExtent l="0" t="0" r="0" b="0"/>
                      <wp:wrapNone/>
                      <wp:docPr id="159" name="Frame158"/>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0"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2245" cy="175260"/>
                      <wp:effectExtent l="0" t="0" r="0" b="0"/>
                      <wp:wrapNone/>
                      <wp:docPr id="161" name="Frame16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61340" cy="175260"/>
                      <wp:effectExtent l="0" t="0" r="0" b="0"/>
                      <wp:wrapNone/>
                      <wp:docPr id="162" name="Frame161"/>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3"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5420" cy="175260"/>
                      <wp:effectExtent l="0" t="0" r="0" b="0"/>
                      <wp:wrapNone/>
                      <wp:docPr id="164" name="Frame163"/>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10565" cy="175260"/>
                      <wp:effectExtent l="0" t="0" r="0" b="0"/>
                      <wp:wrapNone/>
                      <wp:docPr id="165" name="Frame164"/>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61315" cy="175260"/>
                      <wp:effectExtent l="0" t="0" r="0" b="0"/>
                      <wp:wrapNone/>
                      <wp:docPr id="167" name="Frame166"/>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39445" cy="175260"/>
                      <wp:effectExtent l="0" t="0" r="0" b="0"/>
                      <wp:wrapNone/>
                      <wp:docPr id="168" name="Frame167"/>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30505" cy="175260"/>
                      <wp:effectExtent l="0" t="0" r="0" b="0"/>
                      <wp:wrapNone/>
                      <wp:docPr id="170" name="Frame169"/>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08305" cy="175260"/>
                      <wp:effectExtent l="0" t="0" r="0" b="0"/>
                      <wp:wrapNone/>
                      <wp:docPr id="171" name="Frame170"/>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93675" cy="175260"/>
                      <wp:effectExtent l="0" t="0" r="0" b="0"/>
                      <wp:wrapNone/>
                      <wp:docPr id="173" name="Frame172"/>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88035" cy="175260"/>
                      <wp:effectExtent l="0" t="0" r="0" b="0"/>
                      <wp:wrapNone/>
                      <wp:docPr id="174" name="Frame173"/>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49"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REDEEMABLE</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  ​ ​ ​</w:t>
            </w:r>
          </w:p>
        </w:tc>
        <w:tc>
          <w:tcPr>
            <w:tcW w:w="82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 ​ ​</w:t>
            </w:r>
          </w:p>
        </w:tc>
        <w:tc>
          <w:tcPr>
            <w:tcW w:w="309"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87"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92"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569"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63"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05" w:type="dxa"/>
            <w:tcBorders/>
            <w:vAlign w:val="center"/>
          </w:tcPr>
          <w:p>
            <w:pPr>
              <w:pStyle w:val="TableContents"/>
              <w:bidi w:val="0"/>
              <w:spacing w:before="0" w:after="1"/>
              <w:ind w:left="0" w:right="0" w:hanging="0"/>
              <w:jc w:val="left"/>
              <w:rPr/>
            </w:pPr>
            <w:r>
              <w:rPr/>
              <w:t>​</w:t>
            </w:r>
          </w:p>
        </w:tc>
        <w:tc>
          <w:tcPr>
            <w:tcW w:w="124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64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24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46" w:type="dxa"/>
            <w:tcBorders/>
            <w:vAlign w:val="center"/>
          </w:tcPr>
          <w:p>
            <w:pPr>
              <w:pStyle w:val="TableContents"/>
              <w:bidi w:val="0"/>
              <w:spacing w:before="0" w:after="1"/>
              <w:ind w:left="0" w:right="0" w:hanging="0"/>
              <w:jc w:val="left"/>
              <w:rPr/>
            </w:pPr>
            <w:r>
              <w:rPr/>
              <w:t>​</w:t>
            </w:r>
          </w:p>
        </w:tc>
        <w:tc>
          <w:tcPr>
            <w:tcW w:w="2028"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$0.0001 PAR VALUE</w:t>
            </w:r>
          </w:p>
        </w:tc>
        <w:tc>
          <w:tcPr>
            <w:tcW w:w="346" w:type="dxa"/>
            <w:tcBorders/>
            <w:vAlign w:val="center"/>
          </w:tcPr>
          <w:p>
            <w:pPr>
              <w:pStyle w:val="TableContents"/>
              <w:bidi w:val="0"/>
              <w:spacing w:before="0" w:after="1"/>
              <w:ind w:left="0" w:right="0" w:hanging="0"/>
              <w:jc w:val="left"/>
              <w:rPr/>
            </w:pPr>
            <w:r>
              <w:rPr/>
              <w:t>​</w:t>
            </w:r>
          </w:p>
        </w:tc>
        <w:tc>
          <w:tcPr>
            <w:tcW w:w="202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$0.0001 PAR VALUE</w:t>
            </w:r>
          </w:p>
        </w:tc>
        <w:tc>
          <w:tcPr>
            <w:tcW w:w="346" w:type="dxa"/>
            <w:tcBorders/>
            <w:vAlign w:val="center"/>
          </w:tcPr>
          <w:p>
            <w:pPr>
              <w:pStyle w:val="TableContents"/>
              <w:bidi w:val="0"/>
              <w:spacing w:before="0" w:after="1"/>
              <w:ind w:left="0" w:right="0" w:hanging="0"/>
              <w:jc w:val="left"/>
              <w:rPr/>
            </w:pPr>
            <w:r>
              <w:rPr/>
              <w:t>​</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4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left"/>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081"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Three Months Ended March 31, 2025</w:t>
            </w:r>
          </w:p>
        </w:tc>
        <w:tc>
          <w:tcPr>
            <w:tcW w:w="346" w:type="dxa"/>
            <w:tcBorders/>
            <w:vAlign w:val="center"/>
          </w:tcPr>
          <w:p>
            <w:pPr>
              <w:pStyle w:val="TableContents"/>
              <w:bidi w:val="0"/>
              <w:spacing w:before="0" w:after="1"/>
              <w:ind w:left="0" w:right="0" w:hanging="0"/>
              <w:jc w:val="left"/>
              <w:rPr/>
            </w:pPr>
            <w:r>
              <w:rPr/>
              <w:t>​</w:t>
            </w:r>
          </w:p>
        </w:tc>
        <w:tc>
          <w:tcPr>
            <w:tcW w:w="91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88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2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c>
          <w:tcPr>
            <w:tcW w:w="85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4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COST</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081" w:type="dxa"/>
            <w:tcBorders>
              <w:top w:val="single" w:sz="2" w:space="0" w:color="000000"/>
            </w:tcBorders>
            <w:shd w:fill="CCEEFF" w:val="clear"/>
            <w:tcMar>
              <w:top w:w="28" w:type="dxa"/>
            </w:tcM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b/>
                <w:sz w:val="16"/>
              </w:rPr>
              <w:t>Balance as of</w:t>
            </w:r>
            <w:r>
              <w:rPr>
                <w:rFonts w:ascii="Times New Roman;Times;serif" w:hAnsi="Times New Roman;Times;serif"/>
                <w:sz w:val="16"/>
              </w:rPr>
              <w:t xml:space="preserve"> </w:t>
            </w:r>
            <w:r>
              <w:rPr>
                <w:rFonts w:ascii="Times New Roman;Times;serif" w:hAnsi="Times New Roman;Times;serif"/>
                <w:b/>
                <w:sz w:val="16"/>
              </w:rPr>
              <w:t>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18,349,937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249,652</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5,016,051</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25,193</w:t>
            </w:r>
          </w:p>
        </w:tc>
        <w:tc>
          <w:tcPr>
            <w:tcW w:w="34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(181,731)</w:t>
            </w:r>
          </w:p>
        </w:tc>
        <w:tc>
          <w:tcPr>
            <w:tcW w:w="346" w:type="dxa"/>
            <w:tcBorders/>
            <w:shd w:fill="CCEEFF" w:val="clear"/>
            <w:vAlign w:val="center"/>
          </w:tcPr>
          <w:p>
            <w:pPr>
              <w:pStyle w:val="TableContents"/>
              <w:bidi w:val="0"/>
              <w:spacing w:before="0" w:after="1"/>
              <w:ind w:left="0" w:right="0" w:hanging="0"/>
              <w:jc w:val="left"/>
              <w:rPr/>
            </w:pPr>
            <w:r>
              <w:rPr/>
              <w:t>​</w:t>
            </w:r>
          </w:p>
        </w:tc>
        <w:tc>
          <w:tcPr>
            <w:tcW w:w="56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76</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43"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(156,496)</w:t>
            </w:r>
          </w:p>
        </w:tc>
      </w:tr>
      <w:tr>
        <w:trPr/>
        <w:tc>
          <w:tcPr>
            <w:tcW w:w="108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from stock option exercises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w:t>
            </w:r>
          </w:p>
        </w:tc>
        <w:tc>
          <w:tcPr>
            <w:tcW w:w="3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6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0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 </w:t>
            </w:r>
          </w:p>
        </w:tc>
        <w:tc>
          <w:tcPr>
            <w:tcW w:w="5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3,857</w:t>
            </w:r>
          </w:p>
        </w:tc>
        <w:tc>
          <w:tcPr>
            <w:tcW w:w="34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9"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6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3,857</w:t>
            </w:r>
          </w:p>
        </w:tc>
      </w:tr>
      <w:tr>
        <w:trPr/>
        <w:tc>
          <w:tcPr>
            <w:tcW w:w="108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69"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6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10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(12,870)</w:t>
            </w:r>
          </w:p>
        </w:tc>
        <w:tc>
          <w:tcPr>
            <w:tcW w:w="346" w:type="dxa"/>
            <w:tcBorders/>
            <w:shd w:fill="CCEEFF" w:val="clear"/>
            <w:vAlign w:val="center"/>
          </w:tcPr>
          <w:p>
            <w:pPr>
              <w:pStyle w:val="TableContents"/>
              <w:bidi w:val="0"/>
              <w:spacing w:before="0" w:after="1"/>
              <w:ind w:left="0" w:right="0" w:hanging="0"/>
              <w:jc w:val="left"/>
              <w:rPr/>
            </w:pPr>
            <w:r>
              <w:rPr/>
              <w:t>​</w:t>
            </w:r>
          </w:p>
        </w:tc>
        <w:tc>
          <w:tcPr>
            <w:tcW w:w="5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(12,870)</w:t>
            </w:r>
          </w:p>
        </w:tc>
      </w:tr>
      <w:tr>
        <w:trPr/>
        <w:tc>
          <w:tcPr>
            <w:tcW w:w="108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b/>
                <w:sz w:val="16"/>
              </w:rPr>
              <w:t>Balance as of</w:t>
            </w:r>
            <w:r>
              <w:rPr>
                <w:rFonts w:ascii="Times New Roman;Times;serif" w:hAnsi="Times New Roman;Times;serif"/>
                <w:sz w:val="16"/>
              </w:rPr>
              <w:t xml:space="preserve"> </w:t>
            </w:r>
            <w:r>
              <w:rPr>
                <w:rFonts w:ascii="Times New Roman;Times;serif" w:hAnsi="Times New Roman;Times;serif"/>
                <w:b/>
                <w:sz w:val="16"/>
              </w:rPr>
              <w:t>March 31, 2025</w:t>
            </w:r>
          </w:p>
        </w:tc>
        <w:tc>
          <w:tcPr>
            <w:tcW w:w="346" w:type="dxa"/>
            <w:tcBorders/>
            <w:vAlign w:val="center"/>
          </w:tcPr>
          <w:p>
            <w:pPr>
              <w:pStyle w:val="TableContents"/>
              <w:bidi w:val="0"/>
              <w:spacing w:before="0" w:after="1"/>
              <w:ind w:left="0" w:right="0" w:hanging="0"/>
              <w:jc w:val="left"/>
              <w:rPr/>
            </w:pPr>
            <w:r>
              <w:rPr/>
              <w:t> </w:t>
            </w:r>
          </w:p>
        </w:tc>
        <w:tc>
          <w:tcPr>
            <w:tcW w:w="91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18,349,937</w:t>
            </w:r>
          </w:p>
        </w:tc>
        <w:tc>
          <w:tcPr>
            <w:tcW w:w="346" w:type="dxa"/>
            <w:tcBorders/>
            <w:vAlign w:val="center"/>
          </w:tcPr>
          <w:p>
            <w:pPr>
              <w:pStyle w:val="TableContents"/>
              <w:bidi w:val="0"/>
              <w:spacing w:before="0" w:after="1"/>
              <w:ind w:left="0" w:right="0" w:hanging="0"/>
              <w:jc w:val="left"/>
              <w:rPr/>
            </w:pPr>
            <w:r>
              <w:rPr/>
              <w:t>​</w:t>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249,652</w:t>
            </w:r>
          </w:p>
        </w:tc>
        <w:tc>
          <w:tcPr>
            <w:tcW w:w="346" w:type="dxa"/>
            <w:tcBorders/>
            <w:vAlign w:val="center"/>
          </w:tcPr>
          <w:p>
            <w:pPr>
              <w:pStyle w:val="TableContents"/>
              <w:bidi w:val="0"/>
              <w:spacing w:before="0" w:after="1"/>
              <w:ind w:left="0" w:right="0" w:hanging="0"/>
              <w:jc w:val="left"/>
              <w:rPr/>
            </w:pPr>
            <w:r>
              <w:rPr/>
              <w:t> </w:t>
            </w:r>
          </w:p>
        </w:tc>
        <w:tc>
          <w:tcPr>
            <w:tcW w:w="82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5,016,351</w:t>
            </w:r>
          </w:p>
        </w:tc>
        <w:tc>
          <w:tcPr>
            <w:tcW w:w="346" w:type="dxa"/>
            <w:tcBorders/>
            <w:vAlign w:val="center"/>
          </w:tcPr>
          <w:p>
            <w:pPr>
              <w:pStyle w:val="TableContents"/>
              <w:bidi w:val="0"/>
              <w:spacing w:before="0" w:after="1"/>
              <w:ind w:left="0" w:right="0" w:hanging="0"/>
              <w:jc w:val="left"/>
              <w:rPr/>
            </w:pPr>
            <w:r>
              <w:rPr/>
              <w:t>​</w:t>
            </w:r>
          </w:p>
        </w:tc>
        <w:tc>
          <w:tcPr>
            <w:tcW w:w="30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47"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4"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29,052</w:t>
            </w:r>
          </w:p>
        </w:tc>
        <w:tc>
          <w:tcPr>
            <w:tcW w:w="346" w:type="dxa"/>
            <w:tcBorders/>
            <w:vAlign w:val="center"/>
          </w:tcPr>
          <w:p>
            <w:pPr>
              <w:pStyle w:val="TableContents"/>
              <w:bidi w:val="0"/>
              <w:spacing w:before="0" w:after="1"/>
              <w:ind w:left="0" w:right="0" w:hanging="0"/>
              <w:jc w:val="left"/>
              <w:rPr/>
            </w:pPr>
            <w:r>
              <w:rPr/>
              <w:t>​</w:t>
            </w:r>
          </w:p>
        </w:tc>
        <w:tc>
          <w:tcPr>
            <w:tcW w:w="292"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11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(194,601)</w:t>
            </w:r>
          </w:p>
        </w:tc>
        <w:tc>
          <w:tcPr>
            <w:tcW w:w="346" w:type="dxa"/>
            <w:tcBorders/>
            <w:vAlign w:val="center"/>
          </w:tcPr>
          <w:p>
            <w:pPr>
              <w:pStyle w:val="TableContents"/>
              <w:bidi w:val="0"/>
              <w:spacing w:before="0" w:after="1"/>
              <w:ind w:left="0" w:right="0" w:hanging="0"/>
              <w:jc w:val="left"/>
              <w:rPr/>
            </w:pPr>
            <w:r>
              <w:rPr/>
              <w:t>​</w:t>
            </w:r>
          </w:p>
        </w:tc>
        <w:tc>
          <w:tcPr>
            <w:tcW w:w="56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07"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84</w:t>
            </w:r>
          </w:p>
        </w:tc>
        <w:tc>
          <w:tcPr>
            <w:tcW w:w="346" w:type="dxa"/>
            <w:tcBorders/>
            <w:vAlign w:val="center"/>
          </w:tcPr>
          <w:p>
            <w:pPr>
              <w:pStyle w:val="TableContents"/>
              <w:bidi w:val="0"/>
              <w:spacing w:before="0" w:after="1"/>
              <w:ind w:left="0" w:right="0" w:hanging="0"/>
              <w:jc w:val="left"/>
              <w:rPr/>
            </w:pPr>
            <w:r>
              <w:rPr/>
              <w:t>​</w:t>
            </w:r>
          </w:p>
        </w:tc>
        <w:tc>
          <w:tcPr>
            <w:tcW w:w="363"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43"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w:t>
            </w:r>
          </w:p>
        </w:tc>
        <w:tc>
          <w:tcPr>
            <w:tcW w:w="346" w:type="dxa"/>
            <w:tcBorders/>
            <w:vAlign w:val="center"/>
          </w:tcPr>
          <w:p>
            <w:pPr>
              <w:pStyle w:val="TableContents"/>
              <w:bidi w:val="0"/>
              <w:spacing w:before="0" w:after="1"/>
              <w:ind w:left="0" w:right="0" w:hanging="0"/>
              <w:jc w:val="left"/>
              <w:rPr/>
            </w:pPr>
            <w:r>
              <w:rPr/>
              <w:t>​</w:t>
            </w:r>
          </w:p>
        </w:tc>
        <w:tc>
          <w:tcPr>
            <w:tcW w:w="305"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24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(165,499)</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44" w:name="_60fbb20a_b768_4ca3_8533_6181b686f062"/>
      <w:bookmarkEnd w:id="44"/>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bookmarkStart w:id="45" w:name="CondensedConsolidatedStatementsofCashFlo"/>
      <w:bookmarkEnd w:id="45"/>
      <w:r>
        <w:rPr>
          <w:rFonts w:ascii="Times New Roman;Times;serif" w:hAnsi="Times New Roman;Times;serif"/>
          <w:b/>
          <w:sz w:val="20"/>
        </w:rPr>
        <w:t>CONDENSED CONSOLIDATED STATEMENTS OF CASH FLOWS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9805" w:type="dxa"/>
        <w:jc w:val="left"/>
        <w:tblInd w:w="200" w:type="dxa"/>
        <w:tblLayout w:type="fixed"/>
        <w:tblCellMar>
          <w:top w:w="0" w:type="dxa"/>
          <w:left w:w="0" w:type="dxa"/>
          <w:bottom w:w="0" w:type="dxa"/>
          <w:right w:w="0" w:type="dxa"/>
        </w:tblCellMar>
      </w:tblPr>
      <w:tblGrid>
        <w:gridCol w:w="7033"/>
        <w:gridCol w:w="346"/>
        <w:gridCol w:w="232"/>
        <w:gridCol w:w="712"/>
        <w:gridCol w:w="409"/>
        <w:gridCol w:w="232"/>
        <w:gridCol w:w="841"/>
      </w:tblGrid>
      <w:tr>
        <w:trPr/>
        <w:tc>
          <w:tcPr>
            <w:tcW w:w="70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703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47320" cy="175260"/>
                      <wp:effectExtent l="0" t="0" r="0" b="0"/>
                      <wp:wrapNone/>
                      <wp:docPr id="176" name="Frame17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52120" cy="175260"/>
                      <wp:effectExtent l="0" t="0" r="0" b="0"/>
                      <wp:wrapNone/>
                      <wp:docPr id="177" name="Frame176"/>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59715" cy="175260"/>
                      <wp:effectExtent l="0" t="0" r="0" b="0"/>
                      <wp:wrapNone/>
                      <wp:docPr id="178" name="Frame177"/>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47320" cy="175260"/>
                      <wp:effectExtent l="0" t="0" r="0" b="0"/>
                      <wp:wrapNone/>
                      <wp:docPr id="179" name="Frame17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34035" cy="175260"/>
                      <wp:effectExtent l="0" t="0" r="0" b="0"/>
                      <wp:wrapNone/>
                      <wp:docPr id="180" name="Frame17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3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703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9" w:type="dxa"/>
            <w:tcBorders/>
            <w:vAlign w:val="center"/>
          </w:tcPr>
          <w:p>
            <w:pPr>
              <w:pStyle w:val="TableContents"/>
              <w:bidi w:val="0"/>
              <w:spacing w:before="0" w:after="1"/>
              <w:ind w:left="0" w:right="0" w:hanging="0"/>
              <w:jc w:val="left"/>
              <w:rPr/>
            </w:pPr>
            <w:r>
              <w:rPr/>
              <w:t>  ​ ​ ​</w:t>
            </w:r>
          </w:p>
        </w:tc>
        <w:tc>
          <w:tcPr>
            <w:tcW w:w="10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left"/>
              <w:rPr/>
            </w:pPr>
            <w:r>
              <w:rPr/>
              <w:t>​</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(8,575)</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(12,870)</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left"/>
              <w:rPr/>
            </w:pPr>
            <w:r>
              <w:rPr/>
              <w:t>​</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882</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2,191</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lease expenses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1,534</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3,857</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and financing cost of convertible promissory notes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convertible promissory notes – related parties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1,407</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disposal of property and equipment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foreign exchange loss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interest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left"/>
              <w:rPr/>
            </w:pPr>
            <w:r>
              <w:rPr/>
              <w:t>​</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Receivables under collaboration agreements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(2,208)</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545</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712"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(6,120)</w:t>
            </w:r>
          </w:p>
        </w:tc>
        <w:tc>
          <w:tcPr>
            <w:tcW w:w="409" w:type="dxa"/>
            <w:tcBorders/>
            <w:vAlign w:val="center"/>
          </w:tcPr>
          <w:p>
            <w:pPr>
              <w:pStyle w:val="TableContents"/>
              <w:bidi w:val="0"/>
              <w:spacing w:before="0" w:after="1"/>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841"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(6,103)</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left"/>
              <w:rPr/>
            </w:pPr>
            <w:r>
              <w:rPr/>
              <w:t>​</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expenditures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(482)</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Advances on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712"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(487)</w:t>
            </w:r>
          </w:p>
        </w:tc>
        <w:tc>
          <w:tcPr>
            <w:tcW w:w="409" w:type="dxa"/>
            <w:tcBorders/>
            <w:vAlign w:val="center"/>
          </w:tcPr>
          <w:p>
            <w:pPr>
              <w:pStyle w:val="TableContents"/>
              <w:bidi w:val="0"/>
              <w:spacing w:before="0" w:after="1"/>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841"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(172)</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left"/>
              <w:rPr/>
            </w:pPr>
            <w:r>
              <w:rPr/>
              <w:t>​</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stock option exercises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Principal paid on finance lease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transaction costs paid</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(1,051)</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Financing costs related to issuance of convertible promissory notes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convertible promissory notes</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4,300</w:t>
            </w:r>
          </w:p>
        </w:tc>
        <w:tc>
          <w:tcPr>
            <w:tcW w:w="409"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71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3,302</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8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(205)</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Effects of exchange rate change on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32"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pPr>
            <w:r>
              <w:rPr/>
              <w:t> </w:t>
            </w:r>
          </w:p>
        </w:tc>
        <w:tc>
          <w:tcPr>
            <w:tcW w:w="712"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(134)</w:t>
            </w:r>
          </w:p>
        </w:tc>
        <w:tc>
          <w:tcPr>
            <w:tcW w:w="409" w:type="dxa"/>
            <w:tcBorders/>
            <w:vAlign w:val="center"/>
          </w:tcPr>
          <w:p>
            <w:pPr>
              <w:pStyle w:val="TableContents"/>
              <w:bidi w:val="0"/>
              <w:spacing w:before="0" w:after="1"/>
              <w:ind w:left="0" w:right="0" w:hanging="0"/>
              <w:jc w:val="left"/>
              <w:rPr/>
            </w:pPr>
            <w:r>
              <w:rPr/>
              <w:t>​</w:t>
            </w:r>
          </w:p>
        </w:tc>
        <w:tc>
          <w:tcPr>
            <w:tcW w:w="232"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pPr>
            <w:r>
              <w:rPr/>
              <w:t> </w:t>
            </w:r>
          </w:p>
        </w:tc>
        <w:tc>
          <w:tcPr>
            <w:tcW w:w="84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(36)</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change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712"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(3,439)</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84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(6,516)</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Beginning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29,772</w:t>
            </w:r>
          </w:p>
        </w:tc>
        <w:tc>
          <w:tcPr>
            <w:tcW w:w="409"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51,421</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Ending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26,333</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44,905</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disclosures:</w:t>
            </w:r>
          </w:p>
        </w:tc>
        <w:tc>
          <w:tcPr>
            <w:tcW w:w="346" w:type="dxa"/>
            <w:tcBorders/>
            <w:vAlign w:val="center"/>
          </w:tcPr>
          <w:p>
            <w:pPr>
              <w:pStyle w:val="TableContents"/>
              <w:bidi w:val="0"/>
              <w:spacing w:before="0" w:after="1"/>
              <w:ind w:left="0" w:right="0" w:hanging="0"/>
              <w:jc w:val="left"/>
              <w:rPr/>
            </w:pPr>
            <w:r>
              <w:rPr/>
              <w:t>​</w:t>
            </w:r>
          </w:p>
        </w:tc>
        <w:tc>
          <w:tcPr>
            <w:tcW w:w="232" w:type="dxa"/>
            <w:tcBorders>
              <w:top w:val="double" w:sz="6" w:space="0" w:color="000000"/>
            </w:tcBorders>
            <w:tcMar>
              <w:top w:w="28" w:type="dxa"/>
            </w:tcMar>
            <w:vAlign w:val="center"/>
          </w:tcPr>
          <w:p>
            <w:pPr>
              <w:pStyle w:val="TableContents"/>
              <w:bidi w:val="0"/>
              <w:spacing w:before="0" w:after="1"/>
              <w:ind w:left="0" w:right="0" w:hanging="0"/>
              <w:jc w:val="left"/>
              <w:rPr/>
            </w:pPr>
            <w:r>
              <w:rPr/>
              <w:t> </w:t>
            </w:r>
          </w:p>
        </w:tc>
        <w:tc>
          <w:tcPr>
            <w:tcW w:w="712" w:type="dxa"/>
            <w:tcBorders>
              <w:top w:val="double" w:sz="6" w:space="0" w:color="000000"/>
            </w:tcBorders>
            <w:tcMar>
              <w:top w:w="28" w:type="dxa"/>
            </w:tcMar>
            <w:vAlign w:val="center"/>
          </w:tcPr>
          <w:p>
            <w:pPr>
              <w:pStyle w:val="TableContents"/>
              <w:bidi w:val="0"/>
              <w:spacing w:before="0" w:after="1"/>
              <w:ind w:left="0" w:right="0" w:hanging="0"/>
              <w:jc w:val="right"/>
              <w:rPr/>
            </w:pPr>
            <w:r>
              <w:rPr/>
              <w:t>  ​</w:t>
            </w:r>
          </w:p>
        </w:tc>
        <w:tc>
          <w:tcPr>
            <w:tcW w:w="409" w:type="dxa"/>
            <w:tcBorders/>
            <w:vAlign w:val="center"/>
          </w:tcPr>
          <w:p>
            <w:pPr>
              <w:pStyle w:val="TableContents"/>
              <w:bidi w:val="0"/>
              <w:spacing w:before="0" w:after="1"/>
              <w:ind w:left="0" w:right="0" w:hanging="0"/>
              <w:jc w:val="left"/>
              <w:rPr/>
            </w:pPr>
            <w:r>
              <w:rPr/>
              <w:t>​</w:t>
            </w:r>
          </w:p>
        </w:tc>
        <w:tc>
          <w:tcPr>
            <w:tcW w:w="232" w:type="dxa"/>
            <w:tcBorders>
              <w:top w:val="double" w:sz="6" w:space="0" w:color="000000"/>
            </w:tcBorders>
            <w:tcMar>
              <w:top w:w="28" w:type="dxa"/>
            </w:tcMar>
            <w:vAlign w:val="center"/>
          </w:tcPr>
          <w:p>
            <w:pPr>
              <w:pStyle w:val="TableContents"/>
              <w:bidi w:val="0"/>
              <w:spacing w:before="0" w:after="1"/>
              <w:ind w:left="0" w:right="0" w:hanging="0"/>
              <w:jc w:val="left"/>
              <w:rPr/>
            </w:pPr>
            <w:r>
              <w:rPr/>
              <w:t> </w:t>
            </w:r>
          </w:p>
        </w:tc>
        <w:tc>
          <w:tcPr>
            <w:tcW w:w="841" w:type="dxa"/>
            <w:tcBorders>
              <w:top w:val="double" w:sz="6" w:space="0" w:color="000000"/>
            </w:tcBorders>
            <w:tcMar>
              <w:top w:w="28" w:type="dxa"/>
            </w:tcMar>
            <w:vAlign w:val="center"/>
          </w:tcPr>
          <w:p>
            <w:pPr>
              <w:pStyle w:val="TableContents"/>
              <w:bidi w:val="0"/>
              <w:spacing w:before="0" w:after="1"/>
              <w:ind w:left="0" w:right="0" w:hanging="0"/>
              <w:jc w:val="right"/>
              <w:rPr/>
            </w:pPr>
            <w:r>
              <w:rPr/>
              <w:t>  ​</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2" w:type="dxa"/>
            <w:tcBorders/>
            <w:shd w:fill="CCEEFF" w:val="clear"/>
            <w:vAlign w:val="center"/>
          </w:tcPr>
          <w:p>
            <w:pPr>
              <w:pStyle w:val="TableContents"/>
              <w:bidi w:val="0"/>
              <w:spacing w:before="0" w:after="1"/>
              <w:ind w:left="0" w:right="0" w:hanging="0"/>
              <w:jc w:val="right"/>
              <w:rPr/>
            </w:pPr>
            <w:r>
              <w:rPr/>
              <w:t>—</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investing and financing activities: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  ​</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transaction costs included in accounts payable and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1,723</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The following table presents the Company’s cash, cash equivalents and restricted cash by category in the Company’s Condensed Consolidated Balance Sheets:</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  ​</w:t>
            </w:r>
          </w:p>
        </w:tc>
        <w:tc>
          <w:tcPr>
            <w:tcW w:w="40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25,449</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41,719</w:t>
            </w:r>
          </w:p>
        </w:tc>
      </w:tr>
      <w:tr>
        <w:trPr/>
        <w:tc>
          <w:tcPr>
            <w:tcW w:w="7033"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884</w:t>
            </w:r>
          </w:p>
        </w:tc>
        <w:tc>
          <w:tcPr>
            <w:tcW w:w="409"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3,186</w:t>
            </w:r>
          </w:p>
        </w:tc>
      </w:tr>
      <w:tr>
        <w:trPr/>
        <w:tc>
          <w:tcPr>
            <w:tcW w:w="703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26,333</w:t>
            </w:r>
          </w:p>
        </w:tc>
        <w:tc>
          <w:tcPr>
            <w:tcW w:w="409" w:type="dxa"/>
            <w:tcBorders/>
            <w:shd w:fill="CCEEFF" w:val="clear"/>
            <w:vAlign w:val="center"/>
          </w:tcPr>
          <w:p>
            <w:pPr>
              <w:pStyle w:val="TableContents"/>
              <w:bidi w:val="0"/>
              <w:spacing w:before="0" w:after="1"/>
              <w:ind w:left="0" w:right="0" w:hanging="0"/>
              <w:jc w:val="left"/>
              <w:rPr/>
            </w:pPr>
            <w:r>
              <w:rPr/>
              <w:t>​</w:t>
            </w:r>
          </w:p>
        </w:tc>
        <w:tc>
          <w:tcPr>
            <w:tcW w:w="2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44,905</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hanging="0"/>
        <w:jc w:val="left"/>
        <w:rPr>
          <w:rFonts w:ascii="Times New Roman;Times;serif" w:hAnsi="Times New Roman;Times;serif"/>
          <w:b/>
          <w:sz w:val="20"/>
        </w:rPr>
      </w:pPr>
      <w:bookmarkStart w:id="46" w:name="Note1TheCompany_862815"/>
      <w:bookmarkStart w:id="47" w:name="_34ceb25c_efa4_4d2e_9d46_9ae5d87bacc3"/>
      <w:bookmarkEnd w:id="46"/>
      <w:bookmarkEnd w:id="47"/>
      <w:r>
        <w:rPr>
          <w:rFonts w:ascii="Times New Roman;Times;serif" w:hAnsi="Times New Roman;Times;serif"/>
          <w:b/>
          <w:sz w:val="20"/>
        </w:rPr>
        <w:t>Note 1 - The Company</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Nature of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Factorial Inc. (“Factorial”, the “Company”, or “we”) is a developer and manufacturer of advanced battery energy storage technologies and solid-state battery (“SSB”) technology. The technologies developed are expected to create a more sustainable future with high-performance batteries for electric vehicles, homes, and critical applications.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de-SPAC Transaction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December 17, 2025, Cartesian Growth Corporation III, a Cayman Islands exempted company (“CGC”), Fenway MS, Inc., a Delaware corporation (“Merger Sub”), and Factorial Inc., a Delaware corporation (“Factorial”), entered into a Business Combination Agreement (“BCA”). CGC, a publicly traded special purpose acquisition company (“SPAC”) was listed on the Nasdaq Capital Market (“Nasdaq”) under the ticker symbol “CGCT”.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June 5, 2026, the Merger Sub, a wholly-owned subsidiary of CGC, merged with and into the Company, with the Company surviving the merger as a wholly-owned subsidiary of CGC (the “Merger”). In connection with the Merger, CGC was renamed Factorial Energy, Inc. (“PubCo”). PubCo became listed on the Nasdaq under the new ticker symbol “FAC” (“de-SPAC Transaction”). PubCo received gross proceeds of approximately $112,100 in connection with the de-SPAC Transaction and the sale of a private placement of PubCo Series A Common Stock, prior to the payment of transaction expenses (“de-SPAC and PIPE Proceeds”). These unaudited condensed consolidated financial statements do not reflect the impact of the de-SPAC Transaction, since it was closed subsequent to March 31, 2026.</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accompanying interim condensed consolidated financial statements and notes to the condensed consolidated financial statements have been prepared in accordance with accounting standards generally accepted in the United States of America (“U.S. GAAP”) for interim financial information as organized in the Accounting Standards Codification (“ASC”) administrated by the Financial Accounting Standards Board (“FASB”). The accompanying interim Condensed Consolidated Balance Sheet as of March 31, 2026, the interim Condensed Consolidated Statements of Operations, Comprehensive Loss, Redeemable Convertible Preferred Stock and Stockholders’ Deficit, and the interim Condensed Consolidated Statements of Cash Flows for the three months ended March 31, 2026 and 2025, are unaudited. The unaudited interim condensed consolidated financial statements have been prepared on the same basis as the audited annual consolidated financial statements and, in management’s opinion, include adjustments consisting of only normal recurring adjustments necessary for the fair statement of the Company’s financial position as of March 31, 2026 and its result of operations for the three months ended March 31, 2026 and 2025 are not necessarily indicative of the results to be expected for the full fiscal year or any other period.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These unaudited interim condensed consolidated financial statements should be read in conjunction with the consolidated financial statements and the related notes included in the Company’s audited annual consolidated financial statements for the year ended December 31, 2025, included in the proxy statement/prospectus filed by CGC on May 6, 2026. The accounting policies applied in the preparation of these interim condensed consolidated financial statements are consistent with those disclosed in the Company’s audited consolidated financial statements and accompanying notes. The disclosures provided herein include only those policies that have been newly adopted or updated during the interim period, if any.</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Prior to the receipt of the de-SPAC and PIPE Proceeds, the Company determined that its existing liquidity was not sufficient to fund operations for at least twelve months from the date of issuance of its audited annual consolidated financial statements, which raised substantial doubt about the Company’s ability to continue as a going concern. The Company has experienced net losses and negative cash flows from operations since its inception. The Company expects it will continue to incur significant costs including research and development expenses related to its ongoing operations until it successfully develops a commercial product and achieves revenues adequately to support the Company’s operations. However, Factorial believes that its cash on hand, including the net proceeds from the de-SPAC and PIPE Proceeds will be sufficient to meet its working capital and capital expenditure requirements for a period of at least twelve months from the date of this filing. Accordingly, management has concluded that the substantial doubt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about the Company’s ability to continue as a going concern has been alleviated. Factorial may, however, need additional cash resources due to changed business conditions or other developments, including unanticipated delays in negotiations with Original Equipment Manufacturers (“OEMs”) and tier-one automotive suppliers or other suppliers, supply chain challenges, competitive pressures, and regulatory developments, among other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w:t>
      </w:r>
    </w:p>
    <w:p>
      <w:pPr>
        <w:pStyle w:val="TextBody"/>
        <w:bidi w:val="0"/>
        <w:spacing w:before="0" w:after="240"/>
        <w:ind w:left="200" w:right="200" w:hanging="0"/>
        <w:jc w:val="left"/>
        <w:rPr>
          <w:rFonts w:ascii="Times New Roman;Times;serif" w:hAnsi="Times New Roman;Times;serif"/>
          <w:b/>
          <w:caps/>
          <w:sz w:val="20"/>
        </w:rPr>
      </w:pPr>
      <w:bookmarkStart w:id="48" w:name="_3e4aa1e0_cf06_434d_af5e_ed254849914a"/>
      <w:bookmarkEnd w:id="48"/>
      <w:r>
        <w:rPr>
          <w:rFonts w:ascii="Times New Roman;Times;serif" w:hAnsi="Times New Roman;Times;serif"/>
          <w:b/>
          <w:caps/>
          <w:sz w:val="20"/>
        </w:rPr>
        <w:t>Note 2 - Summary of Significant Accounting Policies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accompanying condensed consolidated financial statements include the accounts of the Company and its four wholly owned subsidiaries. All intercompany accounts and transactions have been eliminated in the preparation of the consolidated financial statements in accordance with the provisions under ASC Topic 810 </w:t>
      </w:r>
      <w:r>
        <w:rPr>
          <w:rFonts w:ascii="Times New Roman;Times;serif" w:hAnsi="Times New Roman;Times;serif"/>
          <w:i/>
          <w:sz w:val="20"/>
        </w:rPr>
        <w:t>Consolidation</w:t>
      </w:r>
      <w:r>
        <w:rPr>
          <w:rFonts w:ascii="Times New Roman;Times;serif" w:hAnsi="Times New Roman;Times;serif"/>
          <w:sz w:val="20"/>
        </w:rPr>
        <w:t>.</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preparation of the financial statements in conformity with U.S. GAAP requires management to make estimates and assumptions that affect the reported amounts of assets and liabilities and disclosure of contingent assets and liabilities at the date of the consolidated financial statements, and the amounts of expenses during the reporting period. On an ongoing basis, the Company’s management evaluates its estimates, judgments, and methodologies. Significant estimates and assumptions in the consolidated financial statements include those related to warrant liabilities, convertible promissory notes and stock-based compensation.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Collaboration Arrangements and Partnership Agreements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enters into collaborative arrangements with various parties individually through joint development agreements (“JDAs”) to evaluate and test its technology. The agreements are executed in anticipation of entering into either a purchasing agreement for the Company’s sellable products or jointly developing a commercialized product. As part of the JDAs, the counterparty may either reimburse the Company for certain costs incurred through a fixed fee payment or per unit payment or share certain costs with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Company assesses each collaborative arrangement to determine whether it is in scope for ASC Topic 808, </w:t>
      </w:r>
      <w:r>
        <w:rPr>
          <w:rFonts w:ascii="Times New Roman;Times;serif" w:hAnsi="Times New Roman;Times;serif"/>
          <w:i/>
          <w:sz w:val="20"/>
        </w:rPr>
        <w:t>Collaborative Arrangements</w:t>
      </w:r>
      <w:r>
        <w:rPr>
          <w:rFonts w:ascii="Times New Roman;Times;serif" w:hAnsi="Times New Roman;Times;serif"/>
          <w:sz w:val="20"/>
        </w:rPr>
        <w:t xml:space="preserve"> (“ASC 808”). In making the determination, the Company considers whether the arrangement involves joint operating activities performed by parties that are both active participants in the activities and exposed to significant risks and rewards that are dependent on the commercial success of such activities. All of the JDAs entered into by the Company have been concluded to be arrangements within the scope of ASC 808. As a result, payments received/paid from/to the counterparties have been netted against the research and development expenses incurred by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Company assesses each collaborative arrangement to determine whether it is in scope for ASC Topic 606, </w:t>
      </w:r>
      <w:r>
        <w:rPr>
          <w:rFonts w:ascii="Times New Roman;Times;serif" w:hAnsi="Times New Roman;Times;serif"/>
          <w:i/>
          <w:sz w:val="20"/>
        </w:rPr>
        <w:t xml:space="preserve">Revenue from Contracts with Customers </w:t>
      </w:r>
      <w:r>
        <w:rPr>
          <w:rFonts w:ascii="Times New Roman;Times;serif" w:hAnsi="Times New Roman;Times;serif"/>
          <w:sz w:val="20"/>
        </w:rPr>
        <w:t>(“ASC 606”). In making the determination, the Company considers if some or all aspects of the arrangement represent a transaction with a customer. All of the JDAs entered into by the Company to date have been concluded to be arrangements outside the scope of ASC 606. As a result, no revenue has been recognized by the Company.</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For the three months ended March 31, 2026, and 2025, the Company recognized approximately $3,410 and $34, respectively in expense reimbursements from arrangements, which are recorded net within research and development expenses on the condensed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consolidated statements of operations. The Company had one partner that accounted for $3,360 in expense reimbursements for the three months ended March 31, 2026.</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February 2026, the Company entered into a new development agreement with PowerCo SE (“PowerCo”). The development agreement has various terms and conditions and has a term of fifteen months; however, PowerCo has the right to terminate under certain conditions. The Company entered into this development agreement for purposes of assessing its technology through evaluation and testing of its batteries.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In January 2026, the Company entered into a partnership agreement with a note holder as further described in Note 7. The partnership agreement includes up to $900 of consideration for the performance of research and development services to the note holder.</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Deferred Transaction Costs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Company complies with the requirements of ASC 340, </w:t>
      </w:r>
      <w:r>
        <w:rPr>
          <w:rFonts w:ascii="Times New Roman;Times;serif" w:hAnsi="Times New Roman;Times;serif"/>
          <w:i/>
          <w:sz w:val="20"/>
        </w:rPr>
        <w:t>Other Assets and Deferred Costs</w:t>
      </w:r>
      <w:r>
        <w:rPr>
          <w:rFonts w:ascii="Times New Roman;Times;serif" w:hAnsi="Times New Roman;Times;serif"/>
          <w:sz w:val="20"/>
        </w:rPr>
        <w:t>, with regards to transaction costs. Prior to the completion of the transaction (potential business combination with Cartesian Growth Corporation III) as mentioned in Note 1 of the audited annual consolidated financial statements for the year ended December 31, 2025, direct transaction costs are capitalized as deferred transaction costs. If the transaction is completed, the deferred transaction costs are charged to additional paid-in capital and offset the proceeds received from the potential business combination. As of March 31, 2026, and December 31, 2025, the Company had $3,468 and $1,423 of deferred transaction costs incurred, respectively.</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Convertible Promissory Notes, Fair Value</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 xml:space="preserve">During January 2026, the Company entered into Note Purchase Agreements and a Convertible Promissory Note Agreement pursuant to which it could receive proceeds up to $5,340 (the “January 2026 Notes”) from new investors. The Company determined that it is eligible for the fair value option election in connection with the Convertible Promissory Notes. The Convertible Promissory Notes meet the definition of a “recognized financial liability” which is an acceptable financial instrument eligible for the fair value option under ASC Topic 825 </w:t>
      </w:r>
      <w:r>
        <w:rPr>
          <w:rFonts w:ascii="Times New Roman;Times;serif" w:hAnsi="Times New Roman;Times;serif"/>
          <w:i/>
          <w:sz w:val="20"/>
        </w:rPr>
        <w:t>Financial Instruments</w:t>
      </w:r>
      <w:r>
        <w:rPr>
          <w:rFonts w:ascii="Times New Roman;Times;serif" w:hAnsi="Times New Roman;Times;serif"/>
          <w:sz w:val="20"/>
        </w:rPr>
        <w:t xml:space="preserve"> (“ASC 825”). At the date of issuance, the fair value of the Convertible Promissory Notes were derived using the scenario-based method (“SBM”) as further described in Note 3. The fair value option election was made to enhance the relevance and transparency of information presented related to the features embedded in the Convertible Promissory Notes.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Changes in the fair value of the Convertible Promissory Notes are recorded as gains or losses in the Company’s consolidated statements of operations in each reporting period. For the three months ended March 31, 2026, the Company recorded a loss on the change in fair value of convertible promissory notes of $300.</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and adopted by the Company as of the specified effective date. After completion of the business combination described in Note 15, the Company expects it will be considered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In July 2025, the FASB issued ASU 2025-05, Financial Instruments—Credit Losses (Topic 326): Measurement of Credit Losses for Accounts Receivable and Contract Assets (“ASU 2025-05”). ASU 2025-05 provides optional practical expedients intended to simplify the application of the current expected credit loss model to current trade accounts receivable and current contract assets arising from revenue transactions under Topic 606.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00"/>
        <w:ind w:left="200" w:right="200" w:hanging="0"/>
        <w:jc w:val="left"/>
        <w:rPr>
          <w:rFonts w:ascii="Times New Roman;Times;serif" w:hAnsi="Times New Roman;Times;serif"/>
          <w:sz w:val="20"/>
        </w:rPr>
      </w:pPr>
      <w:r>
        <w:rPr>
          <w:rFonts w:ascii="Times New Roman;Times;serif" w:hAnsi="Times New Roman;Times;serif"/>
          <w:sz w:val="20"/>
        </w:rPr>
        <w:t>adopted the guidance effective January 1, 2026. The adoption did not have a material impact on its accounting policies, financial position, results of operations, or cash flows, given the short-term nature and historically no loss experience of its trade receivables and contract assets.</w:t>
      </w:r>
    </w:p>
    <w:p>
      <w:pPr>
        <w:pStyle w:val="TextBody"/>
        <w:bidi w:val="0"/>
        <w:spacing w:before="0" w:after="200"/>
        <w:ind w:left="200" w:right="200" w:hanging="0"/>
        <w:jc w:val="left"/>
        <w:rPr>
          <w:rFonts w:ascii="Times New Roman;Times;serif" w:hAnsi="Times New Roman;Times;serif"/>
          <w:b/>
          <w:i/>
          <w:sz w:val="20"/>
        </w:rPr>
      </w:pPr>
      <w:r>
        <w:rPr>
          <w:rFonts w:ascii="Times New Roman;Times;serif" w:hAnsi="Times New Roman;Times;serif"/>
          <w:b/>
          <w:i/>
          <w:sz w:val="20"/>
        </w:rPr>
        <w:t>New Accounting Pronouncements – Not Yet Adopted</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In November 2024, the FASB issued ASU 2024-03, Disaggregation of Income Statement Expenses (DISE) (“ASU 2024-03”),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amendment in this update applies to all public business entities and is effective for annual reporting periods beginning after December 15, 2026 and interim reporting periods beginning after December 15, 2027. The Company is currently evaluating the provisions of the amendments and the impact on its disclosures.</w:t>
      </w:r>
    </w:p>
    <w:p>
      <w:pPr>
        <w:pStyle w:val="TextBody"/>
        <w:bidi w:val="0"/>
        <w:spacing w:before="0" w:after="240"/>
        <w:ind w:left="200" w:right="200" w:hanging="0"/>
        <w:jc w:val="left"/>
        <w:rPr>
          <w:rFonts w:ascii="Times New Roman;Times;serif" w:hAnsi="Times New Roman;Times;serif"/>
          <w:b/>
          <w:caps/>
          <w:sz w:val="20"/>
        </w:rPr>
      </w:pPr>
      <w:bookmarkStart w:id="49" w:name="_92be2baa_b172_4c87_91dc_8a045e7b7759"/>
      <w:bookmarkEnd w:id="49"/>
      <w:r>
        <w:rPr>
          <w:rFonts w:ascii="Times New Roman;Times;serif" w:hAnsi="Times New Roman;Times;serif"/>
          <w:b/>
          <w:caps/>
          <w:sz w:val="20"/>
        </w:rPr>
        <w:t>Note 3 - Fair Value Measures</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Company’s financial assets subject to fair value measurements on a recurring basis. The following table presents information about the Company’s financial assets and liabilities measured at fair value and the level of input utilized to determine such fair values (in thousands):</w:t>
      </w:r>
    </w:p>
    <w:tbl>
      <w:tblPr>
        <w:tblW w:w="9327" w:type="dxa"/>
        <w:jc w:val="left"/>
        <w:tblInd w:w="200" w:type="dxa"/>
        <w:tblLayout w:type="fixed"/>
        <w:tblCellMar>
          <w:top w:w="0" w:type="dxa"/>
          <w:left w:w="0" w:type="dxa"/>
          <w:bottom w:w="0" w:type="dxa"/>
          <w:right w:w="0" w:type="dxa"/>
        </w:tblCellMar>
      </w:tblPr>
      <w:tblGrid>
        <w:gridCol w:w="4546"/>
        <w:gridCol w:w="346"/>
        <w:gridCol w:w="211"/>
        <w:gridCol w:w="676"/>
        <w:gridCol w:w="346"/>
        <w:gridCol w:w="211"/>
        <w:gridCol w:w="676"/>
        <w:gridCol w:w="346"/>
        <w:gridCol w:w="239"/>
        <w:gridCol w:w="392"/>
        <w:gridCol w:w="346"/>
        <w:gridCol w:w="211"/>
        <w:gridCol w:w="781"/>
      </w:tblGrid>
      <w:tr>
        <w:trPr/>
        <w:tc>
          <w:tcPr>
            <w:tcW w:w="45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1"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2"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29260" cy="175260"/>
                      <wp:effectExtent l="0" t="0" r="0" b="0"/>
                      <wp:wrapNone/>
                      <wp:docPr id="183" name="Frame1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4"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5"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9260" cy="175260"/>
                      <wp:effectExtent l="0" t="0" r="0" b="0"/>
                      <wp:wrapNone/>
                      <wp:docPr id="186" name="Frame1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7"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51765" cy="175260"/>
                      <wp:effectExtent l="0" t="0" r="0" b="0"/>
                      <wp:wrapNone/>
                      <wp:docPr id="188" name="Frame18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8920" cy="175260"/>
                      <wp:effectExtent l="0" t="0" r="0" b="0"/>
                      <wp:wrapNone/>
                      <wp:docPr id="189" name="Frame18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0"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1"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95935" cy="175260"/>
                      <wp:effectExtent l="0" t="0" r="0" b="0"/>
                      <wp:wrapNone/>
                      <wp:docPr id="192" name="Frame1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3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as of March 31, 2026</w: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(included in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10,245</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(included in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11,129</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11,129</w:t>
            </w:r>
          </w:p>
        </w:tc>
        <w:tc>
          <w:tcPr>
            <w:tcW w:w="346" w:type="dxa"/>
            <w:tcBorders/>
            <w:vAlign w:val="center"/>
          </w:tcPr>
          <w:p>
            <w:pPr>
              <w:pStyle w:val="TableContents"/>
              <w:bidi w:val="0"/>
              <w:spacing w:before="0" w:after="1"/>
              <w:ind w:left="0" w:right="0" w:hanging="0"/>
              <w:jc w:val="left"/>
              <w:rPr/>
            </w:pPr>
            <w:r>
              <w:rPr/>
              <w:t>​</w:t>
            </w:r>
          </w:p>
        </w:tc>
        <w:tc>
          <w:tcPr>
            <w:tcW w:w="23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67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67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392"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78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pPr>
            <w:r>
              <w:rPr/>
              <w:t>  ​</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 Series B-1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 Series 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2,803</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promissory notes – related parties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20,296</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promissory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4,600</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28,380</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28,380</w:t>
            </w:r>
          </w:p>
        </w:tc>
      </w:tr>
    </w:tbl>
    <w:p>
      <w:pPr>
        <w:pStyle w:val="TextBody"/>
        <w:bidi w:val="0"/>
        <w:spacing w:before="0" w:after="0"/>
        <w:ind w:left="200" w:right="200" w:hanging="0"/>
        <w:jc w:val="left"/>
        <w:rPr/>
      </w:pPr>
      <w:r>
        <w:rPr/>
        <w:t>​</w:t>
      </w:r>
    </w:p>
    <w:tbl>
      <w:tblPr>
        <w:tblW w:w="9327" w:type="dxa"/>
        <w:jc w:val="left"/>
        <w:tblInd w:w="200" w:type="dxa"/>
        <w:tblLayout w:type="fixed"/>
        <w:tblCellMar>
          <w:top w:w="0" w:type="dxa"/>
          <w:left w:w="0" w:type="dxa"/>
          <w:bottom w:w="0" w:type="dxa"/>
          <w:right w:w="0" w:type="dxa"/>
        </w:tblCellMar>
      </w:tblPr>
      <w:tblGrid>
        <w:gridCol w:w="4546"/>
        <w:gridCol w:w="346"/>
        <w:gridCol w:w="211"/>
        <w:gridCol w:w="676"/>
        <w:gridCol w:w="346"/>
        <w:gridCol w:w="211"/>
        <w:gridCol w:w="676"/>
        <w:gridCol w:w="346"/>
        <w:gridCol w:w="239"/>
        <w:gridCol w:w="392"/>
        <w:gridCol w:w="346"/>
        <w:gridCol w:w="211"/>
        <w:gridCol w:w="781"/>
      </w:tblGrid>
      <w:tr>
        <w:trPr/>
        <w:tc>
          <w:tcPr>
            <w:tcW w:w="45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4"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29260" cy="175260"/>
                      <wp:effectExtent l="0" t="0" r="0" b="0"/>
                      <wp:wrapNone/>
                      <wp:docPr id="195" name="Frame1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7"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29260" cy="175260"/>
                      <wp:effectExtent l="0" t="0" r="0" b="0"/>
                      <wp:wrapNone/>
                      <wp:docPr id="198" name="Frame1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51765" cy="175260"/>
                      <wp:effectExtent l="0" t="0" r="0" b="0"/>
                      <wp:wrapNone/>
                      <wp:docPr id="200" name="Frame19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48920" cy="175260"/>
                      <wp:effectExtent l="0" t="0" r="0" b="0"/>
                      <wp:wrapNone/>
                      <wp:docPr id="201" name="Frame20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3"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95935" cy="175260"/>
                      <wp:effectExtent l="0" t="0" r="0" b="0"/>
                      <wp:wrapNone/>
                      <wp:docPr id="204" name="Frame2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3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as of December 31, 2025</w: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(included in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14,152</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(included in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15,033</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15,033</w:t>
            </w:r>
          </w:p>
        </w:tc>
        <w:tc>
          <w:tcPr>
            <w:tcW w:w="346" w:type="dxa"/>
            <w:tcBorders/>
            <w:vAlign w:val="center"/>
          </w:tcPr>
          <w:p>
            <w:pPr>
              <w:pStyle w:val="TableContents"/>
              <w:bidi w:val="0"/>
              <w:spacing w:before="0" w:after="1"/>
              <w:ind w:left="0" w:right="0" w:hanging="0"/>
              <w:jc w:val="left"/>
              <w:rPr/>
            </w:pPr>
            <w:r>
              <w:rPr/>
              <w:t>​</w:t>
            </w:r>
          </w:p>
        </w:tc>
        <w:tc>
          <w:tcPr>
            <w:tcW w:w="23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67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67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392"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pPr>
            <w:r>
              <w:rPr/>
              <w:t> </w:t>
            </w:r>
          </w:p>
        </w:tc>
        <w:tc>
          <w:tcPr>
            <w:tcW w:w="78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pPr>
            <w:r>
              <w:rPr/>
              <w:t>  ​</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 Series B-1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 Series 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2,770</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promissory notes – related parties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18,889</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promissory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22,267</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22,267</w:t>
            </w:r>
          </w:p>
        </w:tc>
      </w:tr>
    </w:tbl>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00"/>
        <w:ind w:left="200" w:right="200" w:firstLine="360"/>
        <w:jc w:val="left"/>
        <w:rPr>
          <w:rFonts w:ascii="Times New Roman;Times;serif" w:hAnsi="Times New Roman;Times;serif"/>
          <w:sz w:val="20"/>
        </w:rPr>
      </w:pPr>
      <w:r>
        <w:rPr>
          <w:rFonts w:ascii="Times New Roman;Times;serif" w:hAnsi="Times New Roman;Times;serif"/>
          <w:sz w:val="20"/>
        </w:rPr>
        <w:t>The following table presents a roll-forward of the aggregate fair values of the Company’s Warrant liabilities and the Company’s Convertible promissory notes for which fair value is determined by Level 3 inputs (in thousands):</w:t>
      </w:r>
    </w:p>
    <w:tbl>
      <w:tblPr>
        <w:tblW w:w="9703" w:type="dxa"/>
        <w:jc w:val="left"/>
        <w:tblInd w:w="200" w:type="dxa"/>
        <w:tblLayout w:type="fixed"/>
        <w:tblCellMar>
          <w:top w:w="0" w:type="dxa"/>
          <w:left w:w="0" w:type="dxa"/>
          <w:bottom w:w="0" w:type="dxa"/>
          <w:right w:w="0" w:type="dxa"/>
        </w:tblCellMar>
      </w:tblPr>
      <w:tblGrid>
        <w:gridCol w:w="3421"/>
        <w:gridCol w:w="346"/>
        <w:gridCol w:w="211"/>
        <w:gridCol w:w="676"/>
        <w:gridCol w:w="346"/>
        <w:gridCol w:w="304"/>
        <w:gridCol w:w="612"/>
        <w:gridCol w:w="346"/>
        <w:gridCol w:w="211"/>
        <w:gridCol w:w="571"/>
        <w:gridCol w:w="346"/>
        <w:gridCol w:w="228"/>
        <w:gridCol w:w="733"/>
        <w:gridCol w:w="346"/>
        <w:gridCol w:w="239"/>
        <w:gridCol w:w="767"/>
      </w:tblGrid>
      <w:tr>
        <w:trPr/>
        <w:tc>
          <w:tcPr>
            <w:tcW w:w="3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6"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29260" cy="175260"/>
                      <wp:effectExtent l="0" t="0" r="0" b="0"/>
                      <wp:wrapNone/>
                      <wp:docPr id="207" name="Frame2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93040" cy="175260"/>
                      <wp:effectExtent l="0" t="0" r="0" b="0"/>
                      <wp:wrapNone/>
                      <wp:docPr id="209" name="Frame20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88620" cy="175260"/>
                      <wp:effectExtent l="0" t="0" r="0" b="0"/>
                      <wp:wrapNone/>
                      <wp:docPr id="210" name="Frame209"/>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2"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62585" cy="175260"/>
                      <wp:effectExtent l="0" t="0" r="0" b="0"/>
                      <wp:wrapNone/>
                      <wp:docPr id="213" name="Frame2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4780" cy="175260"/>
                      <wp:effectExtent l="0" t="0" r="0" b="0"/>
                      <wp:wrapNone/>
                      <wp:docPr id="215" name="Frame21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65455" cy="175260"/>
                      <wp:effectExtent l="0" t="0" r="0" b="0"/>
                      <wp:wrapNone/>
                      <wp:docPr id="216" name="Frame215"/>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51765" cy="175260"/>
                      <wp:effectExtent l="0" t="0" r="0" b="0"/>
                      <wp:wrapNone/>
                      <wp:docPr id="218" name="Frame21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87045" cy="175260"/>
                      <wp:effectExtent l="0" t="0" r="0" b="0"/>
                      <wp:wrapNone/>
                      <wp:docPr id="219" name="Frame21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6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center"/>
              <w:rPr/>
            </w:pPr>
            <w:r>
              <w:rPr/>
              <w:t>​</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6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Promissory</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center"/>
              <w:rPr/>
            </w:pPr>
            <w:r>
              <w:rPr/>
              <w:t>​</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4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Liability</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Liability</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 </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Promissory</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 - 1</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D</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Parties</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r>
      <w:tr>
        <w:trPr/>
        <w:tc>
          <w:tcPr>
            <w:tcW w:w="34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convertible promissory notes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6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issuance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6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convertible promissory notes</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676"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1"/>
              <w:ind w:left="0" w:right="0" w:hanging="0"/>
              <w:jc w:val="left"/>
              <w:rPr/>
            </w:pPr>
            <w:r>
              <w:rPr/>
              <w:t>​</w:t>
            </w:r>
          </w:p>
        </w:tc>
        <w:tc>
          <w:tcPr>
            <w:tcW w:w="304"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612"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57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733"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1"/>
              <w:ind w:left="0" w:right="0" w:hanging="0"/>
              <w:jc w:val="left"/>
              <w:rPr/>
            </w:pPr>
            <w:r>
              <w:rPr/>
              <w:t>​</w:t>
            </w:r>
          </w:p>
        </w:tc>
        <w:tc>
          <w:tcPr>
            <w:tcW w:w="239"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767"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issuance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6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6,619</w:t>
            </w:r>
          </w:p>
        </w:tc>
        <w:tc>
          <w:tcPr>
            <w:tcW w:w="346"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1,736</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4,389</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22,267</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18,889</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convertible promissory notes</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676"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4,300</w:t>
            </w:r>
          </w:p>
        </w:tc>
        <w:tc>
          <w:tcPr>
            <w:tcW w:w="346" w:type="dxa"/>
            <w:tcBorders/>
            <w:vAlign w:val="center"/>
          </w:tcPr>
          <w:p>
            <w:pPr>
              <w:pStyle w:val="TableContents"/>
              <w:bidi w:val="0"/>
              <w:spacing w:before="0" w:after="1"/>
              <w:ind w:left="0" w:right="0" w:hanging="0"/>
              <w:jc w:val="left"/>
              <w:rPr/>
            </w:pPr>
            <w:r>
              <w:rPr/>
              <w:t>​</w:t>
            </w:r>
          </w:p>
        </w:tc>
        <w:tc>
          <w:tcPr>
            <w:tcW w:w="304"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612"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57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733"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767"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4,300</w:t>
            </w:r>
          </w:p>
        </w:tc>
      </w:tr>
      <w:tr>
        <w:trPr/>
        <w:tc>
          <w:tcPr>
            <w:tcW w:w="34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issuance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6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w:t>
            </w:r>
          </w:p>
        </w:tc>
        <w:tc>
          <w:tcPr>
            <w:tcW w:w="346"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34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28,380</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2,803</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20,296</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4,600</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Certain of the Company’s financial instruments are not measured at fair value on a recurring basis but are recorded at amounts that approximate their fair value due to their liquid or short-term nature, such as accounts payable, accrued expenses, and other current liabilities.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Warrant Liability Series B-1</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the issuance of Series B-1 redeemable convertible preferred stock of the Company (“Series B-1”) on October 28, 2019, the Company entered into a warrant agreement with Massachusetts Development Finance Agency, or its registered assignees to purchase 19,930 Series B-1 redeemable convertible preferred stock (“Series B-1 Warrant Agreements”). The warrant was issued at a purchase price of $0.81 per share, with a maturity date of February 1, 2029, or the closing of the Company’s Initial Public Offering.</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Warrant Liability Series 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the issuance of Series D redeemable convertible preferred stock of the Company (“Series D”) on November 30, 2021, the Company entered into a warrant for preferred stock with each of Mercedes-Benz Investment Company LLC and Stellantis(each a “Holder”) (“Series D Agreement”). Upon closing of the Series D Agreement, Mercedes-Benz Investment Company LLC and its affiliates (“Mercedes-Benz”) and Stellantis became related parties to the Company. During 2022, the Warrant Agreements were amended and restated with both Stellantis and Mercedes-Benz to eliminate certain milestone-based provisions. The Amended Warrants modified the original agreements by setting the number of shares issuable upon exercise at a fixed 137,814 shares per Holder at a fixed price of $27.2105 per share. The warrants have a maturity date of February 1, 2029, or the closing of the Company’s Initial Public Offering. The Amended Warrants remain consistent with the Warrant Agreements to require settlement through the issuance of the then most senior redeemable convertible preferred stock of the Company to the Holder. At inception, the monetary value of the obligation is based on a fixed monetary amount known at inception.</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To estimate the fair value of the Series B-1 and D Warrant Agreements, the Company applied the Probability Weighted Equity Return Method (“PWERM”). Under this approach, the Company develops multiple scenarios and ascribes a probability weighting to each scenario and related estimated fair value. Key inputs and assumptions in the PWERM include the probability and the estimated value of the security in each liquidity scenario, in addition to scenario specific assumptions. The two scenarios used in the valuation of the Series B-1 and D Warrant Agreements are a SPAC Exit scenario and Option Pricing Method scenario. The Company applied a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90% weighting to the SPAC Exit Scenario and 10% to the Option Pricing Method (“OPM”) scenario as of March 31, 2026. The Company applied a 75% weighting to the SPAC Exit Scenario and 25% to the OPM scenario as of December 31, 2025.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are assumptions used in valuing the Series B-1 and D Warrant Agreements in the SPAC Exit scenario, as of March 31, 2026:</w:t>
      </w:r>
    </w:p>
    <w:tbl>
      <w:tblPr>
        <w:tblW w:w="5301" w:type="dxa"/>
        <w:jc w:val="left"/>
        <w:tblInd w:w="200" w:type="dxa"/>
        <w:tblLayout w:type="fixed"/>
        <w:tblCellMar>
          <w:top w:w="0" w:type="dxa"/>
          <w:left w:w="0" w:type="dxa"/>
          <w:bottom w:w="0" w:type="dxa"/>
          <w:right w:w="0" w:type="dxa"/>
        </w:tblCellMar>
      </w:tblPr>
      <w:tblGrid>
        <w:gridCol w:w="2671"/>
        <w:gridCol w:w="346"/>
        <w:gridCol w:w="222"/>
        <w:gridCol w:w="603"/>
        <w:gridCol w:w="361"/>
        <w:gridCol w:w="211"/>
        <w:gridCol w:w="571"/>
        <w:gridCol w:w="316"/>
      </w:tblGrid>
      <w:tr>
        <w:trPr/>
        <w:tc>
          <w:tcPr>
            <w:tcW w:w="26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0970" cy="175260"/>
                      <wp:effectExtent l="0" t="0" r="0" b="0"/>
                      <wp:wrapNone/>
                      <wp:docPr id="221" name="Frame22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82905" cy="175260"/>
                      <wp:effectExtent l="0" t="0" r="0" b="0"/>
                      <wp:wrapNone/>
                      <wp:docPr id="222" name="Frame221"/>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9235" cy="175260"/>
                      <wp:effectExtent l="0" t="0" r="0" b="0"/>
                      <wp:wrapNone/>
                      <wp:docPr id="223" name="Frame22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4"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62585" cy="175260"/>
                      <wp:effectExtent l="0" t="0" r="0" b="0"/>
                      <wp:wrapNone/>
                      <wp:docPr id="225" name="Frame2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0660" cy="175260"/>
                      <wp:effectExtent l="0" t="0" r="0" b="0"/>
                      <wp:wrapNone/>
                      <wp:docPr id="226" name="Frame22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B-1</w:t>
            </w:r>
          </w:p>
        </w:tc>
        <w:tc>
          <w:tcPr>
            <w:tcW w:w="361"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D</w:t>
            </w:r>
          </w:p>
        </w:tc>
        <w:tc>
          <w:tcPr>
            <w:tcW w:w="316" w:type="dxa"/>
            <w:tcBorders/>
            <w:vAlign w:val="center"/>
          </w:tcPr>
          <w:p>
            <w:pPr>
              <w:pStyle w:val="TableContents"/>
              <w:bidi w:val="0"/>
              <w:spacing w:before="0" w:after="1"/>
              <w:ind w:left="0" w:right="0" w:hanging="0"/>
              <w:jc w:val="left"/>
              <w:rPr/>
            </w:pPr>
            <w:r>
              <w:rPr/>
              <w:t> </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 (in years)</w:t>
            </w:r>
          </w:p>
        </w:tc>
        <w:tc>
          <w:tcPr>
            <w:tcW w:w="346" w:type="dxa"/>
            <w:tcBorders/>
            <w:vAlign w:val="center"/>
          </w:tcPr>
          <w:p>
            <w:pPr>
              <w:pStyle w:val="TableContents"/>
              <w:bidi w:val="0"/>
              <w:spacing w:before="0" w:after="1"/>
              <w:ind w:left="0" w:right="0" w:hanging="0"/>
              <w:jc w:val="left"/>
              <w:rPr/>
            </w:pPr>
            <w:r>
              <w:rPr/>
              <w:t> </w:t>
            </w:r>
          </w:p>
        </w:tc>
        <w:tc>
          <w:tcPr>
            <w:tcW w:w="222" w:type="dxa"/>
            <w:tcBorders/>
            <w:vAlign w:val="center"/>
          </w:tcPr>
          <w:p>
            <w:pPr>
              <w:pStyle w:val="TableContents"/>
              <w:bidi w:val="0"/>
              <w:spacing w:before="0" w:after="1"/>
              <w:ind w:left="0" w:right="0" w:hanging="0"/>
              <w:jc w:val="left"/>
              <w:rPr/>
            </w:pPr>
            <w:r>
              <w:rPr/>
              <w:t>​</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16" w:type="dxa"/>
            <w:tcBorders/>
            <w:vAlign w:val="center"/>
          </w:tcPr>
          <w:p>
            <w:pPr>
              <w:pStyle w:val="TableContents"/>
              <w:bidi w:val="0"/>
              <w:spacing w:before="0" w:after="1"/>
              <w:ind w:left="0" w:right="0" w:hanging="0"/>
              <w:jc w:val="lef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Future projected price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27.21</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are assumptions used in valuing the Series B-1 and D Warrant Agreements in the SPAC Exit scenario, as of December 31, 2025:</w:t>
      </w:r>
    </w:p>
    <w:tbl>
      <w:tblPr>
        <w:tblW w:w="5301" w:type="dxa"/>
        <w:jc w:val="left"/>
        <w:tblInd w:w="200" w:type="dxa"/>
        <w:tblLayout w:type="fixed"/>
        <w:tblCellMar>
          <w:top w:w="0" w:type="dxa"/>
          <w:left w:w="0" w:type="dxa"/>
          <w:bottom w:w="0" w:type="dxa"/>
          <w:right w:w="0" w:type="dxa"/>
        </w:tblCellMar>
      </w:tblPr>
      <w:tblGrid>
        <w:gridCol w:w="2671"/>
        <w:gridCol w:w="346"/>
        <w:gridCol w:w="222"/>
        <w:gridCol w:w="603"/>
        <w:gridCol w:w="361"/>
        <w:gridCol w:w="211"/>
        <w:gridCol w:w="571"/>
        <w:gridCol w:w="316"/>
      </w:tblGrid>
      <w:tr>
        <w:trPr/>
        <w:tc>
          <w:tcPr>
            <w:tcW w:w="26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7"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40970" cy="175260"/>
                      <wp:effectExtent l="0" t="0" r="0" b="0"/>
                      <wp:wrapNone/>
                      <wp:docPr id="228" name="Frame22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82905" cy="175260"/>
                      <wp:effectExtent l="0" t="0" r="0" b="0"/>
                      <wp:wrapNone/>
                      <wp:docPr id="229" name="Frame228"/>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9235" cy="175260"/>
                      <wp:effectExtent l="0" t="0" r="0" b="0"/>
                      <wp:wrapNone/>
                      <wp:docPr id="230" name="Frame22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1"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62585" cy="175260"/>
                      <wp:effectExtent l="0" t="0" r="0" b="0"/>
                      <wp:wrapNone/>
                      <wp:docPr id="232" name="Frame2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0660" cy="175260"/>
                      <wp:effectExtent l="0" t="0" r="0" b="0"/>
                      <wp:wrapNone/>
                      <wp:docPr id="233" name="Frame23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B-1</w:t>
            </w:r>
          </w:p>
        </w:tc>
        <w:tc>
          <w:tcPr>
            <w:tcW w:w="361"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D</w:t>
            </w:r>
          </w:p>
        </w:tc>
        <w:tc>
          <w:tcPr>
            <w:tcW w:w="316" w:type="dxa"/>
            <w:tcBorders/>
            <w:vAlign w:val="center"/>
          </w:tcPr>
          <w:p>
            <w:pPr>
              <w:pStyle w:val="TableContents"/>
              <w:bidi w:val="0"/>
              <w:spacing w:before="0" w:after="1"/>
              <w:ind w:left="0" w:right="0" w:hanging="0"/>
              <w:jc w:val="left"/>
              <w:rPr/>
            </w:pPr>
            <w:r>
              <w:rPr/>
              <w:t> </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 (in years)</w:t>
            </w:r>
          </w:p>
        </w:tc>
        <w:tc>
          <w:tcPr>
            <w:tcW w:w="346" w:type="dxa"/>
            <w:tcBorders/>
            <w:vAlign w:val="center"/>
          </w:tcPr>
          <w:p>
            <w:pPr>
              <w:pStyle w:val="TableContents"/>
              <w:bidi w:val="0"/>
              <w:spacing w:before="0" w:after="1"/>
              <w:ind w:left="0" w:right="0" w:hanging="0"/>
              <w:jc w:val="left"/>
              <w:rPr/>
            </w:pPr>
            <w:r>
              <w:rPr/>
              <w:t> </w:t>
            </w:r>
          </w:p>
        </w:tc>
        <w:tc>
          <w:tcPr>
            <w:tcW w:w="222" w:type="dxa"/>
            <w:tcBorders/>
            <w:vAlign w:val="center"/>
          </w:tcPr>
          <w:p>
            <w:pPr>
              <w:pStyle w:val="TableContents"/>
              <w:bidi w:val="0"/>
              <w:spacing w:before="0" w:after="1"/>
              <w:ind w:left="0" w:right="0" w:hanging="0"/>
              <w:jc w:val="left"/>
              <w:rPr/>
            </w:pPr>
            <w:r>
              <w:rPr/>
              <w:t>​</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0.38</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0.38</w:t>
            </w:r>
          </w:p>
        </w:tc>
        <w:tc>
          <w:tcPr>
            <w:tcW w:w="316" w:type="dxa"/>
            <w:tcBorders/>
            <w:vAlign w:val="center"/>
          </w:tcPr>
          <w:p>
            <w:pPr>
              <w:pStyle w:val="TableContents"/>
              <w:bidi w:val="0"/>
              <w:spacing w:before="0" w:after="1"/>
              <w:ind w:left="0" w:right="0" w:hanging="0"/>
              <w:jc w:val="lef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Future projected price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27.21</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significant unobservable inputs used in the fair value measurement of the Series B-1 and D warrant liability in the SPAC Exit scenario are the discount rate and the expected life. The future projected price per share is estimated based on the SPAC purchase price as outlined in the Company’s Business Combination Agreement. The discount rate reflects current market assessments of the time of value of money and the risks specific to the Company given its stage of development.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expected life is based upon the fact that the Warrant Agreements would not persist through a liquidity event, and therefore the expected life is based upon management’s estimated holding period to an exit/liquidity event.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are the assumptions used in valuing the Series B-1 and D Warrant Agreements in the OPM scenario, as of March 31, 2026:</w:t>
      </w:r>
    </w:p>
    <w:tbl>
      <w:tblPr>
        <w:tblW w:w="5181" w:type="dxa"/>
        <w:jc w:val="left"/>
        <w:tblInd w:w="200" w:type="dxa"/>
        <w:tblLayout w:type="fixed"/>
        <w:tblCellMar>
          <w:top w:w="0" w:type="dxa"/>
          <w:left w:w="0" w:type="dxa"/>
          <w:bottom w:w="0" w:type="dxa"/>
          <w:right w:w="0" w:type="dxa"/>
        </w:tblCellMar>
      </w:tblPr>
      <w:tblGrid>
        <w:gridCol w:w="2551"/>
        <w:gridCol w:w="346"/>
        <w:gridCol w:w="222"/>
        <w:gridCol w:w="603"/>
        <w:gridCol w:w="361"/>
        <w:gridCol w:w="211"/>
        <w:gridCol w:w="571"/>
        <w:gridCol w:w="316"/>
      </w:tblGrid>
      <w:tr>
        <w:trPr/>
        <w:tc>
          <w:tcPr>
            <w:tcW w:w="2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0970" cy="175260"/>
                      <wp:effectExtent l="0" t="0" r="0" b="0"/>
                      <wp:wrapNone/>
                      <wp:docPr id="235" name="Frame234"/>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82905" cy="175260"/>
                      <wp:effectExtent l="0" t="0" r="0" b="0"/>
                      <wp:wrapNone/>
                      <wp:docPr id="236" name="Frame235"/>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29235" cy="175260"/>
                      <wp:effectExtent l="0" t="0" r="0" b="0"/>
                      <wp:wrapNone/>
                      <wp:docPr id="237" name="Frame2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8"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62585" cy="175260"/>
                      <wp:effectExtent l="0" t="0" r="0" b="0"/>
                      <wp:wrapNone/>
                      <wp:docPr id="239" name="Frame2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0660" cy="175260"/>
                      <wp:effectExtent l="0" t="0" r="0" b="0"/>
                      <wp:wrapNone/>
                      <wp:docPr id="240" name="Frame23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B-1</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D</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value</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Assumed volatility</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Assumed risk-free interest rate</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 (in years)</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dividends</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are the assumptions used in valuing the Series B-1 and D Warrant Agreements in the OPM scenario, as of December 31, 2025:</w:t>
      </w:r>
    </w:p>
    <w:tbl>
      <w:tblPr>
        <w:tblW w:w="5181" w:type="dxa"/>
        <w:jc w:val="left"/>
        <w:tblInd w:w="200" w:type="dxa"/>
        <w:tblLayout w:type="fixed"/>
        <w:tblCellMar>
          <w:top w:w="0" w:type="dxa"/>
          <w:left w:w="0" w:type="dxa"/>
          <w:bottom w:w="0" w:type="dxa"/>
          <w:right w:w="0" w:type="dxa"/>
        </w:tblCellMar>
      </w:tblPr>
      <w:tblGrid>
        <w:gridCol w:w="2551"/>
        <w:gridCol w:w="346"/>
        <w:gridCol w:w="222"/>
        <w:gridCol w:w="603"/>
        <w:gridCol w:w="361"/>
        <w:gridCol w:w="211"/>
        <w:gridCol w:w="571"/>
        <w:gridCol w:w="316"/>
      </w:tblGrid>
      <w:tr>
        <w:trPr/>
        <w:tc>
          <w:tcPr>
            <w:tcW w:w="2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1"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40970" cy="175260"/>
                      <wp:effectExtent l="0" t="0" r="0" b="0"/>
                      <wp:wrapNone/>
                      <wp:docPr id="242" name="Frame24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82905" cy="175260"/>
                      <wp:effectExtent l="0" t="0" r="0" b="0"/>
                      <wp:wrapNone/>
                      <wp:docPr id="243" name="Frame242"/>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29235" cy="175260"/>
                      <wp:effectExtent l="0" t="0" r="0" b="0"/>
                      <wp:wrapNone/>
                      <wp:docPr id="244" name="Frame2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5"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62585" cy="175260"/>
                      <wp:effectExtent l="0" t="0" r="0" b="0"/>
                      <wp:wrapNone/>
                      <wp:docPr id="246" name="Frame2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0660" cy="175260"/>
                      <wp:effectExtent l="0" t="0" r="0" b="0"/>
                      <wp:wrapNone/>
                      <wp:docPr id="247" name="Frame2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B-1</w:t>
            </w:r>
          </w:p>
        </w:tc>
        <w:tc>
          <w:tcPr>
            <w:tcW w:w="361"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D</w:t>
            </w:r>
          </w:p>
        </w:tc>
        <w:tc>
          <w:tcPr>
            <w:tcW w:w="316" w:type="dxa"/>
            <w:tcBorders/>
            <w:vAlign w:val="center"/>
          </w:tcPr>
          <w:p>
            <w:pPr>
              <w:pStyle w:val="TableContents"/>
              <w:bidi w:val="0"/>
              <w:spacing w:before="0" w:after="1"/>
              <w:ind w:left="0" w:right="0" w:hanging="0"/>
              <w:jc w:val="left"/>
              <w:rPr/>
            </w:pPr>
            <w:r>
              <w:rPr/>
              <w:t> </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value</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Assumed volatility</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Assumed risk-free interest rate</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 (in years)</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dividends</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significant unobservable inputs used in the fair value measurement of the Series B-1 and D warrant liability in the OPM scenario are the equity value of the Company, the expected life and assumed volatility. The equity value of the Company is derived from a discounted cash flow analysis based on the Company’s best estimates of future cash flows. The assumptions underlying these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valuations include projected future revenue and cash flows, discount rates, market adjustments and multiples, selection of comparable companies, the lack of marketability of our equity, and probability of possible future events, including the expected time to liquidity. These underlying assumptions represent our best estimates at the time they were made, which involves inherent uncertainty and the application of judgment. Changes to the key assumptions and estimates used in the valuations could result in materially different fair values of our common and preferred stock at each valuation date.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expected life is based upon the fact that the Warrant Agreements would not persist through a liquidity event, and therefore the expected life is based upon management’s estimated holding period to an exit/liquidity event. The expected volatility is based upon observed historical volatilities of a cohort of guideline public companies. Equity allocation mechanics are based upon the distribution waterfall as outlined in the Company’s operating agreement. Significant increases (decreases) in the equity value, the expected life, or the assumed volatility, could result in significantly higher (lower) fair value measurements.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March 31, 2026, the Company had reserved 295,558 shares of common stock for potential conversion of Series B-1 and D Warrants.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Convertible Promissory Notes – Related Parties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To estimate the fair value of the August 2025 Notes, the Company applied the SBM method. The fair value of the August 2025 Notes includes an estimate of the value of accrued interest. The significant unobservable inputs used in the fair value measurement of the August 2025 Notes are the underlying share value, the expected life, assumed volatility, assumed discount rate, share value, and the probability of scenarios.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assumptions used in determining the fair value of the August 2025 Notes under the SBM during the three months ended March 31, 2026, were as follows:</w:t>
      </w:r>
    </w:p>
    <w:tbl>
      <w:tblPr>
        <w:tblW w:w="4864" w:type="dxa"/>
        <w:jc w:val="left"/>
        <w:tblInd w:w="200" w:type="dxa"/>
        <w:tblLayout w:type="fixed"/>
        <w:tblCellMar>
          <w:top w:w="0" w:type="dxa"/>
          <w:left w:w="0" w:type="dxa"/>
          <w:bottom w:w="0" w:type="dxa"/>
          <w:right w:w="0" w:type="dxa"/>
        </w:tblCellMar>
      </w:tblPr>
      <w:tblGrid>
        <w:gridCol w:w="2551"/>
        <w:gridCol w:w="346"/>
        <w:gridCol w:w="445"/>
        <w:gridCol w:w="1206"/>
        <w:gridCol w:w="316"/>
      </w:tblGrid>
      <w:tr>
        <w:trPr/>
        <w:tc>
          <w:tcPr>
            <w:tcW w:w="2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82575" cy="175260"/>
                      <wp:effectExtent l="0" t="0" r="0" b="0"/>
                      <wp:wrapNone/>
                      <wp:docPr id="249" name="Frame248"/>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765810" cy="175260"/>
                      <wp:effectExtent l="0" t="0" r="0" b="0"/>
                      <wp:wrapNone/>
                      <wp:docPr id="250" name="Frame249"/>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0660" cy="175260"/>
                      <wp:effectExtent l="0" t="0" r="0" b="0"/>
                      <wp:wrapNone/>
                      <wp:docPr id="251" name="Frame25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D </w:t>
            </w:r>
          </w:p>
        </w:tc>
        <w:tc>
          <w:tcPr>
            <w:tcW w:w="316" w:type="dxa"/>
            <w:tcBorders/>
            <w:vAlign w:val="center"/>
          </w:tcPr>
          <w:p>
            <w:pPr>
              <w:pStyle w:val="TableContents"/>
              <w:bidi w:val="0"/>
              <w:spacing w:before="0" w:after="1"/>
              <w:ind w:left="0" w:right="0" w:hanging="0"/>
              <w:jc w:val="left"/>
              <w:rPr/>
            </w:pPr>
            <w:r>
              <w:rPr/>
              <w:t> </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316" w:type="dxa"/>
            <w:tcBorders/>
            <w:vAlign w:val="center"/>
          </w:tcPr>
          <w:p>
            <w:pPr>
              <w:pStyle w:val="TableContents"/>
              <w:bidi w:val="0"/>
              <w:spacing w:before="0" w:after="1"/>
              <w:ind w:left="0" w:right="0" w:hanging="0"/>
              <w:jc w:val="left"/>
              <w:rPr/>
            </w:pPr>
            <w:r>
              <w:rPr/>
              <w:t> </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16" w:type="dxa"/>
            <w:tcBorders/>
            <w:vAlign w:val="center"/>
          </w:tcPr>
          <w:p>
            <w:pPr>
              <w:pStyle w:val="TableContents"/>
              <w:bidi w:val="0"/>
              <w:spacing w:before="0" w:after="1"/>
              <w:ind w:left="0" w:right="0" w:hanging="0"/>
              <w:jc w:val="left"/>
              <w:rPr/>
            </w:pPr>
            <w:r>
              <w:rPr/>
              <w:t> </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SPAC Exit Scenario</w:t>
            </w:r>
          </w:p>
        </w:tc>
        <w:tc>
          <w:tcPr>
            <w:tcW w:w="346" w:type="dxa"/>
            <w:tcBorders/>
            <w:shd w:fill="CCEEFF" w:val="clear"/>
            <w:vAlign w:val="center"/>
          </w:tcPr>
          <w:p>
            <w:pPr>
              <w:pStyle w:val="TableContents"/>
              <w:bidi w:val="0"/>
              <w:spacing w:before="0" w:after="1"/>
              <w:ind w:left="0" w:right="0" w:hanging="0"/>
              <w:jc w:val="left"/>
              <w:rPr/>
            </w:pPr>
            <w:r>
              <w:rPr/>
              <w:t> </w:t>
            </w:r>
          </w:p>
        </w:tc>
        <w:tc>
          <w:tcPr>
            <w:tcW w:w="445" w:type="dxa"/>
            <w:tcBorders/>
            <w:shd w:fill="CCEEFF" w:val="clear"/>
            <w:vAlign w:val="center"/>
          </w:tcPr>
          <w:p>
            <w:pPr>
              <w:pStyle w:val="TableContents"/>
              <w:bidi w:val="0"/>
              <w:spacing w:before="0" w:after="1"/>
              <w:ind w:left="0" w:right="0" w:hanging="0"/>
              <w:jc w:val="left"/>
              <w:rPr/>
            </w:pPr>
            <w:r>
              <w:rPr/>
              <w:t>​</w:t>
            </w:r>
          </w:p>
        </w:tc>
        <w:tc>
          <w:tcPr>
            <w:tcW w:w="12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Qualified Financing Scenario</w:t>
            </w:r>
          </w:p>
        </w:tc>
        <w:tc>
          <w:tcPr>
            <w:tcW w:w="346" w:type="dxa"/>
            <w:tcBorders/>
            <w:vAlign w:val="center"/>
          </w:tcPr>
          <w:p>
            <w:pPr>
              <w:pStyle w:val="TableContents"/>
              <w:bidi w:val="0"/>
              <w:spacing w:before="0" w:after="1"/>
              <w:ind w:left="0" w:right="0" w:hanging="0"/>
              <w:jc w:val="left"/>
              <w:rPr/>
            </w:pPr>
            <w:r>
              <w:rPr/>
              <w:t> </w:t>
            </w:r>
          </w:p>
        </w:tc>
        <w:tc>
          <w:tcPr>
            <w:tcW w:w="445" w:type="dxa"/>
            <w:tcBorders/>
            <w:vAlign w:val="center"/>
          </w:tcPr>
          <w:p>
            <w:pPr>
              <w:pStyle w:val="TableContents"/>
              <w:bidi w:val="0"/>
              <w:spacing w:before="0" w:after="1"/>
              <w:ind w:left="0" w:right="0" w:hanging="0"/>
              <w:jc w:val="left"/>
              <w:rPr/>
            </w:pPr>
            <w:r>
              <w:rPr/>
              <w:t>​</w:t>
            </w:r>
          </w:p>
        </w:tc>
        <w:tc>
          <w:tcPr>
            <w:tcW w:w="12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Dissolution Scenario</w:t>
            </w:r>
          </w:p>
        </w:tc>
        <w:tc>
          <w:tcPr>
            <w:tcW w:w="346" w:type="dxa"/>
            <w:tcBorders/>
            <w:shd w:fill="CCEEFF" w:val="clear"/>
            <w:vAlign w:val="center"/>
          </w:tcPr>
          <w:p>
            <w:pPr>
              <w:pStyle w:val="TableContents"/>
              <w:bidi w:val="0"/>
              <w:spacing w:before="0" w:after="1"/>
              <w:ind w:left="0" w:right="0" w:hanging="0"/>
              <w:jc w:val="left"/>
              <w:rPr/>
            </w:pPr>
            <w:r>
              <w:rPr/>
              <w:t> </w:t>
            </w:r>
          </w:p>
        </w:tc>
        <w:tc>
          <w:tcPr>
            <w:tcW w:w="445" w:type="dxa"/>
            <w:tcBorders/>
            <w:shd w:fill="CCEEFF" w:val="clear"/>
            <w:vAlign w:val="center"/>
          </w:tcPr>
          <w:p>
            <w:pPr>
              <w:pStyle w:val="TableContents"/>
              <w:bidi w:val="0"/>
              <w:spacing w:before="0" w:after="1"/>
              <w:ind w:left="0" w:right="0" w:hanging="0"/>
              <w:jc w:val="left"/>
              <w:rPr/>
            </w:pPr>
            <w:r>
              <w:rPr/>
              <w:t>​</w:t>
            </w:r>
          </w:p>
        </w:tc>
        <w:tc>
          <w:tcPr>
            <w:tcW w:w="12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Assumed volatility</w:t>
            </w:r>
          </w:p>
        </w:tc>
        <w:tc>
          <w:tcPr>
            <w:tcW w:w="346" w:type="dxa"/>
            <w:tcBorders/>
            <w:vAlign w:val="center"/>
          </w:tcPr>
          <w:p>
            <w:pPr>
              <w:pStyle w:val="TableContents"/>
              <w:bidi w:val="0"/>
              <w:spacing w:before="0" w:after="1"/>
              <w:ind w:left="0" w:right="0" w:hanging="0"/>
              <w:jc w:val="left"/>
              <w:rPr/>
            </w:pPr>
            <w:r>
              <w:rPr/>
              <w:t> </w:t>
            </w:r>
          </w:p>
        </w:tc>
        <w:tc>
          <w:tcPr>
            <w:tcW w:w="445" w:type="dxa"/>
            <w:tcBorders/>
            <w:vAlign w:val="center"/>
          </w:tcPr>
          <w:p>
            <w:pPr>
              <w:pStyle w:val="TableContents"/>
              <w:bidi w:val="0"/>
              <w:spacing w:before="0" w:after="1"/>
              <w:ind w:left="0" w:right="0" w:hanging="0"/>
              <w:jc w:val="left"/>
              <w:rPr/>
            </w:pPr>
            <w:r>
              <w:rPr/>
              <w:t>​</w:t>
            </w:r>
          </w:p>
        </w:tc>
        <w:tc>
          <w:tcPr>
            <w:tcW w:w="12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Assumed risk-free interest rate</w:t>
            </w:r>
          </w:p>
        </w:tc>
        <w:tc>
          <w:tcPr>
            <w:tcW w:w="346" w:type="dxa"/>
            <w:tcBorders/>
            <w:shd w:fill="CCEEFF" w:val="clear"/>
            <w:vAlign w:val="center"/>
          </w:tcPr>
          <w:p>
            <w:pPr>
              <w:pStyle w:val="TableContents"/>
              <w:bidi w:val="0"/>
              <w:spacing w:before="0" w:after="1"/>
              <w:ind w:left="0" w:right="0" w:hanging="0"/>
              <w:jc w:val="left"/>
              <w:rPr/>
            </w:pPr>
            <w:r>
              <w:rPr/>
              <w:t> </w:t>
            </w:r>
          </w:p>
        </w:tc>
        <w:tc>
          <w:tcPr>
            <w:tcW w:w="445" w:type="dxa"/>
            <w:tcBorders/>
            <w:shd w:fill="CCEEFF" w:val="clear"/>
            <w:vAlign w:val="center"/>
          </w:tcPr>
          <w:p>
            <w:pPr>
              <w:pStyle w:val="TableContents"/>
              <w:bidi w:val="0"/>
              <w:spacing w:before="0" w:after="1"/>
              <w:ind w:left="0" w:right="0" w:hanging="0"/>
              <w:jc w:val="left"/>
              <w:rPr/>
            </w:pPr>
            <w:r>
              <w:rPr/>
              <w:t>​</w:t>
            </w:r>
          </w:p>
        </w:tc>
        <w:tc>
          <w:tcPr>
            <w:tcW w:w="12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 (in years)</w:t>
            </w:r>
          </w:p>
        </w:tc>
        <w:tc>
          <w:tcPr>
            <w:tcW w:w="346" w:type="dxa"/>
            <w:tcBorders/>
            <w:vAlign w:val="center"/>
          </w:tcPr>
          <w:p>
            <w:pPr>
              <w:pStyle w:val="TableContents"/>
              <w:bidi w:val="0"/>
              <w:spacing w:before="0" w:after="1"/>
              <w:ind w:left="0" w:right="0" w:hanging="0"/>
              <w:jc w:val="left"/>
              <w:rPr/>
            </w:pPr>
            <w:r>
              <w:rPr/>
              <w:t> </w:t>
            </w:r>
          </w:p>
        </w:tc>
        <w:tc>
          <w:tcPr>
            <w:tcW w:w="445" w:type="dxa"/>
            <w:tcBorders/>
            <w:vAlign w:val="center"/>
          </w:tcPr>
          <w:p>
            <w:pPr>
              <w:pStyle w:val="TableContents"/>
              <w:bidi w:val="0"/>
              <w:spacing w:before="0" w:after="1"/>
              <w:ind w:left="0" w:right="0" w:hanging="0"/>
              <w:jc w:val="left"/>
              <w:rPr/>
            </w:pPr>
            <w:r>
              <w:rPr/>
              <w:t>​</w:t>
            </w:r>
          </w:p>
        </w:tc>
        <w:tc>
          <w:tcPr>
            <w:tcW w:w="12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0.50</w:t>
            </w:r>
          </w:p>
        </w:tc>
        <w:tc>
          <w:tcPr>
            <w:tcW w:w="316"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Assumed discount rate</w:t>
            </w:r>
          </w:p>
        </w:tc>
        <w:tc>
          <w:tcPr>
            <w:tcW w:w="346" w:type="dxa"/>
            <w:tcBorders/>
            <w:shd w:fill="CCEEFF" w:val="clear"/>
            <w:vAlign w:val="center"/>
          </w:tcPr>
          <w:p>
            <w:pPr>
              <w:pStyle w:val="TableContents"/>
              <w:bidi w:val="0"/>
              <w:spacing w:before="0" w:after="1"/>
              <w:ind w:left="0" w:right="0" w:hanging="0"/>
              <w:jc w:val="left"/>
              <w:rPr/>
            </w:pPr>
            <w:r>
              <w:rPr/>
              <w:t> </w:t>
            </w:r>
          </w:p>
        </w:tc>
        <w:tc>
          <w:tcPr>
            <w:tcW w:w="445" w:type="dxa"/>
            <w:tcBorders/>
            <w:shd w:fill="CCEEFF" w:val="clear"/>
            <w:vAlign w:val="center"/>
          </w:tcPr>
          <w:p>
            <w:pPr>
              <w:pStyle w:val="TableContents"/>
              <w:bidi w:val="0"/>
              <w:spacing w:before="0" w:after="1"/>
              <w:ind w:left="0" w:right="0" w:hanging="0"/>
              <w:jc w:val="left"/>
              <w:rPr/>
            </w:pPr>
            <w:r>
              <w:rPr/>
              <w:t>​</w:t>
            </w:r>
          </w:p>
        </w:tc>
        <w:tc>
          <w:tcPr>
            <w:tcW w:w="12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value</w:t>
            </w:r>
          </w:p>
        </w:tc>
        <w:tc>
          <w:tcPr>
            <w:tcW w:w="346"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37.35</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assumptions used in determining the fair value of the August 2025 Notes under the SBM as of December 31, 2025, were as follows:</w:t>
      </w:r>
    </w:p>
    <w:tbl>
      <w:tblPr>
        <w:tblW w:w="4714" w:type="dxa"/>
        <w:jc w:val="left"/>
        <w:tblInd w:w="200" w:type="dxa"/>
        <w:tblLayout w:type="fixed"/>
        <w:tblCellMar>
          <w:top w:w="0" w:type="dxa"/>
          <w:left w:w="0" w:type="dxa"/>
          <w:bottom w:w="0" w:type="dxa"/>
          <w:right w:w="0" w:type="dxa"/>
        </w:tblCellMar>
      </w:tblPr>
      <w:tblGrid>
        <w:gridCol w:w="2551"/>
        <w:gridCol w:w="346"/>
        <w:gridCol w:w="405"/>
        <w:gridCol w:w="1096"/>
        <w:gridCol w:w="316"/>
      </w:tblGrid>
      <w:tr>
        <w:trPr/>
        <w:tc>
          <w:tcPr>
            <w:tcW w:w="25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2"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57175" cy="175260"/>
                      <wp:effectExtent l="0" t="0" r="0" b="0"/>
                      <wp:wrapNone/>
                      <wp:docPr id="253" name="Frame252"/>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5960" cy="175260"/>
                      <wp:effectExtent l="0" t="0" r="0" b="0"/>
                      <wp:wrapNone/>
                      <wp:docPr id="254" name="Frame25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0660" cy="175260"/>
                      <wp:effectExtent l="0" t="0" r="0" b="0"/>
                      <wp:wrapNone/>
                      <wp:docPr id="255" name="Frame2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Series D</w:t>
            </w:r>
            <w:r>
              <w:rPr>
                <w:rFonts w:ascii="Times New Roman;Times;serif" w:hAnsi="Times New Roman;Times;serif"/>
                <w:sz w:val="16"/>
              </w:rPr>
              <w:t> </w:t>
            </w:r>
          </w:p>
        </w:tc>
        <w:tc>
          <w:tcPr>
            <w:tcW w:w="316" w:type="dxa"/>
            <w:tcBorders/>
            <w:vAlign w:val="center"/>
          </w:tcPr>
          <w:p>
            <w:pPr>
              <w:pStyle w:val="TableContents"/>
              <w:bidi w:val="0"/>
              <w:spacing w:before="0" w:after="1"/>
              <w:ind w:left="0" w:right="0" w:hanging="0"/>
              <w:jc w:val="left"/>
              <w:rPr/>
            </w:pPr>
            <w:r>
              <w:rPr/>
              <w:t> </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16" w:type="dxa"/>
            <w:tcBorders/>
            <w:vAlign w:val="center"/>
          </w:tcPr>
          <w:p>
            <w:pPr>
              <w:pStyle w:val="TableContents"/>
              <w:bidi w:val="0"/>
              <w:spacing w:before="0" w:after="1"/>
              <w:ind w:left="0" w:right="0" w:hanging="0"/>
              <w:jc w:val="left"/>
              <w:rPr/>
            </w:pPr>
            <w:r>
              <w:rPr/>
              <w:t> </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SPAC Exit Scenario</w:t>
            </w:r>
          </w:p>
        </w:tc>
        <w:tc>
          <w:tcPr>
            <w:tcW w:w="346" w:type="dxa"/>
            <w:tcBorders/>
            <w:shd w:fill="CCEEFF" w:val="clear"/>
            <w:vAlign w:val="center"/>
          </w:tcPr>
          <w:p>
            <w:pPr>
              <w:pStyle w:val="TableContents"/>
              <w:bidi w:val="0"/>
              <w:spacing w:before="0" w:after="1"/>
              <w:ind w:left="0" w:right="0" w:hanging="0"/>
              <w:jc w:val="left"/>
              <w:rPr/>
            </w:pPr>
            <w:r>
              <w:rPr/>
              <w:t> </w:t>
            </w:r>
          </w:p>
        </w:tc>
        <w:tc>
          <w:tcPr>
            <w:tcW w:w="405"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Qualified Financing Scenario</w:t>
            </w:r>
          </w:p>
        </w:tc>
        <w:tc>
          <w:tcPr>
            <w:tcW w:w="346" w:type="dxa"/>
            <w:tcBorders/>
            <w:vAlign w:val="center"/>
          </w:tcPr>
          <w:p>
            <w:pPr>
              <w:pStyle w:val="TableContents"/>
              <w:bidi w:val="0"/>
              <w:spacing w:before="0" w:after="1"/>
              <w:ind w:left="0" w:right="0" w:hanging="0"/>
              <w:jc w:val="left"/>
              <w:rPr/>
            </w:pPr>
            <w:r>
              <w:rPr/>
              <w:t> </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Dissolution Scenario</w:t>
            </w:r>
          </w:p>
        </w:tc>
        <w:tc>
          <w:tcPr>
            <w:tcW w:w="346" w:type="dxa"/>
            <w:tcBorders/>
            <w:shd w:fill="CCEEFF" w:val="clear"/>
            <w:vAlign w:val="center"/>
          </w:tcPr>
          <w:p>
            <w:pPr>
              <w:pStyle w:val="TableContents"/>
              <w:bidi w:val="0"/>
              <w:spacing w:before="0" w:after="1"/>
              <w:ind w:left="0" w:right="0" w:hanging="0"/>
              <w:jc w:val="left"/>
              <w:rPr/>
            </w:pPr>
            <w:r>
              <w:rPr/>
              <w:t> </w:t>
            </w:r>
          </w:p>
        </w:tc>
        <w:tc>
          <w:tcPr>
            <w:tcW w:w="405"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Assumed volatility</w:t>
            </w:r>
          </w:p>
        </w:tc>
        <w:tc>
          <w:tcPr>
            <w:tcW w:w="346" w:type="dxa"/>
            <w:tcBorders/>
            <w:vAlign w:val="center"/>
          </w:tcPr>
          <w:p>
            <w:pPr>
              <w:pStyle w:val="TableContents"/>
              <w:bidi w:val="0"/>
              <w:spacing w:before="0" w:after="1"/>
              <w:ind w:left="0" w:right="0" w:hanging="0"/>
              <w:jc w:val="left"/>
              <w:rPr/>
            </w:pPr>
            <w:r>
              <w:rPr/>
              <w:t> </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Assumed risk-free interest rate</w:t>
            </w:r>
          </w:p>
        </w:tc>
        <w:tc>
          <w:tcPr>
            <w:tcW w:w="346" w:type="dxa"/>
            <w:tcBorders/>
            <w:shd w:fill="CCEEFF" w:val="clear"/>
            <w:vAlign w:val="center"/>
          </w:tcPr>
          <w:p>
            <w:pPr>
              <w:pStyle w:val="TableContents"/>
              <w:bidi w:val="0"/>
              <w:spacing w:before="0" w:after="1"/>
              <w:ind w:left="0" w:right="0" w:hanging="0"/>
              <w:jc w:val="left"/>
              <w:rPr/>
            </w:pPr>
            <w:r>
              <w:rPr/>
              <w:t> </w:t>
            </w:r>
          </w:p>
        </w:tc>
        <w:tc>
          <w:tcPr>
            <w:tcW w:w="405"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 (in years)</w:t>
            </w:r>
          </w:p>
        </w:tc>
        <w:tc>
          <w:tcPr>
            <w:tcW w:w="346" w:type="dxa"/>
            <w:tcBorders/>
            <w:vAlign w:val="center"/>
          </w:tcPr>
          <w:p>
            <w:pPr>
              <w:pStyle w:val="TableContents"/>
              <w:bidi w:val="0"/>
              <w:spacing w:before="0" w:after="1"/>
              <w:ind w:left="0" w:right="0" w:hanging="0"/>
              <w:jc w:val="left"/>
              <w:rPr/>
            </w:pPr>
            <w:r>
              <w:rPr/>
              <w:t> </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0.75</w:t>
            </w:r>
          </w:p>
        </w:tc>
        <w:tc>
          <w:tcPr>
            <w:tcW w:w="316"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Assumed discount rate</w:t>
            </w:r>
          </w:p>
        </w:tc>
        <w:tc>
          <w:tcPr>
            <w:tcW w:w="346" w:type="dxa"/>
            <w:tcBorders/>
            <w:shd w:fill="CCEEFF" w:val="clear"/>
            <w:vAlign w:val="center"/>
          </w:tcPr>
          <w:p>
            <w:pPr>
              <w:pStyle w:val="TableContents"/>
              <w:bidi w:val="0"/>
              <w:spacing w:before="0" w:after="1"/>
              <w:ind w:left="0" w:right="0" w:hanging="0"/>
              <w:jc w:val="left"/>
              <w:rPr/>
            </w:pPr>
            <w:r>
              <w:rPr/>
              <w:t> </w:t>
            </w:r>
          </w:p>
        </w:tc>
        <w:tc>
          <w:tcPr>
            <w:tcW w:w="405"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value</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34.47</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To estimate the share value of the Series D redeemable convertible preferred stock we used a PWERM. The two scenarios used in the estimation of the Series D redeemable convertible preferred stock are a SPAC Exit scenario and Option Pricing Method scenario. As of March 31, 2026, we applied a 85% weighting to the SPAC Exit scenario and 15% weighting to the Option Pricing Method scenario.</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Convertible Promissory Notes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To estimate the fair value of the January 2026 Notes, the Company applied the SBM method. The fair value of the January 2026 Notes includes an estimate of the value of accrued interest. The significant unobservable inputs used in the fair value measurement of the January 2026 Notes are the underlying share value, the expected life, assumed volatility, assumed discount rate, share value, and the probability of scenarios.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assumptions used in determining the fair value of the January 2026 Notes under the SBM during the three months ended March 31, 2026, were as follows:</w:t>
      </w:r>
    </w:p>
    <w:tbl>
      <w:tblPr>
        <w:tblW w:w="6576" w:type="dxa"/>
        <w:jc w:val="left"/>
        <w:tblInd w:w="200" w:type="dxa"/>
        <w:tblLayout w:type="fixed"/>
        <w:tblCellMar>
          <w:top w:w="0" w:type="dxa"/>
          <w:left w:w="0" w:type="dxa"/>
          <w:bottom w:w="0" w:type="dxa"/>
          <w:right w:w="0" w:type="dxa"/>
        </w:tblCellMar>
      </w:tblPr>
      <w:tblGrid>
        <w:gridCol w:w="2506"/>
        <w:gridCol w:w="346"/>
        <w:gridCol w:w="1651"/>
        <w:gridCol w:w="361"/>
        <w:gridCol w:w="1396"/>
        <w:gridCol w:w="316"/>
      </w:tblGrid>
      <w:tr>
        <w:trPr/>
        <w:tc>
          <w:tcPr>
            <w:tcW w:w="25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591310" cy="175260"/>
                      <wp:effectExtent l="0" t="0" r="0" b="0"/>
                      <wp:wrapNone/>
                      <wp:docPr id="256" name="Frame255"/>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7"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048385" cy="175260"/>
                      <wp:effectExtent l="0" t="0" r="0" b="0"/>
                      <wp:wrapNone/>
                      <wp:docPr id="258" name="Frame257"/>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29235" cy="175260"/>
                      <wp:effectExtent l="0" t="0" r="0" b="0"/>
                      <wp:wrapNone/>
                      <wp:docPr id="259" name="Frame2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886460" cy="175260"/>
                      <wp:effectExtent l="0" t="0" r="0" b="0"/>
                      <wp:wrapNone/>
                      <wp:docPr id="260" name="Frame259"/>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0660" cy="175260"/>
                      <wp:effectExtent l="0" t="0" r="0" b="0"/>
                      <wp:wrapNone/>
                      <wp:docPr id="261" name="Frame2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w:t>
            </w:r>
          </w:p>
        </w:tc>
        <w:tc>
          <w:tcPr>
            <w:tcW w:w="361" w:type="dxa"/>
            <w:tcBorders/>
            <w:vAlign w:val="center"/>
          </w:tcPr>
          <w:p>
            <w:pPr>
              <w:pStyle w:val="TableContents"/>
              <w:bidi w:val="0"/>
              <w:spacing w:before="0" w:after="1"/>
              <w:ind w:left="0" w:right="0" w:hanging="0"/>
              <w:jc w:val="left"/>
              <w:rPr/>
            </w:pPr>
            <w:r>
              <w:rPr/>
              <w:t>  ​ ​ ​</w:t>
            </w:r>
          </w:p>
        </w:tc>
        <w:tc>
          <w:tcPr>
            <w:tcW w:w="139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61" w:type="dxa"/>
            <w:tcBorders/>
            <w:vAlign w:val="center"/>
          </w:tcPr>
          <w:p>
            <w:pPr>
              <w:pStyle w:val="TableContents"/>
              <w:bidi w:val="0"/>
              <w:spacing w:before="0" w:after="1"/>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26, 2026</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SPAC Exit Scenario</w:t>
            </w:r>
          </w:p>
        </w:tc>
        <w:tc>
          <w:tcPr>
            <w:tcW w:w="346" w:type="dxa"/>
            <w:tcBorders/>
            <w:shd w:fill="CCEEFF" w:val="clear"/>
            <w:vAlign w:val="center"/>
          </w:tcPr>
          <w:p>
            <w:pPr>
              <w:pStyle w:val="TableContents"/>
              <w:bidi w:val="0"/>
              <w:spacing w:before="0" w:after="1"/>
              <w:ind w:left="0" w:right="0" w:hanging="0"/>
              <w:jc w:val="left"/>
              <w:rPr/>
            </w:pPr>
            <w:r>
              <w:rPr/>
              <w:t> </w:t>
            </w:r>
          </w:p>
        </w:tc>
        <w:tc>
          <w:tcPr>
            <w:tcW w:w="165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39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Qualified Financing Scenario</w:t>
            </w:r>
          </w:p>
        </w:tc>
        <w:tc>
          <w:tcPr>
            <w:tcW w:w="346" w:type="dxa"/>
            <w:tcBorders/>
            <w:vAlign w:val="center"/>
          </w:tcPr>
          <w:p>
            <w:pPr>
              <w:pStyle w:val="TableContents"/>
              <w:bidi w:val="0"/>
              <w:spacing w:before="0" w:after="1"/>
              <w:ind w:left="0" w:right="0" w:hanging="0"/>
              <w:jc w:val="left"/>
              <w:rPr/>
            </w:pPr>
            <w:r>
              <w:rPr/>
              <w:t> </w:t>
            </w:r>
          </w:p>
        </w:tc>
        <w:tc>
          <w:tcPr>
            <w:tcW w:w="1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Dissolution Scenario</w:t>
            </w:r>
          </w:p>
        </w:tc>
        <w:tc>
          <w:tcPr>
            <w:tcW w:w="346" w:type="dxa"/>
            <w:tcBorders/>
            <w:shd w:fill="CCEEFF" w:val="clear"/>
            <w:vAlign w:val="center"/>
          </w:tcPr>
          <w:p>
            <w:pPr>
              <w:pStyle w:val="TableContents"/>
              <w:bidi w:val="0"/>
              <w:spacing w:before="0" w:after="1"/>
              <w:ind w:left="0" w:right="0" w:hanging="0"/>
              <w:jc w:val="left"/>
              <w:rPr/>
            </w:pPr>
            <w:r>
              <w:rPr/>
              <w:t> </w:t>
            </w:r>
          </w:p>
        </w:tc>
        <w:tc>
          <w:tcPr>
            <w:tcW w:w="1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 (in years)</w:t>
            </w:r>
          </w:p>
        </w:tc>
        <w:tc>
          <w:tcPr>
            <w:tcW w:w="346" w:type="dxa"/>
            <w:tcBorders/>
            <w:vAlign w:val="center"/>
          </w:tcPr>
          <w:p>
            <w:pPr>
              <w:pStyle w:val="TableContents"/>
              <w:bidi w:val="0"/>
              <w:spacing w:before="0" w:after="1"/>
              <w:ind w:left="0" w:right="0" w:hanging="0"/>
              <w:jc w:val="left"/>
              <w:rPr/>
            </w:pPr>
            <w:r>
              <w:rPr/>
              <w:t> </w:t>
            </w:r>
          </w:p>
        </w:tc>
        <w:tc>
          <w:tcPr>
            <w:tcW w:w="1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0.50</w:t>
            </w:r>
          </w:p>
        </w:tc>
        <w:tc>
          <w:tcPr>
            <w:tcW w:w="361" w:type="dxa"/>
            <w:tcBorders/>
            <w:vAlign w:val="center"/>
          </w:tcPr>
          <w:p>
            <w:pPr>
              <w:pStyle w:val="TableContents"/>
              <w:bidi w:val="0"/>
              <w:spacing w:before="0" w:after="1"/>
              <w:ind w:left="0" w:right="0" w:hanging="0"/>
              <w:jc w:val="left"/>
              <w:rPr/>
            </w:pPr>
            <w:r>
              <w:rPr/>
              <w:t> </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0.68</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Assumed discount rate</w:t>
            </w:r>
          </w:p>
        </w:tc>
        <w:tc>
          <w:tcPr>
            <w:tcW w:w="346" w:type="dxa"/>
            <w:tcBorders/>
            <w:shd w:fill="CCEEFF" w:val="clear"/>
            <w:vAlign w:val="center"/>
          </w:tcPr>
          <w:p>
            <w:pPr>
              <w:pStyle w:val="TableContents"/>
              <w:bidi w:val="0"/>
              <w:spacing w:before="0" w:after="1"/>
              <w:ind w:left="0" w:right="0" w:hanging="0"/>
              <w:jc w:val="left"/>
              <w:rPr/>
            </w:pPr>
            <w:r>
              <w:rPr/>
              <w:t> </w:t>
            </w:r>
          </w:p>
        </w:tc>
        <w:tc>
          <w:tcPr>
            <w:tcW w:w="1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caps/>
          <w:sz w:val="20"/>
        </w:rPr>
      </w:pPr>
      <w:bookmarkStart w:id="50" w:name="_116d0e11_f4fc_4403_9672_2187d069bbc7"/>
      <w:bookmarkEnd w:id="50"/>
      <w:r>
        <w:rPr>
          <w:rFonts w:ascii="Times New Roman;Times;serif" w:hAnsi="Times New Roman;Times;serif"/>
          <w:b/>
          <w:caps/>
          <w:sz w:val="20"/>
        </w:rPr>
        <w:t>Note 4 - Property and Equipment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Property and equipment, net consists of the following (in thousands):</w:t>
      </w:r>
    </w:p>
    <w:tbl>
      <w:tblPr>
        <w:tblW w:w="7715" w:type="dxa"/>
        <w:jc w:val="left"/>
        <w:tblInd w:w="200" w:type="dxa"/>
        <w:tblLayout w:type="fixed"/>
        <w:tblCellMar>
          <w:top w:w="0" w:type="dxa"/>
          <w:left w:w="0" w:type="dxa"/>
          <w:bottom w:w="0" w:type="dxa"/>
          <w:right w:w="0" w:type="dxa"/>
        </w:tblCellMar>
      </w:tblPr>
      <w:tblGrid>
        <w:gridCol w:w="4216"/>
        <w:gridCol w:w="346"/>
        <w:gridCol w:w="280"/>
        <w:gridCol w:w="981"/>
        <w:gridCol w:w="346"/>
        <w:gridCol w:w="328"/>
        <w:gridCol w:w="1218"/>
      </w:tblGrid>
      <w:tr>
        <w:trPr/>
        <w:tc>
          <w:tcPr>
            <w:tcW w:w="42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2"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77800" cy="175260"/>
                      <wp:effectExtent l="0" t="0" r="0" b="0"/>
                      <wp:wrapNone/>
                      <wp:docPr id="263" name="Frame262"/>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22935" cy="175260"/>
                      <wp:effectExtent l="0" t="0" r="0" b="0"/>
                      <wp:wrapNone/>
                      <wp:docPr id="264" name="Frame263"/>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5"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8280" cy="175260"/>
                      <wp:effectExtent l="0" t="0" r="0" b="0"/>
                      <wp:wrapNone/>
                      <wp:docPr id="266" name="Frame26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73430" cy="175260"/>
                      <wp:effectExtent l="0" t="0" r="0" b="0"/>
                      <wp:wrapNone/>
                      <wp:docPr id="267" name="Frame26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10,680</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10,680</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16,081</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and software</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 Fixtures</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3,196</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3,382</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 on purchases of property and equipment</w:t>
            </w:r>
          </w:p>
        </w:tc>
        <w:tc>
          <w:tcPr>
            <w:tcW w:w="34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33,615</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34,077</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4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(13,409)</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(12,801)</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20,206</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21,276</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Advances on purchases of property and equipment are payments made before the related asset (such as machinery and equipment) are delivered and are not depreciated until the asset is placed in service.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Depreciation expense totaled $882 and $1,984 for the three months ended March 31, 2026, and 2025, respectively, and was recorded as operating expenses in the condensed consolidated statements of operations. Depreciation expense was allocated as $850 and $1,775 to research and development expense, net and $32 and $209 to selling, general and administrative expenses for the three months ended, March 31, 2026, and 2025, respectively.</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hanging="0"/>
        <w:jc w:val="left"/>
        <w:rPr>
          <w:rFonts w:ascii="Times New Roman;Times;serif" w:hAnsi="Times New Roman;Times;serif"/>
          <w:b/>
          <w:caps/>
          <w:sz w:val="20"/>
        </w:rPr>
      </w:pPr>
      <w:bookmarkStart w:id="51" w:name="_3926f469_1d8a_4f77_9da8_cd4fd9089a10"/>
      <w:bookmarkEnd w:id="51"/>
      <w:r>
        <w:rPr>
          <w:rFonts w:ascii="Times New Roman;Times;serif" w:hAnsi="Times New Roman;Times;serif"/>
          <w:b/>
          <w:caps/>
          <w:sz w:val="20"/>
        </w:rPr>
        <w:t>Note 5 - Accrued Expenses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Accrued expenses consisted of the following (in thousands):</w:t>
      </w:r>
    </w:p>
    <w:tbl>
      <w:tblPr>
        <w:tblW w:w="6515" w:type="dxa"/>
        <w:jc w:val="left"/>
        <w:tblInd w:w="200" w:type="dxa"/>
        <w:tblLayout w:type="fixed"/>
        <w:tblCellMar>
          <w:top w:w="0" w:type="dxa"/>
          <w:left w:w="0" w:type="dxa"/>
          <w:bottom w:w="0" w:type="dxa"/>
          <w:right w:w="0" w:type="dxa"/>
        </w:tblCellMar>
      </w:tblPr>
      <w:tblGrid>
        <w:gridCol w:w="3016"/>
        <w:gridCol w:w="346"/>
        <w:gridCol w:w="340"/>
        <w:gridCol w:w="921"/>
        <w:gridCol w:w="346"/>
        <w:gridCol w:w="367"/>
        <w:gridCol w:w="1179"/>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ind w:left="0" w:right="0" w:hanging="0"/>
              <w:jc w:val="left"/>
              <w:rPr>
                <w:sz w:val="4"/>
                <w:szCs w:val="4"/>
              </w:rPr>
            </w:pPr>
            <w:r>
              <w:rPr>
                <w:sz w:val="4"/>
                <w:szCs w:val="4"/>
              </w:rPr>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8"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5900" cy="175260"/>
                      <wp:effectExtent l="0" t="0" r="0" b="0"/>
                      <wp:wrapNone/>
                      <wp:docPr id="269" name="Frame268"/>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84835" cy="175260"/>
                      <wp:effectExtent l="0" t="0" r="0" b="0"/>
                      <wp:wrapNone/>
                      <wp:docPr id="270" name="Frame269"/>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1"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33045" cy="175260"/>
                      <wp:effectExtent l="0" t="0" r="0" b="0"/>
                      <wp:wrapNone/>
                      <wp:docPr id="272" name="Frame27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48665" cy="175260"/>
                      <wp:effectExtent l="0" t="0" r="0" b="0"/>
                      <wp:wrapNone/>
                      <wp:docPr id="273" name="Frame272"/>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audit and tax services</w:t>
            </w:r>
          </w:p>
        </w:tc>
        <w:tc>
          <w:tcPr>
            <w:tcW w:w="34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legal and professional</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transaction costs</w:t>
            </w:r>
          </w:p>
        </w:tc>
        <w:tc>
          <w:tcPr>
            <w:tcW w:w="34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2,327</w:t>
            </w:r>
          </w:p>
        </w:tc>
        <w:tc>
          <w:tcPr>
            <w:tcW w:w="34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other</w:t>
            </w:r>
          </w:p>
        </w:tc>
        <w:tc>
          <w:tcPr>
            <w:tcW w:w="346" w:type="dxa"/>
            <w:tcBorders/>
            <w:shd w:fill="CCEEFF" w:val="clear"/>
            <w:vAlign w:val="center"/>
          </w:tcPr>
          <w:p>
            <w:pPr>
              <w:pStyle w:val="TableContents"/>
              <w:bidi w:val="0"/>
              <w:spacing w:before="0" w:after="1"/>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accrued expenses</w:t>
            </w:r>
          </w:p>
        </w:tc>
        <w:tc>
          <w:tcPr>
            <w:tcW w:w="346" w:type="dxa"/>
            <w:tcBorders/>
            <w:vAlign w:val="center"/>
          </w:tcPr>
          <w:p>
            <w:pPr>
              <w:pStyle w:val="TableContents"/>
              <w:bidi w:val="0"/>
              <w:spacing w:before="0" w:after="1"/>
              <w:ind w:left="0" w:right="0" w:hanging="0"/>
              <w:jc w:val="left"/>
              <w:rPr/>
            </w:pPr>
            <w:r>
              <w:rPr/>
              <w:t>​</w:t>
            </w:r>
          </w:p>
        </w:tc>
        <w:tc>
          <w:tcPr>
            <w:tcW w:w="340"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4,128</w:t>
            </w:r>
          </w:p>
        </w:tc>
        <w:tc>
          <w:tcPr>
            <w:tcW w:w="346" w:type="dxa"/>
            <w:tcBorders/>
            <w:vAlign w:val="center"/>
          </w:tcPr>
          <w:p>
            <w:pPr>
              <w:pStyle w:val="TableContents"/>
              <w:bidi w:val="0"/>
              <w:spacing w:before="0" w:after="1"/>
              <w:ind w:left="0" w:right="0" w:hanging="0"/>
              <w:jc w:val="left"/>
              <w:rPr/>
            </w:pPr>
            <w:r>
              <w:rPr/>
              <w:t>​</w:t>
            </w:r>
          </w:p>
        </w:tc>
        <w:tc>
          <w:tcPr>
            <w:tcW w:w="367"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2,981</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52" w:name="_7ce8b641_6874_420e_ba7b_42f3215dd2e6"/>
      <w:bookmarkEnd w:id="52"/>
      <w:r>
        <w:rPr>
          <w:rFonts w:ascii="Times New Roman;Times;serif" w:hAnsi="Times New Roman;Times;serif"/>
          <w:b/>
          <w:sz w:val="20"/>
        </w:rPr>
        <w:t>NOTE 6 – CONVERTIBLE PROMISSORY NOTES – RELATED PARTIES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shows the components of the Company’s indebtedness (in thousands):</w:t>
      </w:r>
    </w:p>
    <w:tbl>
      <w:tblPr>
        <w:tblW w:w="9333" w:type="dxa"/>
        <w:jc w:val="left"/>
        <w:tblInd w:w="200" w:type="dxa"/>
        <w:tblLayout w:type="fixed"/>
        <w:tblCellMar>
          <w:top w:w="0" w:type="dxa"/>
          <w:left w:w="0" w:type="dxa"/>
          <w:bottom w:w="0" w:type="dxa"/>
          <w:right w:w="0" w:type="dxa"/>
        </w:tblCellMar>
      </w:tblPr>
      <w:tblGrid>
        <w:gridCol w:w="7336"/>
        <w:gridCol w:w="346"/>
        <w:gridCol w:w="351"/>
        <w:gridCol w:w="1300"/>
      </w:tblGrid>
      <w:tr>
        <w:trPr/>
        <w:tc>
          <w:tcPr>
            <w:tcW w:w="73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ind w:left="0" w:right="0" w:hanging="0"/>
              <w:jc w:val="left"/>
              <w:rPr>
                <w:sz w:val="4"/>
                <w:szCs w:val="4"/>
              </w:rPr>
            </w:pPr>
            <w:r>
              <w:rPr>
                <w:sz w:val="4"/>
                <w:szCs w:val="4"/>
              </w:rPr>
            </w:r>
          </w:p>
        </w:tc>
      </w:tr>
      <w:tr>
        <w:trPr/>
        <w:tc>
          <w:tcPr>
            <w:tcW w:w="7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4"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22885" cy="175260"/>
                      <wp:effectExtent l="0" t="0" r="0" b="0"/>
                      <wp:wrapNone/>
                      <wp:docPr id="275" name="Frame274"/>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825500" cy="175260"/>
                      <wp:effectExtent l="0" t="0" r="0" b="0"/>
                      <wp:wrapNone/>
                      <wp:docPr id="276" name="Frame275"/>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7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7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convertible promissory notes - related parties, at fair value 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18,889</w:t>
            </w:r>
          </w:p>
        </w:tc>
      </w:tr>
      <w:tr>
        <w:trPr/>
        <w:tc>
          <w:tcPr>
            <w:tcW w:w="7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46" w:type="dxa"/>
            <w:tcBorders/>
            <w:vAlign w:val="center"/>
          </w:tcPr>
          <w:p>
            <w:pPr>
              <w:pStyle w:val="TableContents"/>
              <w:bidi w:val="0"/>
              <w:spacing w:before="0" w:after="1"/>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1,407</w:t>
            </w:r>
          </w:p>
        </w:tc>
      </w:tr>
      <w:tr>
        <w:trPr/>
        <w:tc>
          <w:tcPr>
            <w:tcW w:w="7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convertible promissory notes - related parties, at fair value</w:t>
            </w:r>
          </w:p>
        </w:tc>
        <w:tc>
          <w:tcPr>
            <w:tcW w:w="346" w:type="dxa"/>
            <w:tcBorders/>
            <w:shd w:fill="CCEEFF" w:val="clear"/>
            <w:vAlign w:val="center"/>
          </w:tcPr>
          <w:p>
            <w:pPr>
              <w:pStyle w:val="TableContents"/>
              <w:bidi w:val="0"/>
              <w:spacing w:before="0" w:after="1"/>
              <w:ind w:left="0" w:right="0" w:hanging="0"/>
              <w:jc w:val="left"/>
              <w:rPr/>
            </w:pPr>
            <w:r>
              <w:rPr/>
              <w:t>​</w:t>
            </w:r>
          </w:p>
        </w:tc>
        <w:tc>
          <w:tcPr>
            <w:tcW w:w="35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30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20,296</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bookmarkStart w:id="53" w:name="_2a795ea6_7cb7_47e7_a029_a244f306a345"/>
      <w:bookmarkEnd w:id="53"/>
      <w:r>
        <w:rPr>
          <w:rFonts w:ascii="Times New Roman;Times;serif" w:hAnsi="Times New Roman;Times;serif"/>
          <w:b/>
          <w:sz w:val="20"/>
        </w:rPr>
        <w:t>NOTE 7 – CONVERTIBLE PROMISSORY NOTES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During January 2026, the Company issued the January 2026 Notes pursuant to which it could receive proceeds up to $5,340. The January 2026 Notes bear interest of 5% per annum and mature on either August 1, 2028 or January 1, 2029. The January 2026 Notes provide the holders with certain conversion features including: a mandatory conversion upon a qualified financing event, an optional conversion upon a non-qualified financing event and an optional conversion upon an acquisition of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Concurrently with the issuance of the January 2026 Notes, the Company entered into a partnership agreement with a note holder. Pursuant to the partnership agreement, the Company may receive up to $2,240 in total consideration. The deliverables of the partnership agreement coincide with payments to the Company on the convertible note. Deliverables under the partnership agreement are aligned with, and contingent upon, funding milestones under the convertible note, which provide for up to $1,340 in aggregate principal funding to the Company of which $300 in proceeds have been received as of March 31, 2026, with an issuance cost of $37. The note holder had the option to request funding in part or in full. Subsequently, on May 18, 2026, the Company received the remaining proceeds of $1,040. In addition, the partnership agreement includes up to $900 of consideration for the performance of research and development services to the note holder.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shows the components of the Company’s indebtedness (in thousands):</w:t>
      </w:r>
    </w:p>
    <w:tbl>
      <w:tblPr>
        <w:tblW w:w="6213" w:type="dxa"/>
        <w:jc w:val="left"/>
        <w:tblInd w:w="200" w:type="dxa"/>
        <w:tblLayout w:type="fixed"/>
        <w:tblCellMar>
          <w:top w:w="0" w:type="dxa"/>
          <w:left w:w="0" w:type="dxa"/>
          <w:bottom w:w="0" w:type="dxa"/>
          <w:right w:w="0" w:type="dxa"/>
        </w:tblCellMar>
      </w:tblPr>
      <w:tblGrid>
        <w:gridCol w:w="4216"/>
        <w:gridCol w:w="346"/>
        <w:gridCol w:w="392"/>
        <w:gridCol w:w="1259"/>
      </w:tblGrid>
      <w:tr>
        <w:trPr/>
        <w:tc>
          <w:tcPr>
            <w:tcW w:w="42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7"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48920" cy="175260"/>
                      <wp:effectExtent l="0" t="0" r="0" b="0"/>
                      <wp:wrapNone/>
                      <wp:docPr id="278" name="Frame27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99465" cy="175260"/>
                      <wp:effectExtent l="0" t="0" r="0" b="0"/>
                      <wp:wrapNone/>
                      <wp:docPr id="279" name="Frame278"/>
                      <a:graphic xmlns:a="http://schemas.openxmlformats.org/drawingml/2006/main">
                        <a:graphicData uri="http://schemas.microsoft.com/office/word/2010/wordprocessingShape">
                          <wps:wsp>
                            <wps:cNvSpPr txBox="1"/>
                            <wps:spPr>
                              <a:xfrm>
                                <a:off x="0" y="0"/>
                                <a:ext cx="799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promissory notes principal balance</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4,300</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46" w:type="dxa"/>
            <w:tcBorders/>
            <w:vAlign w:val="center"/>
          </w:tcPr>
          <w:p>
            <w:pPr>
              <w:pStyle w:val="TableContents"/>
              <w:bidi w:val="0"/>
              <w:spacing w:before="0" w:after="1"/>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convertible promissory notes, at fair value</w:t>
            </w:r>
          </w:p>
        </w:tc>
        <w:tc>
          <w:tcPr>
            <w:tcW w:w="346" w:type="dxa"/>
            <w:tcBorders/>
            <w:shd w:fill="CCEEFF" w:val="clear"/>
            <w:vAlign w:val="center"/>
          </w:tcPr>
          <w:p>
            <w:pPr>
              <w:pStyle w:val="TableContents"/>
              <w:bidi w:val="0"/>
              <w:spacing w:before="0" w:after="1"/>
              <w:ind w:left="0" w:right="0" w:hanging="0"/>
              <w:jc w:val="left"/>
              <w:rPr/>
            </w:pPr>
            <w:r>
              <w:rPr/>
              <w:t>​</w:t>
            </w:r>
          </w:p>
        </w:tc>
        <w:tc>
          <w:tcPr>
            <w:tcW w:w="39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5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4,600</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hanging="0"/>
        <w:jc w:val="left"/>
        <w:rPr>
          <w:rFonts w:ascii="Times New Roman;Times;serif" w:hAnsi="Times New Roman;Times;serif"/>
          <w:b/>
          <w:caps/>
          <w:sz w:val="20"/>
        </w:rPr>
      </w:pPr>
      <w:bookmarkStart w:id="54" w:name="_f3f2de2f_509b_4570_984d_f4ddfd825925"/>
      <w:bookmarkEnd w:id="54"/>
      <w:r>
        <w:rPr>
          <w:rFonts w:ascii="Times New Roman;Times;serif" w:hAnsi="Times New Roman;Times;serif"/>
          <w:b/>
          <w:caps/>
          <w:sz w:val="20"/>
        </w:rPr>
        <w:t>Note 8 - Commitments and Contingencies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Company’s leases include various operating leases for offices, laboratory space, and storage space, expiring at various dates through November 2032. Many leases include one or more options to renew. The Company does not assume renewals in the determination of the lease term unless the renewals are deemed to be reasonably certain. The Company’s finance lease for the facility in Methuen, Massachusetts was terminated in October 2025. Fixed rent generally escalates each year, and the Company is responsible for a portion of the landlords’ operating expenses such as property tax, insurance, and common area maintenance.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components of lease expenses recorded within the condensed consolidated statements of operations for the three months ended March 31, 2026, and 2025 are as follows (in thousands):</w:t>
      </w:r>
    </w:p>
    <w:tbl>
      <w:tblPr>
        <w:tblW w:w="5864" w:type="dxa"/>
        <w:jc w:val="left"/>
        <w:tblInd w:w="200" w:type="dxa"/>
        <w:tblLayout w:type="fixed"/>
        <w:tblCellMar>
          <w:top w:w="0" w:type="dxa"/>
          <w:left w:w="0" w:type="dxa"/>
          <w:bottom w:w="0" w:type="dxa"/>
          <w:right w:w="0" w:type="dxa"/>
        </w:tblCellMar>
      </w:tblPr>
      <w:tblGrid>
        <w:gridCol w:w="3076"/>
        <w:gridCol w:w="346"/>
        <w:gridCol w:w="319"/>
        <w:gridCol w:w="526"/>
        <w:gridCol w:w="431"/>
        <w:gridCol w:w="319"/>
        <w:gridCol w:w="847"/>
      </w:tblGrid>
      <w:tr>
        <w:trPr/>
        <w:tc>
          <w:tcPr>
            <w:tcW w:w="30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ind w:left="0" w:right="0" w:hanging="0"/>
              <w:jc w:val="left"/>
              <w:rPr>
                <w:sz w:val="4"/>
                <w:szCs w:val="4"/>
              </w:rPr>
            </w:pPr>
            <w:r>
              <w:rPr>
                <w:sz w:val="4"/>
                <w:szCs w:val="4"/>
              </w:rPr>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0"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2565" cy="175260"/>
                      <wp:effectExtent l="0" t="0" r="0" b="0"/>
                      <wp:wrapNone/>
                      <wp:docPr id="281" name="Frame28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34010" cy="175260"/>
                      <wp:effectExtent l="0" t="0" r="0" b="0"/>
                      <wp:wrapNone/>
                      <wp:docPr id="282" name="Frame28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73685" cy="175260"/>
                      <wp:effectExtent l="0" t="0" r="0" b="0"/>
                      <wp:wrapNone/>
                      <wp:docPr id="283" name="Frame282"/>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2565" cy="175260"/>
                      <wp:effectExtent l="0" t="0" r="0" b="0"/>
                      <wp:wrapNone/>
                      <wp:docPr id="284" name="Frame28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37845" cy="175260"/>
                      <wp:effectExtent l="0" t="0" r="0" b="0"/>
                      <wp:wrapNone/>
                      <wp:docPr id="285" name="Frame284"/>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1" w:type="dxa"/>
            <w:tcBorders/>
            <w:vAlign w:val="center"/>
          </w:tcPr>
          <w:p>
            <w:pPr>
              <w:pStyle w:val="TableContents"/>
              <w:bidi w:val="0"/>
              <w:spacing w:before="0" w:after="1"/>
              <w:ind w:left="0" w:right="0" w:hanging="0"/>
              <w:jc w:val="left"/>
              <w:rPr/>
            </w:pPr>
            <w:r>
              <w:rPr/>
              <w:t>  ​ ​ ​</w:t>
            </w:r>
          </w:p>
        </w:tc>
        <w:tc>
          <w:tcPr>
            <w:tcW w:w="11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costs:</w:t>
            </w:r>
          </w:p>
        </w:tc>
        <w:tc>
          <w:tcPr>
            <w:tcW w:w="346" w:type="dxa"/>
            <w:tcBorders/>
            <w:shd w:fill="CCEEFF" w:val="clear"/>
            <w:vAlign w:val="center"/>
          </w:tcPr>
          <w:p>
            <w:pPr>
              <w:pStyle w:val="TableContents"/>
              <w:bidi w:val="0"/>
              <w:spacing w:before="0" w:after="1"/>
              <w:ind w:left="0" w:right="0" w:hanging="0"/>
              <w:jc w:val="left"/>
              <w:rPr/>
            </w:pPr>
            <w:r>
              <w:rPr/>
              <w:t> </w:t>
            </w:r>
          </w:p>
        </w:tc>
        <w:tc>
          <w:tcPr>
            <w:tcW w:w="319"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pPr>
            <w:r>
              <w:rPr/>
              <w:t>  ​</w:t>
            </w:r>
          </w:p>
        </w:tc>
        <w:tc>
          <w:tcPr>
            <w:tcW w:w="431" w:type="dxa"/>
            <w:tcBorders/>
            <w:shd w:fill="CCEEFF" w:val="clear"/>
            <w:vAlign w:val="center"/>
          </w:tcPr>
          <w:p>
            <w:pPr>
              <w:pStyle w:val="TableContents"/>
              <w:bidi w:val="0"/>
              <w:spacing w:before="0" w:after="1"/>
              <w:ind w:left="0" w:right="0" w:hanging="0"/>
              <w:jc w:val="left"/>
              <w:rPr/>
            </w:pPr>
            <w:r>
              <w:rPr/>
              <w:t> </w:t>
            </w:r>
          </w:p>
        </w:tc>
        <w:tc>
          <w:tcPr>
            <w:tcW w:w="319"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  ​</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vAlign w:val="center"/>
          </w:tcPr>
          <w:p>
            <w:pPr>
              <w:pStyle w:val="TableContents"/>
              <w:bidi w:val="0"/>
              <w:spacing w:before="0" w:after="1"/>
              <w:ind w:left="0" w:right="0" w:hanging="0"/>
              <w:jc w:val="right"/>
              <w:rPr/>
            </w:pPr>
            <w:r>
              <w:rPr/>
              <w:t>—</w:t>
            </w:r>
          </w:p>
        </w:tc>
        <w:tc>
          <w:tcPr>
            <w:tcW w:w="431"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financing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31"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finance lease costs</w:t>
            </w:r>
          </w:p>
        </w:tc>
        <w:tc>
          <w:tcPr>
            <w:tcW w:w="346" w:type="dxa"/>
            <w:tcBorders/>
            <w:vAlign w:val="center"/>
          </w:tcPr>
          <w:p>
            <w:pPr>
              <w:pStyle w:val="TableContents"/>
              <w:bidi w:val="0"/>
              <w:spacing w:before="0" w:after="1"/>
              <w:ind w:left="0" w:right="0" w:hanging="0"/>
              <w:jc w:val="left"/>
              <w:rPr/>
            </w:pPr>
            <w:r>
              <w:rPr/>
              <w:t>​</w:t>
            </w:r>
          </w:p>
        </w:tc>
        <w:tc>
          <w:tcPr>
            <w:tcW w:w="319"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526"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431" w:type="dxa"/>
            <w:tcBorders/>
            <w:vAlign w:val="center"/>
          </w:tcPr>
          <w:p>
            <w:pPr>
              <w:pStyle w:val="TableContents"/>
              <w:bidi w:val="0"/>
              <w:spacing w:before="0" w:after="1"/>
              <w:ind w:left="0" w:right="0" w:hanging="0"/>
              <w:jc w:val="left"/>
              <w:rPr/>
            </w:pPr>
            <w:r>
              <w:rPr/>
              <w:t>​</w:t>
            </w:r>
          </w:p>
        </w:tc>
        <w:tc>
          <w:tcPr>
            <w:tcW w:w="319" w:type="dxa"/>
            <w:tcBorders>
              <w:top w:val="single" w:sz="2" w:space="0" w:color="000000"/>
            </w:tcBorders>
            <w:tcMar>
              <w:top w:w="28" w:type="dxa"/>
            </w:tcMar>
            <w:vAlign w:val="center"/>
          </w:tcPr>
          <w:p>
            <w:pPr>
              <w:pStyle w:val="TableContents"/>
              <w:bidi w:val="0"/>
              <w:spacing w:before="0" w:after="1"/>
              <w:ind w:left="0" w:right="0" w:hanging="0"/>
              <w:jc w:val="left"/>
              <w:rPr/>
            </w:pPr>
            <w:r>
              <w:rPr/>
              <w:t> </w:t>
            </w:r>
          </w:p>
        </w:tc>
        <w:tc>
          <w:tcPr>
            <w:tcW w:w="847" w:type="dxa"/>
            <w:tcBorders>
              <w:top w:val="single" w:sz="2" w:space="0" w:color="000000"/>
            </w:tcBorders>
            <w:tcMar>
              <w:top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392</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costs:</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pPr>
            <w:r>
              <w:rPr/>
              <w:t>  ​</w:t>
            </w:r>
          </w:p>
        </w:tc>
        <w:tc>
          <w:tcPr>
            <w:tcW w:w="431"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pPr>
            <w:r>
              <w:rPr/>
              <w:t>  ​</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expenses</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431"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431"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expenses</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31"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operating lease costs </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w:t>
            </w:r>
          </w:p>
        </w:tc>
        <w:tc>
          <w:tcPr>
            <w:tcW w:w="52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697</w:t>
            </w:r>
          </w:p>
        </w:tc>
        <w:tc>
          <w:tcPr>
            <w:tcW w:w="431" w:type="dxa"/>
            <w:tcBorders/>
            <w:shd w:fill="CCEEFF" w:val="clear"/>
            <w:vAlign w:val="center"/>
          </w:tcPr>
          <w:p>
            <w:pPr>
              <w:pStyle w:val="TableContents"/>
              <w:bidi w:val="0"/>
              <w:spacing w:before="0" w:after="1"/>
              <w:ind w:left="0" w:right="0" w:hanging="0"/>
              <w:jc w:val="left"/>
              <w:rPr/>
            </w:pPr>
            <w:r>
              <w:rPr/>
              <w:t>​</w:t>
            </w:r>
          </w:p>
        </w:tc>
        <w:tc>
          <w:tcPr>
            <w:tcW w:w="31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w:t>
            </w:r>
          </w:p>
        </w:tc>
        <w:tc>
          <w:tcPr>
            <w:tcW w:w="84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714</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lease expenses</w:t>
            </w:r>
          </w:p>
        </w:tc>
        <w:tc>
          <w:tcPr>
            <w:tcW w:w="346" w:type="dxa"/>
            <w:tcBorders/>
            <w:vAlign w:val="center"/>
          </w:tcPr>
          <w:p>
            <w:pPr>
              <w:pStyle w:val="TableContents"/>
              <w:bidi w:val="0"/>
              <w:spacing w:before="0" w:after="1"/>
              <w:ind w:left="0" w:right="0" w:hanging="0"/>
              <w:jc w:val="left"/>
              <w:rPr/>
            </w:pPr>
            <w:r>
              <w:rPr/>
              <w:t>​</w:t>
            </w:r>
          </w:p>
        </w:tc>
        <w:tc>
          <w:tcPr>
            <w:tcW w:w="31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697</w:t>
            </w:r>
          </w:p>
        </w:tc>
        <w:tc>
          <w:tcPr>
            <w:tcW w:w="431" w:type="dxa"/>
            <w:tcBorders/>
            <w:vAlign w:val="center"/>
          </w:tcPr>
          <w:p>
            <w:pPr>
              <w:pStyle w:val="TableContents"/>
              <w:bidi w:val="0"/>
              <w:spacing w:before="0" w:after="1"/>
              <w:ind w:left="0" w:right="0" w:hanging="0"/>
              <w:jc w:val="left"/>
              <w:rPr/>
            </w:pPr>
            <w:r>
              <w:rPr/>
              <w:t>​</w:t>
            </w:r>
          </w:p>
        </w:tc>
        <w:tc>
          <w:tcPr>
            <w:tcW w:w="31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847"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1,106</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Other information related to agreements treated as finance and operating leases was as follows:</w:t>
      </w:r>
    </w:p>
    <w:tbl>
      <w:tblPr>
        <w:tblW w:w="6376" w:type="dxa"/>
        <w:jc w:val="left"/>
        <w:tblInd w:w="200" w:type="dxa"/>
        <w:tblLayout w:type="fixed"/>
        <w:tblCellMar>
          <w:top w:w="0" w:type="dxa"/>
          <w:left w:w="0" w:type="dxa"/>
          <w:bottom w:w="0" w:type="dxa"/>
          <w:right w:w="0" w:type="dxa"/>
        </w:tblCellMar>
      </w:tblPr>
      <w:tblGrid>
        <w:gridCol w:w="3586"/>
        <w:gridCol w:w="346"/>
        <w:gridCol w:w="290"/>
        <w:gridCol w:w="662"/>
        <w:gridCol w:w="476"/>
        <w:gridCol w:w="290"/>
        <w:gridCol w:w="726"/>
      </w:tblGrid>
      <w:tr>
        <w:trPr/>
        <w:tc>
          <w:tcPr>
            <w:tcW w:w="3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6"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84150" cy="175260"/>
                      <wp:effectExtent l="0" t="0" r="0" b="0"/>
                      <wp:wrapNone/>
                      <wp:docPr id="287" name="Frame286"/>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20370" cy="175260"/>
                      <wp:effectExtent l="0" t="0" r="0" b="0"/>
                      <wp:wrapNone/>
                      <wp:docPr id="288" name="Frame287"/>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02260" cy="175260"/>
                      <wp:effectExtent l="0" t="0" r="0" b="0"/>
                      <wp:wrapNone/>
                      <wp:docPr id="289" name="Frame288"/>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84150" cy="175260"/>
                      <wp:effectExtent l="0" t="0" r="0" b="0"/>
                      <wp:wrapNone/>
                      <wp:docPr id="290" name="Frame289"/>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61010" cy="175260"/>
                      <wp:effectExtent l="0" t="0" r="0" b="0"/>
                      <wp:wrapNone/>
                      <wp:docPr id="291" name="Frame290"/>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6" w:type="dxa"/>
            <w:tcBorders/>
            <w:vAlign w:val="center"/>
          </w:tcPr>
          <w:p>
            <w:pPr>
              <w:pStyle w:val="TableContents"/>
              <w:bidi w:val="0"/>
              <w:spacing w:before="0" w:after="1"/>
              <w:ind w:left="0" w:right="0" w:hanging="0"/>
              <w:jc w:val="left"/>
              <w:rPr/>
            </w:pPr>
            <w:r>
              <w:rPr/>
              <w:t>  ​ ​ ​</w:t>
            </w:r>
          </w:p>
        </w:tc>
        <w:tc>
          <w:tcPr>
            <w:tcW w:w="10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47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cash flows from finance lease</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1"/>
              <w:ind w:left="0" w:right="0" w:hanging="0"/>
              <w:jc w:val="right"/>
              <w:rPr/>
            </w:pPr>
            <w:r>
              <w:rPr/>
              <w:t>—</w:t>
            </w:r>
          </w:p>
        </w:tc>
        <w:tc>
          <w:tcPr>
            <w:tcW w:w="47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r>
    </w:tbl>
    <w:p>
      <w:pPr>
        <w:pStyle w:val="TextBody"/>
        <w:bidi w:val="0"/>
        <w:spacing w:before="0" w:after="0"/>
        <w:ind w:left="200" w:right="200" w:hanging="0"/>
        <w:jc w:val="left"/>
        <w:rPr/>
      </w:pPr>
      <w:r>
        <w:rPr/>
        <w:t>​</w:t>
      </w:r>
    </w:p>
    <w:tbl>
      <w:tblPr>
        <w:tblW w:w="9201" w:type="dxa"/>
        <w:jc w:val="left"/>
        <w:tblInd w:w="200" w:type="dxa"/>
        <w:tblLayout w:type="fixed"/>
        <w:tblCellMar>
          <w:top w:w="0" w:type="dxa"/>
          <w:left w:w="0" w:type="dxa"/>
          <w:bottom w:w="0" w:type="dxa"/>
          <w:right w:w="0" w:type="dxa"/>
        </w:tblCellMar>
      </w:tblPr>
      <w:tblGrid>
        <w:gridCol w:w="5416"/>
        <w:gridCol w:w="346"/>
        <w:gridCol w:w="1261"/>
        <w:gridCol w:w="361"/>
        <w:gridCol w:w="1501"/>
        <w:gridCol w:w="316"/>
      </w:tblGrid>
      <w:tr>
        <w:trPr/>
        <w:tc>
          <w:tcPr>
            <w:tcW w:w="54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439160" cy="175260"/>
                      <wp:effectExtent l="0" t="0" r="0" b="0"/>
                      <wp:wrapNone/>
                      <wp:docPr id="292" name="Frame291"/>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3"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800735" cy="175260"/>
                      <wp:effectExtent l="0" t="0" r="0" b="0"/>
                      <wp:wrapNone/>
                      <wp:docPr id="294" name="Frame29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29235" cy="175260"/>
                      <wp:effectExtent l="0" t="0" r="0" b="0"/>
                      <wp:wrapNone/>
                      <wp:docPr id="295" name="Frame2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953135" cy="175260"/>
                      <wp:effectExtent l="0" t="0" r="0" b="0"/>
                      <wp:wrapNone/>
                      <wp:docPr id="296" name="Frame29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0660" cy="175260"/>
                      <wp:effectExtent l="0" t="0" r="0" b="0"/>
                      <wp:wrapNone/>
                      <wp:docPr id="297" name="Frame29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16" w:type="dxa"/>
            <w:tcBorders/>
            <w:vAlign w:val="center"/>
          </w:tcPr>
          <w:p>
            <w:pPr>
              <w:pStyle w:val="TableContents"/>
              <w:bidi w:val="0"/>
              <w:spacing w:before="0" w:after="1"/>
              <w:ind w:left="0" w:right="0" w:hanging="0"/>
              <w:jc w:val="left"/>
              <w:rPr/>
            </w:pPr>
            <w:r>
              <w:rPr/>
              <w:t> </w:t>
            </w:r>
          </w:p>
        </w:tc>
      </w:tr>
      <w:tr>
        <w:trPr/>
        <w:tc>
          <w:tcPr>
            <w:tcW w:w="54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61" w:type="dxa"/>
            <w:tcBorders/>
            <w:vAlign w:val="center"/>
          </w:tcPr>
          <w:p>
            <w:pPr>
              <w:pStyle w:val="TableContents"/>
              <w:bidi w:val="0"/>
              <w:spacing w:before="0" w:after="1"/>
              <w:ind w:left="0" w:right="0" w:hanging="0"/>
              <w:jc w:val="left"/>
              <w:rPr/>
            </w:pPr>
            <w:r>
              <w:rPr/>
              <w:t>  ​ ​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16" w:type="dxa"/>
            <w:tcBorders/>
            <w:vAlign w:val="center"/>
          </w:tcPr>
          <w:p>
            <w:pPr>
              <w:pStyle w:val="TableContents"/>
              <w:bidi w:val="0"/>
              <w:spacing w:before="0" w:after="1"/>
              <w:ind w:left="0" w:right="0" w:hanging="0"/>
              <w:jc w:val="left"/>
              <w:rPr/>
            </w:pPr>
            <w:r>
              <w:rPr/>
              <w:t> </w:t>
            </w:r>
          </w:p>
        </w:tc>
      </w:tr>
      <w:tr>
        <w:trPr/>
        <w:tc>
          <w:tcPr>
            <w:tcW w:w="54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 operating leases (years)</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1"/>
              <w:ind w:left="0" w:right="0" w:hanging="0"/>
              <w:jc w:val="left"/>
              <w:rPr/>
            </w:pPr>
            <w:r>
              <w:rPr/>
              <w:t> </w:t>
            </w:r>
          </w:p>
        </w:tc>
        <w:tc>
          <w:tcPr>
            <w:tcW w:w="150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4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 – operating leases</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lease term – finance lease (years)</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50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4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 rate – finance lease</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61"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remaining lease obligations are substantially unchanged from year end.</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From time to time, the Company may be subject to legal claims or be party to legal proceedings arising in the normal course of business. While the outcome of such claims or proceedings cannot be predicted with certainty, the Company’s management expects that any such liabilities, to the extent not provided for by insurance or otherwise, would not have a material effect on the Company’s financial condition, results of operations or cash flows.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Company is party to an arbitration, initiated on March 14, 2025, before the International Centre for Dispute Resolution. A hearing was conducted in June 2026, and post-hearing submission are due in July 2026. The hearing is regarding a contractual dispute in which a vendor is seeking $4,900 in damages, interest, and other relief. The Company does not believe that such payment is owed,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is defending against such claims, and it has asserted counterclaims. The Company believes that a loss is neither probable nor remote and is unable to reasonably estimate the amount or range of possible loss due to the stage of the proceedings and the uncertainty regarding the resolution of the competing claims.</w:t>
      </w:r>
    </w:p>
    <w:p>
      <w:pPr>
        <w:pStyle w:val="TextBody"/>
        <w:bidi w:val="0"/>
        <w:spacing w:before="0" w:after="240"/>
        <w:ind w:left="200" w:right="200" w:hanging="0"/>
        <w:jc w:val="left"/>
        <w:rPr>
          <w:rFonts w:ascii="Times New Roman;Times;serif" w:hAnsi="Times New Roman;Times;serif"/>
          <w:b/>
          <w:caps/>
          <w:sz w:val="20"/>
        </w:rPr>
      </w:pPr>
      <w:bookmarkStart w:id="55" w:name="_83f577fa_842c_4152_8f85_dab26ac744eb"/>
      <w:bookmarkEnd w:id="55"/>
      <w:r>
        <w:rPr>
          <w:rFonts w:ascii="Times New Roman;Times;serif" w:hAnsi="Times New Roman;Times;serif"/>
          <w:b/>
          <w:caps/>
          <w:sz w:val="20"/>
        </w:rPr>
        <w:t>Note 9 - Redeemable Convertible Preferred Stock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No redeemable convertible preferred stock was issued, converted, or redeemed during the three months ended March 31, 2026. Total carrying value remains $249,652. Terms and rights are unchanged from the audited annual consolidated financial statements for the year ended December 31, 2025.</w:t>
      </w:r>
    </w:p>
    <w:p>
      <w:pPr>
        <w:pStyle w:val="TextBody"/>
        <w:bidi w:val="0"/>
        <w:spacing w:before="0" w:after="240"/>
        <w:ind w:left="200" w:right="200" w:hanging="0"/>
        <w:jc w:val="left"/>
        <w:rPr>
          <w:rFonts w:ascii="Times New Roman;Times;serif" w:hAnsi="Times New Roman;Times;serif"/>
          <w:b/>
          <w:caps/>
          <w:sz w:val="20"/>
        </w:rPr>
      </w:pPr>
      <w:bookmarkStart w:id="56" w:name="_af3eba31_4cff_4bf6_b423_53e9768562a7"/>
      <w:bookmarkEnd w:id="56"/>
      <w:r>
        <w:rPr>
          <w:rFonts w:ascii="Times New Roman;Times;serif" w:hAnsi="Times New Roman;Times;serif"/>
          <w:b/>
          <w:caps/>
          <w:sz w:val="20"/>
        </w:rPr>
        <w:t>Note 10 - Common Stock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was authorized to issue 32,000,000 shares of its common stock as of March 31, 2026, and December 31, 2025. The voting, dividend, and liquidation rights of the holders of the Company’s common stock are subject to and qualified by the rights, powers and preference of the Preferred Stockholders set forth in Note 9 - Redeemable Convertible Preferred Stock.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Each share of common stock entitles the holder to one vote, together with the Preferred Stockholders, on all matters submitted to a vote of the Company’s stockholders. Terms and rights are unchanged from the audited annual consolidated financial statements for the year ended December 31, 2025.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Total common shares issued and outstanding were 5,068,690 as of March 31, 2026.</w:t>
      </w:r>
    </w:p>
    <w:p>
      <w:pPr>
        <w:pStyle w:val="TextBody"/>
        <w:bidi w:val="0"/>
        <w:spacing w:before="0" w:after="240"/>
        <w:ind w:left="200" w:right="200" w:hanging="0"/>
        <w:jc w:val="left"/>
        <w:rPr>
          <w:rFonts w:ascii="Times New Roman;Times;serif" w:hAnsi="Times New Roman;Times;serif"/>
          <w:b/>
          <w:caps/>
          <w:sz w:val="20"/>
        </w:rPr>
      </w:pPr>
      <w:bookmarkStart w:id="57" w:name="_23d502ee_f343_4357_b45b_d17244e9774b"/>
      <w:bookmarkEnd w:id="57"/>
      <w:r>
        <w:rPr>
          <w:rFonts w:ascii="Times New Roman;Times;serif" w:hAnsi="Times New Roman;Times;serif"/>
          <w:b/>
          <w:caps/>
          <w:sz w:val="20"/>
        </w:rPr>
        <w:t>Note 11 - Stock Based Compensation</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Equity Compensation Plans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2019 Stock Incentive Plan (the “2019 Plan”), was adopted by the Board of Directors to reserve a sufficient number of shares to facilitate the grants of stock options and restricted stock to employees, officers and directors, non-employee advisors and consultants in exchange for certain services. Awards granted under the 2019 Plan are issued at the discretion of the Board of Directors. Awards generally vest over four years; however, vesting terms are subject to terms set forth by the Board of Directors when the award is granted. Stock options granted under the 2019 Plan expire 10 years from the date of grant, which was subsequently amended.</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Share-Based Compensation Awards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estimates the fair value of stock options with service conditions and performance conditions using the Black-Scholes valuation model. The resulting fair value is recorded as compensation cost on a straight-line basis over the requisite service period. The key inputs and assumptions used to estimate the fair value of stock options include the value of the underlying stock at grant date, expected term, stock price volatility, the appropriate annual risk-free rate, and expected annual dividend yield.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Given the Company’s lack of historical data, the Company’s estimate of the expected term was calculated in accordance with the simplified method. Additionally, the Company has identified publicly traded comparable companies with similar characteristics (e.g., lithium battery manufacturing) whose historical stock price volatilities were used in the estimation of expected volatility. The risk-free interest rate is based on the U.S. Treasury zero coupon instrument with a duration/term that equals the expected term calculated by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stock options with performance conditions, vesting is also subject to service conditions; however, the number of options that ultimately vest also depends on the attainment of certain predefined performance criteria. Note that stock options with performance conditions were issued to two strategic consultants of the Company and the performance criteria are related to the achievement of certain third-party purchase orders and contracts. No stock options with performance conditions were granted during the three months ended March 31, 2026.</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assumptions made for purposes of estimating the fair value under the Black Scholes valuation model for stock options granted during the three months ended March 31, 2026 and 2025 were as follows:</w:t>
      </w:r>
    </w:p>
    <w:tbl>
      <w:tblPr>
        <w:tblW w:w="7550" w:type="dxa"/>
        <w:jc w:val="left"/>
        <w:tblInd w:w="200" w:type="dxa"/>
        <w:tblLayout w:type="fixed"/>
        <w:tblCellMar>
          <w:top w:w="0" w:type="dxa"/>
          <w:left w:w="0" w:type="dxa"/>
          <w:bottom w:w="0" w:type="dxa"/>
          <w:right w:w="0" w:type="dxa"/>
        </w:tblCellMar>
      </w:tblPr>
      <w:tblGrid>
        <w:gridCol w:w="3781"/>
        <w:gridCol w:w="346"/>
        <w:gridCol w:w="1516"/>
        <w:gridCol w:w="346"/>
        <w:gridCol w:w="1561"/>
      </w:tblGrid>
      <w:tr>
        <w:trPr/>
        <w:tc>
          <w:tcPr>
            <w:tcW w:w="3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400935" cy="175260"/>
                      <wp:effectExtent l="0" t="0" r="0" b="0"/>
                      <wp:wrapNone/>
                      <wp:docPr id="298" name="Frame297"/>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299"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962660" cy="175260"/>
                      <wp:effectExtent l="0" t="0" r="0" b="0"/>
                      <wp:wrapNone/>
                      <wp:docPr id="300" name="Frame299"/>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1"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991235" cy="175260"/>
                      <wp:effectExtent l="0" t="0" r="0" b="0"/>
                      <wp:wrapNone/>
                      <wp:docPr id="302" name="Frame30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of options (years)</w:t>
            </w:r>
          </w:p>
        </w:tc>
        <w:tc>
          <w:tcPr>
            <w:tcW w:w="346" w:type="dxa"/>
            <w:tcBorders/>
            <w:shd w:fill="CCEEFF" w:val="clear"/>
            <w:vAlign w:val="center"/>
          </w:tcPr>
          <w:p>
            <w:pPr>
              <w:pStyle w:val="TableContents"/>
              <w:bidi w:val="0"/>
              <w:spacing w:before="0" w:after="0"/>
              <w:ind w:left="0" w:right="0" w:hanging="0"/>
              <w:jc w:val="left"/>
              <w:rPr/>
            </w:pPr>
            <w:r>
              <w:rPr/>
              <w:t>  ​ ​ ​</w:t>
            </w:r>
          </w:p>
        </w:tc>
        <w:tc>
          <w:tcPr>
            <w:tcW w:w="151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5.00 - 6.07</w:t>
            </w:r>
          </w:p>
        </w:tc>
        <w:tc>
          <w:tcPr>
            <w:tcW w:w="346" w:type="dxa"/>
            <w:tcBorders/>
            <w:shd w:fill="CCEEFF" w:val="clear"/>
            <w:vAlign w:val="center"/>
          </w:tcPr>
          <w:p>
            <w:pPr>
              <w:pStyle w:val="TableContents"/>
              <w:bidi w:val="0"/>
              <w:spacing w:before="0" w:after="0"/>
              <w:ind w:left="0" w:right="0" w:hanging="0"/>
              <w:jc w:val="left"/>
              <w:rPr/>
            </w:pPr>
            <w:r>
              <w:rPr/>
              <w:t>  ​ ​ ​</w:t>
            </w:r>
          </w:p>
        </w:tc>
        <w:tc>
          <w:tcPr>
            <w:tcW w:w="156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5.00 - 6.06</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34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3.83% - 3.98%</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4.02% - 4.43%</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60.92% - 65.79%</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64.37% - 65.81%</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grant date fair value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$25.18 - $27.78</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$3.23 </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 grant date fair value per share</w:t>
            </w:r>
          </w:p>
        </w:tc>
        <w:tc>
          <w:tcPr>
            <w:tcW w:w="34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$13.89 - $17.42</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$1.87 - $2.03</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For the three months ended March 31, 2026, and 2025, the Company recorded stock-based compensation expense of $1,534 and $3,857, respectively. The following table provides stock-based compensation expense by class reflected in the Company’s condensed consolidated statements of operations related to stock options (including stock options with performance conditions) for the three months ended March 31, 2026, and 2025 (in thousands):</w:t>
      </w:r>
    </w:p>
    <w:tbl>
      <w:tblPr>
        <w:tblW w:w="5745" w:type="dxa"/>
        <w:jc w:val="left"/>
        <w:tblInd w:w="200" w:type="dxa"/>
        <w:tblLayout w:type="fixed"/>
        <w:tblCellMar>
          <w:top w:w="0" w:type="dxa"/>
          <w:left w:w="0" w:type="dxa"/>
          <w:bottom w:w="0" w:type="dxa"/>
          <w:right w:w="0" w:type="dxa"/>
        </w:tblCellMar>
      </w:tblPr>
      <w:tblGrid>
        <w:gridCol w:w="2956"/>
        <w:gridCol w:w="346"/>
        <w:gridCol w:w="255"/>
        <w:gridCol w:w="692"/>
        <w:gridCol w:w="419"/>
        <w:gridCol w:w="255"/>
        <w:gridCol w:w="822"/>
      </w:tblGrid>
      <w:tr>
        <w:trPr/>
        <w:tc>
          <w:tcPr>
            <w:tcW w:w="29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ind w:left="0" w:right="0" w:hanging="0"/>
              <w:jc w:val="left"/>
              <w:rPr>
                <w:sz w:val="4"/>
                <w:szCs w:val="4"/>
              </w:rPr>
            </w:pPr>
            <w:r>
              <w:rPr>
                <w:sz w:val="4"/>
                <w:szCs w:val="4"/>
              </w:rPr>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61925" cy="175260"/>
                      <wp:effectExtent l="0" t="0" r="0" b="0"/>
                      <wp:wrapNone/>
                      <wp:docPr id="304" name="Frame30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39420" cy="175260"/>
                      <wp:effectExtent l="0" t="0" r="0" b="0"/>
                      <wp:wrapNone/>
                      <wp:docPr id="305" name="Frame304"/>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66065" cy="175260"/>
                      <wp:effectExtent l="0" t="0" r="0" b="0"/>
                      <wp:wrapNone/>
                      <wp:docPr id="306" name="Frame305"/>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61925" cy="175260"/>
                      <wp:effectExtent l="0" t="0" r="0" b="0"/>
                      <wp:wrapNone/>
                      <wp:docPr id="307" name="Frame30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21970" cy="175260"/>
                      <wp:effectExtent l="0" t="0" r="0" b="0"/>
                      <wp:wrapNone/>
                      <wp:docPr id="308" name="Frame307"/>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29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9" w:type="dxa"/>
            <w:tcBorders/>
            <w:vAlign w:val="center"/>
          </w:tcPr>
          <w:p>
            <w:pPr>
              <w:pStyle w:val="TableContents"/>
              <w:bidi w:val="0"/>
              <w:spacing w:before="0" w:after="0"/>
              <w:ind w:left="0" w:right="0" w:hanging="0"/>
              <w:jc w:val="left"/>
              <w:rPr/>
            </w:pPr>
            <w:r>
              <w:rPr/>
              <w:t>  ​ ​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41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41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1,534</w:t>
            </w:r>
          </w:p>
        </w:tc>
        <w:tc>
          <w:tcPr>
            <w:tcW w:w="419" w:type="dxa"/>
            <w:tcBorders/>
            <w:shd w:fill="CCEEFF" w:val="clear"/>
            <w:vAlign w:val="center"/>
          </w:tcPr>
          <w:p>
            <w:pPr>
              <w:pStyle w:val="TableContents"/>
              <w:bidi w:val="0"/>
              <w:spacing w:before="0" w:after="0"/>
              <w:ind w:left="0" w:right="0" w:hanging="0"/>
              <w:jc w:val="left"/>
              <w:rPr/>
            </w:pPr>
            <w:r>
              <w:rPr/>
              <w:t>​</w:t>
            </w:r>
          </w:p>
        </w:tc>
        <w:tc>
          <w:tcPr>
            <w:tcW w:w="25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3,857</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summarizes stock option activity for the three months ended March 31, 2026, and 2025:</w:t>
      </w:r>
    </w:p>
    <w:tbl>
      <w:tblPr>
        <w:tblW w:w="9805" w:type="dxa"/>
        <w:jc w:val="left"/>
        <w:tblInd w:w="200" w:type="dxa"/>
        <w:tblLayout w:type="fixed"/>
        <w:tblCellMar>
          <w:top w:w="0" w:type="dxa"/>
          <w:left w:w="0" w:type="dxa"/>
          <w:bottom w:w="0" w:type="dxa"/>
          <w:right w:w="0" w:type="dxa"/>
        </w:tblCellMar>
      </w:tblPr>
      <w:tblGrid>
        <w:gridCol w:w="4157"/>
        <w:gridCol w:w="346"/>
        <w:gridCol w:w="931"/>
        <w:gridCol w:w="346"/>
        <w:gridCol w:w="350"/>
        <w:gridCol w:w="776"/>
        <w:gridCol w:w="346"/>
        <w:gridCol w:w="991"/>
        <w:gridCol w:w="346"/>
        <w:gridCol w:w="288"/>
        <w:gridCol w:w="928"/>
      </w:tblGrid>
      <w:tr>
        <w:trPr/>
        <w:tc>
          <w:tcPr>
            <w:tcW w:w="41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ind w:left="0" w:right="0" w:hanging="0"/>
              <w:jc w:val="left"/>
              <w:rPr>
                <w:sz w:val="4"/>
                <w:szCs w:val="4"/>
              </w:rPr>
            </w:pPr>
            <w:r>
              <w:rPr>
                <w:sz w:val="4"/>
                <w:szCs w:val="4"/>
              </w:rPr>
            </w:r>
          </w:p>
        </w:tc>
      </w:tr>
      <w:tr>
        <w:trPr/>
        <w:tc>
          <w:tcPr>
            <w:tcW w:w="4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639695" cy="175260"/>
                      <wp:effectExtent l="0" t="0" r="0" b="0"/>
                      <wp:wrapNone/>
                      <wp:docPr id="309" name="Frame308"/>
                      <a:graphic xmlns:a="http://schemas.openxmlformats.org/drawingml/2006/main">
                        <a:graphicData uri="http://schemas.microsoft.com/office/word/2010/wordprocessingShape">
                          <wps:wsp>
                            <wps:cNvSpPr txBox="1"/>
                            <wps:spPr>
                              <a:xfrm>
                                <a:off x="0" y="0"/>
                                <a:ext cx="2639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0"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91185" cy="175260"/>
                      <wp:effectExtent l="0" t="0" r="0" b="0"/>
                      <wp:wrapNone/>
                      <wp:docPr id="311" name="Frame3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2"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22250" cy="175260"/>
                      <wp:effectExtent l="0" t="0" r="0" b="0"/>
                      <wp:wrapNone/>
                      <wp:docPr id="313" name="Frame31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92760" cy="175260"/>
                      <wp:effectExtent l="0" t="0" r="0" b="0"/>
                      <wp:wrapNone/>
                      <wp:docPr id="314" name="Frame313"/>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5"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29285" cy="175260"/>
                      <wp:effectExtent l="0" t="0" r="0" b="0"/>
                      <wp:wrapNone/>
                      <wp:docPr id="316" name="Frame31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7"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82880" cy="175260"/>
                      <wp:effectExtent l="0" t="0" r="0" b="0"/>
                      <wp:wrapNone/>
                      <wp:docPr id="318" name="Frame317"/>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89280" cy="175260"/>
                      <wp:effectExtent l="0" t="0" r="0" b="0"/>
                      <wp:wrapNone/>
                      <wp:docPr id="319" name="Frame318"/>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350"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  ​ ​ ​</w:t>
            </w:r>
          </w:p>
        </w:tc>
        <w:tc>
          <w:tcPr>
            <w:tcW w:w="28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center"/>
              <w:rPr/>
            </w:pPr>
            <w:r>
              <w:rPr/>
              <w:t>​</w:t>
            </w:r>
          </w:p>
        </w:tc>
      </w:tr>
      <w:tr>
        <w:trPr/>
        <w:tc>
          <w:tcPr>
            <w:tcW w:w="41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center"/>
              <w:rPr/>
            </w:pPr>
            <w:r>
              <w:rPr/>
              <w:t>​</w:t>
            </w:r>
          </w:p>
        </w:tc>
      </w:tr>
      <w:tr>
        <w:trPr/>
        <w:tc>
          <w:tcPr>
            <w:tcW w:w="41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center"/>
              <w:rPr/>
            </w:pPr>
            <w:r>
              <w:rPr/>
              <w:t>​</w:t>
            </w:r>
          </w:p>
        </w:tc>
      </w:tr>
      <w:tr>
        <w:trPr/>
        <w:tc>
          <w:tcPr>
            <w:tcW w:w="41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41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2024 (1)</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5,085,269</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w:t>
            </w:r>
          </w:p>
        </w:tc>
      </w:tr>
      <w:tr>
        <w:trPr/>
        <w:tc>
          <w:tcPr>
            <w:tcW w:w="41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594,691</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  ​</w:t>
            </w:r>
          </w:p>
        </w:tc>
      </w:tr>
      <w:tr>
        <w:trPr/>
        <w:tc>
          <w:tcPr>
            <w:tcW w:w="41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r>
      <w:tr>
        <w:trPr/>
        <w:tc>
          <w:tcPr>
            <w:tcW w:w="41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(555,215)</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  ​</w:t>
            </w:r>
          </w:p>
        </w:tc>
      </w:tr>
      <w:tr>
        <w:trPr/>
        <w:tc>
          <w:tcPr>
            <w:tcW w:w="41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5,124,445</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w:t>
            </w:r>
          </w:p>
        </w:tc>
      </w:tr>
      <w:tr>
        <w:trPr/>
        <w:tc>
          <w:tcPr>
            <w:tcW w:w="41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expected to vest as of March 31, 2025 (2)</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5,004,445</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w:t>
            </w:r>
          </w:p>
        </w:tc>
        <w:tc>
          <w:tcPr>
            <w:tcW w:w="3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  ​</w:t>
            </w:r>
          </w:p>
        </w:tc>
      </w:tr>
      <w:tr>
        <w:trPr/>
        <w:tc>
          <w:tcPr>
            <w:tcW w:w="41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as of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3,696,298</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w:t>
            </w:r>
          </w:p>
        </w:tc>
        <w:tc>
          <w:tcPr>
            <w:tcW w:w="3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1,172</w:t>
            </w:r>
          </w:p>
        </w:tc>
      </w:tr>
    </w:tbl>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9805" w:type="dxa"/>
        <w:jc w:val="left"/>
        <w:tblInd w:w="200" w:type="dxa"/>
        <w:tblLayout w:type="fixed"/>
        <w:tblCellMar>
          <w:top w:w="0" w:type="dxa"/>
          <w:left w:w="0" w:type="dxa"/>
          <w:bottom w:w="0" w:type="dxa"/>
          <w:right w:w="0" w:type="dxa"/>
        </w:tblCellMar>
      </w:tblPr>
      <w:tblGrid>
        <w:gridCol w:w="4157"/>
        <w:gridCol w:w="346"/>
        <w:gridCol w:w="931"/>
        <w:gridCol w:w="346"/>
        <w:gridCol w:w="302"/>
        <w:gridCol w:w="824"/>
        <w:gridCol w:w="346"/>
        <w:gridCol w:w="991"/>
        <w:gridCol w:w="346"/>
        <w:gridCol w:w="233"/>
        <w:gridCol w:w="983"/>
      </w:tblGrid>
      <w:tr>
        <w:trPr/>
        <w:tc>
          <w:tcPr>
            <w:tcW w:w="41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ind w:left="0" w:right="0" w:hanging="0"/>
              <w:jc w:val="left"/>
              <w:rPr>
                <w:sz w:val="4"/>
                <w:szCs w:val="4"/>
              </w:rPr>
            </w:pPr>
            <w:r>
              <w:rPr>
                <w:sz w:val="4"/>
                <w:szCs w:val="4"/>
              </w:rPr>
            </w:r>
          </w:p>
        </w:tc>
      </w:tr>
      <w:tr>
        <w:trPr/>
        <w:tc>
          <w:tcPr>
            <w:tcW w:w="4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639695" cy="175260"/>
                      <wp:effectExtent l="0" t="0" r="0" b="0"/>
                      <wp:wrapNone/>
                      <wp:docPr id="320" name="Frame319"/>
                      <a:graphic xmlns:a="http://schemas.openxmlformats.org/drawingml/2006/main">
                        <a:graphicData uri="http://schemas.microsoft.com/office/word/2010/wordprocessingShape">
                          <wps:wsp>
                            <wps:cNvSpPr txBox="1"/>
                            <wps:spPr>
                              <a:xfrm>
                                <a:off x="0" y="0"/>
                                <a:ext cx="263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1"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91185" cy="175260"/>
                      <wp:effectExtent l="0" t="0" r="0" b="0"/>
                      <wp:wrapNone/>
                      <wp:docPr id="322" name="Frame3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3"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91770" cy="175260"/>
                      <wp:effectExtent l="0" t="0" r="0" b="0"/>
                      <wp:wrapNone/>
                      <wp:docPr id="324" name="Frame323"/>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23240" cy="175260"/>
                      <wp:effectExtent l="0" t="0" r="0" b="0"/>
                      <wp:wrapNone/>
                      <wp:docPr id="325" name="Frame324"/>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6"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29285" cy="175260"/>
                      <wp:effectExtent l="0" t="0" r="0" b="0"/>
                      <wp:wrapNone/>
                      <wp:docPr id="327" name="Frame32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8"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47955" cy="175260"/>
                      <wp:effectExtent l="0" t="0" r="0" b="0"/>
                      <wp:wrapNone/>
                      <wp:docPr id="329" name="Frame32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24205" cy="175260"/>
                      <wp:effectExtent l="0" t="0" r="0" b="0"/>
                      <wp:wrapNone/>
                      <wp:docPr id="330" name="Frame329"/>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02" w:type="dxa"/>
            <w:tcBorders/>
            <w:vAlign w:val="center"/>
          </w:tcPr>
          <w:p>
            <w:pPr>
              <w:pStyle w:val="TableContents"/>
              <w:bidi w:val="0"/>
              <w:spacing w:before="0" w:after="0"/>
              <w:ind w:left="0" w:right="0" w:hanging="0"/>
              <w:jc w:val="center"/>
              <w:rPr/>
            </w:pPr>
            <w:r>
              <w:rPr/>
              <w:t>​</w:t>
            </w:r>
          </w:p>
        </w:tc>
        <w:tc>
          <w:tcPr>
            <w:tcW w:w="8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  ​ ​ ​</w:t>
            </w:r>
          </w:p>
        </w:tc>
        <w:tc>
          <w:tcPr>
            <w:tcW w:w="233" w:type="dxa"/>
            <w:tcBorders/>
            <w:vAlign w:val="center"/>
          </w:tcPr>
          <w:p>
            <w:pPr>
              <w:pStyle w:val="TableContents"/>
              <w:bidi w:val="0"/>
              <w:spacing w:before="0" w:after="0"/>
              <w:ind w:left="0" w:right="0" w:hanging="0"/>
              <w:jc w:val="center"/>
              <w:rPr/>
            </w:pPr>
            <w:r>
              <w:rPr/>
              <w:t>​</w:t>
            </w:r>
          </w:p>
        </w:tc>
        <w:tc>
          <w:tcPr>
            <w:tcW w:w="983" w:type="dxa"/>
            <w:tcBorders/>
            <w:vAlign w:val="center"/>
          </w:tcPr>
          <w:p>
            <w:pPr>
              <w:pStyle w:val="TableContents"/>
              <w:bidi w:val="0"/>
              <w:spacing w:before="0" w:after="0"/>
              <w:ind w:left="0" w:right="0" w:hanging="0"/>
              <w:jc w:val="center"/>
              <w:rPr/>
            </w:pPr>
            <w:r>
              <w:rPr/>
              <w:t>​</w:t>
            </w:r>
          </w:p>
        </w:tc>
      </w:tr>
      <w:tr>
        <w:trPr/>
        <w:tc>
          <w:tcPr>
            <w:tcW w:w="41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02" w:type="dxa"/>
            <w:tcBorders/>
            <w:vAlign w:val="center"/>
          </w:tcPr>
          <w:p>
            <w:pPr>
              <w:pStyle w:val="TableContents"/>
              <w:bidi w:val="0"/>
              <w:spacing w:before="0" w:after="0"/>
              <w:ind w:left="0" w:right="0" w:hanging="0"/>
              <w:jc w:val="center"/>
              <w:rPr/>
            </w:pPr>
            <w:r>
              <w:rPr/>
              <w:t>​</w:t>
            </w:r>
          </w:p>
        </w:tc>
        <w:tc>
          <w:tcPr>
            <w:tcW w:w="8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center"/>
              <w:rPr/>
            </w:pPr>
            <w:r>
              <w:rPr/>
              <w:t>​</w:t>
            </w:r>
          </w:p>
        </w:tc>
        <w:tc>
          <w:tcPr>
            <w:tcW w:w="983" w:type="dxa"/>
            <w:tcBorders/>
            <w:vAlign w:val="center"/>
          </w:tcPr>
          <w:p>
            <w:pPr>
              <w:pStyle w:val="TableContents"/>
              <w:bidi w:val="0"/>
              <w:spacing w:before="0" w:after="0"/>
              <w:ind w:left="0" w:right="0" w:hanging="0"/>
              <w:jc w:val="center"/>
              <w:rPr/>
            </w:pPr>
            <w:r>
              <w:rPr/>
              <w:t>​</w:t>
            </w:r>
          </w:p>
        </w:tc>
      </w:tr>
      <w:tr>
        <w:trPr/>
        <w:tc>
          <w:tcPr>
            <w:tcW w:w="41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02" w:type="dxa"/>
            <w:tcBorders/>
            <w:vAlign w:val="center"/>
          </w:tcPr>
          <w:p>
            <w:pPr>
              <w:pStyle w:val="TableContents"/>
              <w:bidi w:val="0"/>
              <w:spacing w:before="0" w:after="0"/>
              <w:ind w:left="0" w:right="0" w:hanging="0"/>
              <w:jc w:val="center"/>
              <w:rPr/>
            </w:pPr>
            <w:r>
              <w:rPr/>
              <w:t>​</w:t>
            </w:r>
          </w:p>
        </w:tc>
        <w:tc>
          <w:tcPr>
            <w:tcW w:w="8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center"/>
              <w:rPr/>
            </w:pPr>
            <w:r>
              <w:rPr/>
              <w:t>​</w:t>
            </w:r>
          </w:p>
        </w:tc>
        <w:tc>
          <w:tcPr>
            <w:tcW w:w="983" w:type="dxa"/>
            <w:tcBorders/>
            <w:vAlign w:val="center"/>
          </w:tcPr>
          <w:p>
            <w:pPr>
              <w:pStyle w:val="TableContents"/>
              <w:bidi w:val="0"/>
              <w:spacing w:before="0" w:after="0"/>
              <w:ind w:left="0" w:right="0" w:hanging="0"/>
              <w:jc w:val="center"/>
              <w:rPr/>
            </w:pPr>
            <w:r>
              <w:rPr/>
              <w:t>​</w:t>
            </w:r>
          </w:p>
        </w:tc>
      </w:tr>
      <w:tr>
        <w:trPr/>
        <w:tc>
          <w:tcPr>
            <w:tcW w:w="41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41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2025 (3)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5,546,772</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31,996</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33,580</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pPr>
            <w:r>
              <w:rPr/>
              <w:t>  ​</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(29,252)</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pPr>
            <w:r>
              <w:rPr/>
              <w:t>  ​</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(12,179)</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pPr>
            <w:r>
              <w:rPr/>
              <w:t>  ​</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5,538,921</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131,528</w:t>
            </w:r>
          </w:p>
        </w:tc>
      </w:tr>
      <w:tr>
        <w:trPr/>
        <w:tc>
          <w:tcPr>
            <w:tcW w:w="4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as of March 31, 2026 (4)</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5,448,921</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pPr>
            <w:r>
              <w:rPr/>
              <w:t>  ​</w:t>
            </w:r>
          </w:p>
        </w:tc>
      </w:tr>
      <w:tr>
        <w:trPr/>
        <w:tc>
          <w:tcPr>
            <w:tcW w:w="41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4,436,262</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109,673</w:t>
            </w:r>
          </w:p>
        </w:tc>
      </w:tr>
    </w:tbl>
    <w:tbl>
      <w:tblPr>
        <w:tblW w:w="6062" w:type="dxa"/>
        <w:jc w:val="left"/>
        <w:tblInd w:w="200" w:type="dxa"/>
        <w:tblLayout w:type="fixed"/>
        <w:tblCellMar>
          <w:top w:w="0" w:type="dxa"/>
          <w:left w:w="0" w:type="dxa"/>
          <w:bottom w:w="0" w:type="dxa"/>
          <w:right w:w="0" w:type="dxa"/>
        </w:tblCellMar>
      </w:tblPr>
      <w:tblGrid>
        <w:gridCol w:w="346"/>
        <w:gridCol w:w="571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245,628 of stock options subject to performance conditions</w:t>
            </w:r>
          </w:p>
        </w:tc>
      </w:tr>
    </w:tbl>
    <w:tbl>
      <w:tblPr>
        <w:tblW w:w="9805" w:type="dxa"/>
        <w:jc w:val="left"/>
        <w:tblInd w:w="200" w:type="dxa"/>
        <w:tblLayout w:type="fixed"/>
        <w:tblCellMar>
          <w:top w:w="0" w:type="dxa"/>
          <w:left w:w="0" w:type="dxa"/>
          <w:bottom w:w="0" w:type="dxa"/>
          <w:right w:w="0" w:type="dxa"/>
        </w:tblCellMar>
      </w:tblPr>
      <w:tblGrid>
        <w:gridCol w:w="343"/>
        <w:gridCol w:w="9462"/>
      </w:tblGrid>
      <w:tr>
        <w:trPr/>
        <w:tc>
          <w:tcPr>
            <w:tcW w:w="3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include 120,000 stock options subject to performance conditions which are improbable as of March 31, 2025.</w:t>
            </w:r>
          </w:p>
        </w:tc>
      </w:tr>
    </w:tbl>
    <w:tbl>
      <w:tblPr>
        <w:tblW w:w="6062" w:type="dxa"/>
        <w:jc w:val="left"/>
        <w:tblInd w:w="200" w:type="dxa"/>
        <w:tblLayout w:type="fixed"/>
        <w:tblCellMar>
          <w:top w:w="0" w:type="dxa"/>
          <w:left w:w="0" w:type="dxa"/>
          <w:bottom w:w="0" w:type="dxa"/>
          <w:right w:w="0" w:type="dxa"/>
        </w:tblCellMar>
      </w:tblPr>
      <w:tblGrid>
        <w:gridCol w:w="346"/>
        <w:gridCol w:w="571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215,628 of stock options subject to performance conditions</w:t>
            </w:r>
          </w:p>
        </w:tc>
      </w:tr>
    </w:tbl>
    <w:tbl>
      <w:tblPr>
        <w:tblW w:w="9805" w:type="dxa"/>
        <w:jc w:val="left"/>
        <w:tblInd w:w="200" w:type="dxa"/>
        <w:tblLayout w:type="fixed"/>
        <w:tblCellMar>
          <w:top w:w="0" w:type="dxa"/>
          <w:left w:w="0" w:type="dxa"/>
          <w:bottom w:w="0" w:type="dxa"/>
          <w:right w:w="0" w:type="dxa"/>
        </w:tblCellMar>
      </w:tblPr>
      <w:tblGrid>
        <w:gridCol w:w="344"/>
        <w:gridCol w:w="9461"/>
      </w:tblGrid>
      <w:tr>
        <w:trPr/>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include 90,000 stock options subject to performance conditions which are improbable as of March 31, 2026.</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As of March 31, 2026 there was $6,803 of total unrecognized stock-based compensation expense to be recognized over a weighted-average period of 4 years, respectively. As of March 31, 2026, the Company had $656 of total unrecognized stock-based compensation expense included in the total above for stock options with performance conditions currently considered not probable of achievement.</w:t>
      </w:r>
    </w:p>
    <w:p>
      <w:pPr>
        <w:pStyle w:val="TextBody"/>
        <w:bidi w:val="0"/>
        <w:spacing w:before="0" w:after="240"/>
        <w:ind w:left="200" w:right="200" w:hanging="0"/>
        <w:jc w:val="left"/>
        <w:rPr>
          <w:rFonts w:ascii="Times New Roman;Times;serif" w:hAnsi="Times New Roman;Times;serif"/>
          <w:b/>
          <w:caps/>
          <w:sz w:val="20"/>
        </w:rPr>
      </w:pPr>
      <w:bookmarkStart w:id="58" w:name="_b248cb30_5438_4062_8a5b_b227cc8227f7"/>
      <w:bookmarkEnd w:id="58"/>
      <w:r>
        <w:rPr>
          <w:rFonts w:ascii="Times New Roman;Times;serif" w:hAnsi="Times New Roman;Times;serif"/>
          <w:b/>
          <w:caps/>
          <w:sz w:val="20"/>
        </w:rPr>
        <w:t>Note 12 - Net Loss Per Common Share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Basic and diluted net loss per common share is computed by dividing net loss by the weighted average number of common shares outstanding during the period.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Basic and diluted losses per share are calculated as follows (in thousands, except share and per share data):</w:t>
      </w:r>
    </w:p>
    <w:tbl>
      <w:tblPr>
        <w:tblW w:w="9172" w:type="dxa"/>
        <w:jc w:val="left"/>
        <w:tblInd w:w="200" w:type="dxa"/>
        <w:tblLayout w:type="fixed"/>
        <w:tblCellMar>
          <w:top w:w="0" w:type="dxa"/>
          <w:left w:w="0" w:type="dxa"/>
          <w:bottom w:w="0" w:type="dxa"/>
          <w:right w:w="0" w:type="dxa"/>
        </w:tblCellMar>
      </w:tblPr>
      <w:tblGrid>
        <w:gridCol w:w="6151"/>
        <w:gridCol w:w="346"/>
        <w:gridCol w:w="211"/>
        <w:gridCol w:w="931"/>
        <w:gridCol w:w="346"/>
        <w:gridCol w:w="211"/>
        <w:gridCol w:w="976"/>
      </w:tblGrid>
      <w:tr>
        <w:trPr/>
        <w:tc>
          <w:tcPr>
            <w:tcW w:w="6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ind w:left="0" w:right="0" w:hanging="0"/>
              <w:jc w:val="left"/>
              <w:rPr>
                <w:sz w:val="4"/>
                <w:szCs w:val="4"/>
              </w:rPr>
            </w:pPr>
            <w:r>
              <w:rPr>
                <w:sz w:val="4"/>
                <w:szCs w:val="4"/>
              </w:rPr>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1"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2"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91185" cy="175260"/>
                      <wp:effectExtent l="0" t="0" r="0" b="0"/>
                      <wp:wrapNone/>
                      <wp:docPr id="333" name="Frame3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4"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5"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19760" cy="175260"/>
                      <wp:effectExtent l="0" t="0" r="0" b="0"/>
                      <wp:wrapNone/>
                      <wp:docPr id="336" name="Frame33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(12,870)</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(12,870)</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5,056,994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5,016,149</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bl>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common stock equivalents were excluded from the calculation of diluted loss per share attributable to common stockholders because their inclusion would have been anti-dilutive:</w:t>
      </w:r>
    </w:p>
    <w:tbl>
      <w:tblPr>
        <w:tblW w:w="8957" w:type="dxa"/>
        <w:jc w:val="left"/>
        <w:tblInd w:w="200" w:type="dxa"/>
        <w:tblLayout w:type="fixed"/>
        <w:tblCellMar>
          <w:top w:w="0" w:type="dxa"/>
          <w:left w:w="0" w:type="dxa"/>
          <w:bottom w:w="0" w:type="dxa"/>
          <w:right w:w="0" w:type="dxa"/>
        </w:tblCellMar>
      </w:tblPr>
      <w:tblGrid>
        <w:gridCol w:w="6166"/>
        <w:gridCol w:w="346"/>
        <w:gridCol w:w="984"/>
        <w:gridCol w:w="365"/>
        <w:gridCol w:w="1096"/>
      </w:tblGrid>
      <w:tr>
        <w:trPr/>
        <w:tc>
          <w:tcPr>
            <w:tcW w:w="6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ind w:left="0" w:right="0" w:hanging="0"/>
              <w:jc w:val="left"/>
              <w:rPr>
                <w:sz w:val="4"/>
                <w:szCs w:val="4"/>
              </w:rPr>
            </w:pPr>
            <w:r>
              <w:rPr>
                <w:sz w:val="4"/>
                <w:szCs w:val="4"/>
              </w:rPr>
            </w:r>
          </w:p>
        </w:tc>
      </w:tr>
      <w:tr>
        <w:trPr/>
        <w:tc>
          <w:tcPr>
            <w:tcW w:w="6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915410" cy="175260"/>
                      <wp:effectExtent l="0" t="0" r="0" b="0"/>
                      <wp:wrapNone/>
                      <wp:docPr id="337" name="Frame336"/>
                      <a:graphic xmlns:a="http://schemas.openxmlformats.org/drawingml/2006/main">
                        <a:graphicData uri="http://schemas.microsoft.com/office/word/2010/wordprocessingShape">
                          <wps:wsp>
                            <wps:cNvSpPr txBox="1"/>
                            <wps:spPr>
                              <a:xfrm>
                                <a:off x="0" y="0"/>
                                <a:ext cx="391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8"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24840" cy="175260"/>
                      <wp:effectExtent l="0" t="0" r="0" b="0"/>
                      <wp:wrapNone/>
                      <wp:docPr id="339" name="Frame338"/>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31775" cy="175260"/>
                      <wp:effectExtent l="0" t="0" r="0" b="0"/>
                      <wp:wrapNone/>
                      <wp:docPr id="340" name="Frame339"/>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5960" cy="175260"/>
                      <wp:effectExtent l="0" t="0" r="0" b="0"/>
                      <wp:wrapNone/>
                      <wp:docPr id="341" name="Frame34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4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6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5"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1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A-1 redeemable convertible preferred stock</w:t>
            </w:r>
          </w:p>
        </w:tc>
        <w:tc>
          <w:tcPr>
            <w:tcW w:w="346" w:type="dxa"/>
            <w:tcBorders/>
            <w:shd w:fill="CCEEFF" w:val="clear"/>
            <w:vAlign w:val="center"/>
          </w:tcPr>
          <w:p>
            <w:pPr>
              <w:pStyle w:val="TableContents"/>
              <w:bidi w:val="0"/>
              <w:spacing w:before="0" w:after="1"/>
              <w:ind w:left="0" w:right="0" w:hanging="0"/>
              <w:jc w:val="left"/>
              <w:rPr/>
            </w:pPr>
            <w:r>
              <w:rPr/>
              <w:t>  ​ ​ ​</w:t>
            </w:r>
          </w:p>
        </w:tc>
        <w:tc>
          <w:tcPr>
            <w:tcW w:w="984"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1,234,568</w:t>
            </w:r>
          </w:p>
        </w:tc>
        <w:tc>
          <w:tcPr>
            <w:tcW w:w="365" w:type="dxa"/>
            <w:tcBorders/>
            <w:shd w:fill="CCEEFF" w:val="clear"/>
            <w:vAlign w:val="center"/>
          </w:tcPr>
          <w:p>
            <w:pPr>
              <w:pStyle w:val="TableContents"/>
              <w:bidi w:val="0"/>
              <w:spacing w:before="0" w:after="1"/>
              <w:ind w:left="0" w:right="0" w:hanging="0"/>
              <w:jc w:val="left"/>
              <w:rPr/>
            </w:pPr>
            <w:r>
              <w:rPr/>
              <w:t>  ​ ​ ​</w:t>
            </w:r>
          </w:p>
        </w:tc>
        <w:tc>
          <w:tcPr>
            <w:tcW w:w="1096"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1,234,568</w:t>
            </w:r>
          </w:p>
        </w:tc>
      </w:tr>
      <w:tr>
        <w:trPr/>
        <w:tc>
          <w:tcPr>
            <w:tcW w:w="61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A-2 redeemable convertible preferred stock</w:t>
            </w:r>
          </w:p>
        </w:tc>
        <w:tc>
          <w:tcPr>
            <w:tcW w:w="346"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2,362,204</w:t>
            </w:r>
          </w:p>
        </w:tc>
        <w:tc>
          <w:tcPr>
            <w:tcW w:w="365"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2,362,204</w:t>
            </w:r>
          </w:p>
        </w:tc>
      </w:tr>
      <w:tr>
        <w:trPr/>
        <w:tc>
          <w:tcPr>
            <w:tcW w:w="61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B-1 redeemable convertible preferred stock</w:t>
            </w:r>
          </w:p>
        </w:tc>
        <w:tc>
          <w:tcPr>
            <w:tcW w:w="346"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2,718,539</w:t>
            </w:r>
          </w:p>
        </w:tc>
        <w:tc>
          <w:tcPr>
            <w:tcW w:w="365"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2,718,539</w:t>
            </w:r>
          </w:p>
        </w:tc>
      </w:tr>
      <w:tr>
        <w:trPr/>
        <w:tc>
          <w:tcPr>
            <w:tcW w:w="61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C-1 redeemable convertible preferred stock</w:t>
            </w:r>
          </w:p>
        </w:tc>
        <w:tc>
          <w:tcPr>
            <w:tcW w:w="346"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3,570,724</w:t>
            </w:r>
          </w:p>
        </w:tc>
        <w:tc>
          <w:tcPr>
            <w:tcW w:w="365"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3,570,724</w:t>
            </w:r>
          </w:p>
        </w:tc>
      </w:tr>
      <w:tr>
        <w:trPr/>
        <w:tc>
          <w:tcPr>
            <w:tcW w:w="61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C-2 redeemable convertible preferred stock</w:t>
            </w:r>
          </w:p>
        </w:tc>
        <w:tc>
          <w:tcPr>
            <w:tcW w:w="346"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2,513,698</w:t>
            </w:r>
          </w:p>
        </w:tc>
        <w:tc>
          <w:tcPr>
            <w:tcW w:w="365"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2,513,698</w:t>
            </w:r>
          </w:p>
        </w:tc>
      </w:tr>
      <w:tr>
        <w:trPr/>
        <w:tc>
          <w:tcPr>
            <w:tcW w:w="61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D redeemable convertible preferred stock</w:t>
            </w:r>
          </w:p>
        </w:tc>
        <w:tc>
          <w:tcPr>
            <w:tcW w:w="346"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5,950,204</w:t>
            </w:r>
          </w:p>
        </w:tc>
        <w:tc>
          <w:tcPr>
            <w:tcW w:w="365"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5,950,204</w:t>
            </w:r>
          </w:p>
        </w:tc>
      </w:tr>
      <w:tr>
        <w:trPr/>
        <w:tc>
          <w:tcPr>
            <w:tcW w:w="61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295,558</w:t>
            </w:r>
          </w:p>
        </w:tc>
        <w:tc>
          <w:tcPr>
            <w:tcW w:w="365"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295,558</w:t>
            </w:r>
          </w:p>
        </w:tc>
      </w:tr>
      <w:tr>
        <w:trPr/>
        <w:tc>
          <w:tcPr>
            <w:tcW w:w="61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issued upon conversion of convertible promissory notes (1)</w:t>
            </w:r>
          </w:p>
        </w:tc>
        <w:tc>
          <w:tcPr>
            <w:tcW w:w="346"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560,024</w:t>
            </w:r>
          </w:p>
        </w:tc>
        <w:tc>
          <w:tcPr>
            <w:tcW w:w="365"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616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346"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5,538,921</w:t>
            </w:r>
          </w:p>
        </w:tc>
        <w:tc>
          <w:tcPr>
            <w:tcW w:w="365"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5,124,445</w:t>
            </w:r>
          </w:p>
        </w:tc>
      </w:tr>
      <w:tr>
        <w:trPr/>
        <w:tc>
          <w:tcPr>
            <w:tcW w:w="616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46"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1,394,670</w:t>
            </w:r>
          </w:p>
        </w:tc>
        <w:tc>
          <w:tcPr>
            <w:tcW w:w="365"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1,414,922</w:t>
            </w:r>
          </w:p>
        </w:tc>
      </w:tr>
    </w:tbl>
    <w:tbl>
      <w:tblPr>
        <w:tblW w:w="9805" w:type="dxa"/>
        <w:jc w:val="left"/>
        <w:tblInd w:w="200" w:type="dxa"/>
        <w:tblLayout w:type="fixed"/>
        <w:tblCellMar>
          <w:top w:w="0" w:type="dxa"/>
          <w:left w:w="0" w:type="dxa"/>
          <w:bottom w:w="0" w:type="dxa"/>
          <w:right w:w="0" w:type="dxa"/>
        </w:tblCellMar>
      </w:tblPr>
      <w:tblGrid>
        <w:gridCol w:w="297"/>
        <w:gridCol w:w="95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multiple conversion options provided for within the Company’s convertible promissory notes, the Company applied the if-converted method to the calculation of the anti-dilutive shares underlying such notes to determine the estimated shares that the notes would convert into as of March 31, 2026. This assumption included consideration of the multiple conversion features and applying probability weightings to an assumed price of approximately $38 per share ($19 per share after applying the 50% discount).</w:t>
            </w:r>
          </w:p>
        </w:tc>
      </w:tr>
    </w:tbl>
    <w:p>
      <w:pPr>
        <w:pStyle w:val="TextBody"/>
        <w:bidi w:val="0"/>
        <w:spacing w:before="0" w:after="240"/>
        <w:ind w:left="200" w:right="200" w:hanging="0"/>
        <w:jc w:val="left"/>
        <w:rPr>
          <w:rFonts w:ascii="Times New Roman;Times;serif" w:hAnsi="Times New Roman;Times;serif"/>
          <w:b/>
          <w:caps/>
          <w:sz w:val="20"/>
        </w:rPr>
      </w:pPr>
      <w:bookmarkStart w:id="59" w:name="_b0984e21_7b03_4fec_b1c4_8d7371ae630d"/>
      <w:bookmarkEnd w:id="59"/>
      <w:r>
        <w:rPr>
          <w:rFonts w:ascii="Times New Roman;Times;serif" w:hAnsi="Times New Roman;Times;serif"/>
          <w:b/>
          <w:caps/>
          <w:sz w:val="20"/>
        </w:rPr>
        <w:t>NOTE 13 – SEGMENT INFORMATION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conducts business as a single operating segment. In reaching this conclusion, management considers the definition of the (“CODM”), how the business is defined by the CODM, the nature of the information provided to the CODM, and how that information is used to make operating decisions, allocate resources, and assess performance. The Company’s CODM is the chief executive officer. The results of operations provided to and analyzed by the CODM are at the consolidated level which is the level that the CODM manages the business, allocates resources, makes key resource decisions, and assesses performance.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key measure of segment profit and loss that the CODM uses to allocate resources and assess performance is the Company’s net loss. The table below shows a reconciliation of the Company’s net loss, including the significant expense categories regularly provided to and reviewed by the CODM, as computed under U.S. GAAP to the Company’s total net loss in the condensed consolidated statements of operations:</w:t>
      </w:r>
    </w:p>
    <w:tbl>
      <w:tblPr>
        <w:tblW w:w="5957" w:type="dxa"/>
        <w:jc w:val="left"/>
        <w:tblInd w:w="200" w:type="dxa"/>
        <w:tblLayout w:type="fixed"/>
        <w:tblCellMar>
          <w:top w:w="0" w:type="dxa"/>
          <w:left w:w="0" w:type="dxa"/>
          <w:bottom w:w="0" w:type="dxa"/>
          <w:right w:w="0" w:type="dxa"/>
        </w:tblCellMar>
      </w:tblPr>
      <w:tblGrid>
        <w:gridCol w:w="3166"/>
        <w:gridCol w:w="346"/>
        <w:gridCol w:w="236"/>
        <w:gridCol w:w="707"/>
        <w:gridCol w:w="388"/>
        <w:gridCol w:w="236"/>
        <w:gridCol w:w="878"/>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ind w:left="0" w:right="0" w:hanging="0"/>
              <w:jc w:val="left"/>
              <w:rPr>
                <w:sz w:val="4"/>
                <w:szCs w:val="4"/>
              </w:rPr>
            </w:pPr>
            <w:r>
              <w:rPr>
                <w:sz w:val="4"/>
                <w:szCs w:val="4"/>
              </w:rPr>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2"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49860" cy="175260"/>
                      <wp:effectExtent l="0" t="0" r="0" b="0"/>
                      <wp:wrapNone/>
                      <wp:docPr id="343" name="Frame342"/>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48945" cy="175260"/>
                      <wp:effectExtent l="0" t="0" r="0" b="0"/>
                      <wp:wrapNone/>
                      <wp:docPr id="344" name="Frame343"/>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46380" cy="175260"/>
                      <wp:effectExtent l="0" t="0" r="0" b="0"/>
                      <wp:wrapNone/>
                      <wp:docPr id="345" name="Frame344"/>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49860" cy="175260"/>
                      <wp:effectExtent l="0" t="0" r="0" b="0"/>
                      <wp:wrapNone/>
                      <wp:docPr id="346" name="Frame34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57530" cy="175260"/>
                      <wp:effectExtent l="0" t="0" r="0" b="0"/>
                      <wp:wrapNone/>
                      <wp:docPr id="347" name="Frame346"/>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16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8" w:type="dxa"/>
            <w:tcBorders/>
            <w:vAlign w:val="center"/>
          </w:tcPr>
          <w:p>
            <w:pPr>
              <w:pStyle w:val="TableContents"/>
              <w:bidi w:val="0"/>
              <w:spacing w:before="0" w:after="1"/>
              <w:ind w:left="0" w:right="0" w:hanging="0"/>
              <w:jc w:val="left"/>
              <w:rPr>
                <w:color w:val="231F20"/>
              </w:rPr>
            </w:pPr>
            <w:r>
              <w:rPr>
                <w:color w:val="231F20"/>
              </w:rPr>
              <w:t>​</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66" w:type="dxa"/>
            <w:tcBorders/>
            <w:shd w:fill="CCEEFF" w:val="clear"/>
            <w:vAlign w:val="center"/>
          </w:tcPr>
          <w:p>
            <w:pPr>
              <w:pStyle w:val="TableContents"/>
              <w:pBdr/>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Operating expenses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23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07"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88" w:type="dxa"/>
            <w:tcBorders/>
            <w:shd w:fill="CCEEFF" w:val="clear"/>
            <w:vAlign w:val="center"/>
          </w:tcPr>
          <w:p>
            <w:pPr>
              <w:pStyle w:val="TableContents"/>
              <w:bidi w:val="0"/>
              <w:spacing w:before="0" w:after="1"/>
              <w:ind w:left="0" w:right="0" w:hanging="0"/>
              <w:jc w:val="left"/>
              <w:rPr>
                <w:color w:val="231F20"/>
              </w:rPr>
            </w:pPr>
            <w:r>
              <w:rPr>
                <w:color w:val="231F20"/>
              </w:rPr>
              <w:t>  ​ ​ ​</w:t>
            </w:r>
          </w:p>
        </w:tc>
        <w:tc>
          <w:tcPr>
            <w:tcW w:w="23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878" w:type="dxa"/>
            <w:tcBorders/>
            <w:shd w:fill="CCEEFF" w:val="clear"/>
            <w:vAlign w:val="center"/>
          </w:tcPr>
          <w:p>
            <w:pPr>
              <w:pStyle w:val="TableContents"/>
              <w:bidi w:val="0"/>
              <w:spacing w:before="0" w:after="1"/>
              <w:ind w:left="0" w:right="0" w:hanging="0"/>
              <w:jc w:val="right"/>
              <w:rPr>
                <w:color w:val="231F20"/>
              </w:rPr>
            </w:pPr>
            <w:r>
              <w:rPr>
                <w:color w:val="231F20"/>
              </w:rPr>
              <w:t>  ​</w:t>
            </w:r>
          </w:p>
        </w:tc>
      </w:tr>
      <w:tr>
        <w:trPr/>
        <w:tc>
          <w:tcPr>
            <w:tcW w:w="3166" w:type="dxa"/>
            <w:tcBorders/>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Reimbursement from JDAs and others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3,410</w:t>
            </w:r>
          </w:p>
        </w:tc>
        <w:tc>
          <w:tcPr>
            <w:tcW w:w="388" w:type="dxa"/>
            <w:tcBorders/>
            <w:vAlign w:val="center"/>
          </w:tcPr>
          <w:p>
            <w:pPr>
              <w:pStyle w:val="TableContents"/>
              <w:bidi w:val="0"/>
              <w:spacing w:before="0" w:after="1"/>
              <w:ind w:left="0" w:right="0" w:hanging="0"/>
              <w:jc w:val="left"/>
              <w:rPr>
                <w:color w:val="231F20"/>
              </w:rPr>
            </w:pPr>
            <w:r>
              <w:rPr>
                <w:color w:val="231F20"/>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34</w:t>
            </w:r>
          </w:p>
        </w:tc>
      </w:tr>
      <w:tr>
        <w:trPr/>
        <w:tc>
          <w:tcPr>
            <w:tcW w:w="316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Payroll expense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3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(5,860)</w:t>
            </w:r>
          </w:p>
        </w:tc>
        <w:tc>
          <w:tcPr>
            <w:tcW w:w="388"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3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(8,133)</w:t>
            </w:r>
          </w:p>
        </w:tc>
      </w:tr>
      <w:tr>
        <w:trPr/>
        <w:tc>
          <w:tcPr>
            <w:tcW w:w="3166" w:type="dxa"/>
            <w:tcBorders/>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Occupancy expense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36" w:type="dxa"/>
            <w:tcBorders/>
            <w:vAlign w:val="center"/>
          </w:tcPr>
          <w:p>
            <w:pPr>
              <w:pStyle w:val="TableContents"/>
              <w:bidi w:val="0"/>
              <w:spacing w:before="0" w:after="1"/>
              <w:ind w:left="0" w:right="0" w:hanging="0"/>
              <w:jc w:val="left"/>
              <w:rPr>
                <w:color w:val="231F20"/>
              </w:rPr>
            </w:pPr>
            <w:r>
              <w:rPr>
                <w:color w:val="231F20"/>
              </w:rPr>
              <w:t> </w:t>
            </w:r>
          </w:p>
        </w:tc>
        <w:tc>
          <w:tcPr>
            <w:tcW w:w="707"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(859)</w:t>
            </w:r>
          </w:p>
        </w:tc>
        <w:tc>
          <w:tcPr>
            <w:tcW w:w="388" w:type="dxa"/>
            <w:tcBorders/>
            <w:vAlign w:val="center"/>
          </w:tcPr>
          <w:p>
            <w:pPr>
              <w:pStyle w:val="TableContents"/>
              <w:bidi w:val="0"/>
              <w:spacing w:before="0" w:after="1"/>
              <w:ind w:left="0" w:right="0" w:hanging="0"/>
              <w:jc w:val="left"/>
              <w:rPr>
                <w:color w:val="231F20"/>
              </w:rPr>
            </w:pPr>
            <w:r>
              <w:rPr>
                <w:color w:val="231F20"/>
              </w:rPr>
              <w:t>​</w:t>
            </w:r>
          </w:p>
        </w:tc>
        <w:tc>
          <w:tcPr>
            <w:tcW w:w="236" w:type="dxa"/>
            <w:tcBorders/>
            <w:vAlign w:val="center"/>
          </w:tcPr>
          <w:p>
            <w:pPr>
              <w:pStyle w:val="TableContents"/>
              <w:bidi w:val="0"/>
              <w:spacing w:before="0" w:after="1"/>
              <w:ind w:left="0" w:right="0" w:hanging="0"/>
              <w:jc w:val="left"/>
              <w:rPr>
                <w:color w:val="231F20"/>
              </w:rPr>
            </w:pPr>
            <w:r>
              <w:rPr>
                <w:color w:val="231F20"/>
              </w:rPr>
              <w:t> </w:t>
            </w:r>
          </w:p>
        </w:tc>
        <w:tc>
          <w:tcPr>
            <w:tcW w:w="878"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(1,497)</w:t>
            </w:r>
          </w:p>
        </w:tc>
      </w:tr>
      <w:tr>
        <w:trPr/>
        <w:tc>
          <w:tcPr>
            <w:tcW w:w="316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Professional service expense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3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(916)</w:t>
            </w:r>
          </w:p>
        </w:tc>
        <w:tc>
          <w:tcPr>
            <w:tcW w:w="388"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3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(606)</w:t>
            </w:r>
          </w:p>
        </w:tc>
      </w:tr>
      <w:tr>
        <w:trPr/>
        <w:tc>
          <w:tcPr>
            <w:tcW w:w="3166" w:type="dxa"/>
            <w:tcBorders/>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Research and development expense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36" w:type="dxa"/>
            <w:tcBorders/>
            <w:vAlign w:val="center"/>
          </w:tcPr>
          <w:p>
            <w:pPr>
              <w:pStyle w:val="TableContents"/>
              <w:bidi w:val="0"/>
              <w:spacing w:before="0" w:after="1"/>
              <w:ind w:left="0" w:right="0" w:hanging="0"/>
              <w:jc w:val="left"/>
              <w:rPr>
                <w:color w:val="231F20"/>
              </w:rPr>
            </w:pPr>
            <w:r>
              <w:rPr>
                <w:color w:val="231F20"/>
              </w:rPr>
              <w:t> </w:t>
            </w:r>
          </w:p>
        </w:tc>
        <w:tc>
          <w:tcPr>
            <w:tcW w:w="707"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(933)</w:t>
            </w:r>
          </w:p>
        </w:tc>
        <w:tc>
          <w:tcPr>
            <w:tcW w:w="388" w:type="dxa"/>
            <w:tcBorders/>
            <w:vAlign w:val="center"/>
          </w:tcPr>
          <w:p>
            <w:pPr>
              <w:pStyle w:val="TableContents"/>
              <w:bidi w:val="0"/>
              <w:spacing w:before="0" w:after="1"/>
              <w:ind w:left="0" w:right="0" w:hanging="0"/>
              <w:jc w:val="left"/>
              <w:rPr>
                <w:color w:val="231F20"/>
              </w:rPr>
            </w:pPr>
            <w:r>
              <w:rPr>
                <w:color w:val="231F20"/>
              </w:rPr>
              <w:t>​</w:t>
            </w:r>
          </w:p>
        </w:tc>
        <w:tc>
          <w:tcPr>
            <w:tcW w:w="236" w:type="dxa"/>
            <w:tcBorders/>
            <w:vAlign w:val="center"/>
          </w:tcPr>
          <w:p>
            <w:pPr>
              <w:pStyle w:val="TableContents"/>
              <w:bidi w:val="0"/>
              <w:spacing w:before="0" w:after="1"/>
              <w:ind w:left="0" w:right="0" w:hanging="0"/>
              <w:jc w:val="left"/>
              <w:rPr>
                <w:color w:val="231F20"/>
              </w:rPr>
            </w:pPr>
            <w:r>
              <w:rPr>
                <w:color w:val="231F20"/>
              </w:rPr>
              <w:t> </w:t>
            </w:r>
          </w:p>
        </w:tc>
        <w:tc>
          <w:tcPr>
            <w:tcW w:w="878"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(537)</w:t>
            </w:r>
          </w:p>
        </w:tc>
      </w:tr>
      <w:tr>
        <w:trPr/>
        <w:tc>
          <w:tcPr>
            <w:tcW w:w="3166"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Depreciation expense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3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(882)</w:t>
            </w:r>
          </w:p>
        </w:tc>
        <w:tc>
          <w:tcPr>
            <w:tcW w:w="388"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3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(1,984)</w:t>
            </w:r>
          </w:p>
        </w:tc>
      </w:tr>
      <w:tr>
        <w:trPr/>
        <w:tc>
          <w:tcPr>
            <w:tcW w:w="3166" w:type="dxa"/>
            <w:tcBorders/>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Other operating expense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(451)</w:t>
            </w:r>
          </w:p>
        </w:tc>
        <w:tc>
          <w:tcPr>
            <w:tcW w:w="388" w:type="dxa"/>
            <w:tcBorders/>
            <w:vAlign w:val="center"/>
          </w:tcPr>
          <w:p>
            <w:pPr>
              <w:pStyle w:val="TableContents"/>
              <w:bidi w:val="0"/>
              <w:spacing w:before="0" w:after="1"/>
              <w:ind w:left="0" w:right="0" w:hanging="0"/>
              <w:jc w:val="left"/>
              <w:rPr>
                <w:color w:val="231F20"/>
              </w:rPr>
            </w:pPr>
            <w:r>
              <w:rPr>
                <w:color w:val="231F20"/>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(399)</w:t>
            </w:r>
          </w:p>
        </w:tc>
      </w:tr>
      <w:tr>
        <w:trPr/>
        <w:tc>
          <w:tcPr>
            <w:tcW w:w="3166" w:type="dxa"/>
            <w:tcBorders/>
            <w:shd w:fill="CCEEFF" w:val="clear"/>
            <w:vAlign w:val="center"/>
          </w:tcPr>
          <w:p>
            <w:pPr>
              <w:pStyle w:val="TableContents"/>
              <w:pBdr/>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Loss from operations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36"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07"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(6,491)</w:t>
            </w:r>
          </w:p>
        </w:tc>
        <w:tc>
          <w:tcPr>
            <w:tcW w:w="388"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36"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878"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(13,122)</w:t>
            </w:r>
          </w:p>
        </w:tc>
      </w:tr>
      <w:tr>
        <w:trPr/>
        <w:tc>
          <w:tcPr>
            <w:tcW w:w="3166" w:type="dxa"/>
            <w:tcBorders/>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 other income (expense), net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(2,084)</w:t>
            </w:r>
          </w:p>
        </w:tc>
        <w:tc>
          <w:tcPr>
            <w:tcW w:w="388" w:type="dxa"/>
            <w:tcBorders/>
            <w:vAlign w:val="center"/>
          </w:tcPr>
          <w:p>
            <w:pPr>
              <w:pStyle w:val="TableContents"/>
              <w:bidi w:val="0"/>
              <w:spacing w:before="0" w:after="1"/>
              <w:ind w:left="0" w:right="0" w:hanging="0"/>
              <w:jc w:val="left"/>
              <w:rPr>
                <w:color w:val="231F20"/>
              </w:rPr>
            </w:pPr>
            <w:r>
              <w:rPr>
                <w:color w:val="231F20"/>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252</w:t>
            </w:r>
          </w:p>
        </w:tc>
      </w:tr>
      <w:tr>
        <w:trPr/>
        <w:tc>
          <w:tcPr>
            <w:tcW w:w="3166" w:type="dxa"/>
            <w:tcBorders/>
            <w:shd w:fill="CCEEFF" w:val="clear"/>
            <w:vAlign w:val="center"/>
          </w:tcPr>
          <w:p>
            <w:pPr>
              <w:pStyle w:val="TableContents"/>
              <w:pBdr/>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Net loss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3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70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(8,575)</w:t>
            </w:r>
          </w:p>
        </w:tc>
        <w:tc>
          <w:tcPr>
            <w:tcW w:w="388"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3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w:t>
            </w:r>
          </w:p>
        </w:tc>
        <w:tc>
          <w:tcPr>
            <w:tcW w:w="87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(12,870)</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Assets provided to CODM are consistent with those reported on the condensed consolidated balance sheet with particular emphasis on the company’s available liquidity, including its cash and cash equivalents reduced by current liabilities. All long-lived assets are maintained in, and all losses are attributable to the United States of America and South Korea.</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hanging="0"/>
        <w:jc w:val="left"/>
        <w:rPr>
          <w:rFonts w:ascii="Times New Roman;Times;serif" w:hAnsi="Times New Roman;Times;serif"/>
          <w:b/>
          <w:caps/>
          <w:sz w:val="20"/>
        </w:rPr>
      </w:pPr>
      <w:bookmarkStart w:id="60" w:name="_e3e8a1fb_2cc0_4308_9a32_b41fe22839bc"/>
      <w:bookmarkEnd w:id="60"/>
      <w:r>
        <w:rPr>
          <w:rFonts w:ascii="Times New Roman;Times;serif" w:hAnsi="Times New Roman;Times;serif"/>
          <w:b/>
          <w:caps/>
          <w:sz w:val="20"/>
        </w:rPr>
        <w:t>NOTE 14 - Related Party Transactions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Collaboration Arrangements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has established JDAs with various partners with some of the partners also making investments in the Company through the purchase of preferred shares. In connection with the Series D Agreements, the Company entered into both Warrant and JDA agreements with Mercedes-Benz and Stellantis.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Uwe Keller, a member of the Company’s Board of Directors, represents Mercedes-Benz who is an investor in the Company’s Preferred Stock and holder of Series D Warrants. For the three months ended March 31, 2026, the Company recognized no expense reimbursements for the services provided under the JDA with Mercedes-Benz. For the three months ended March 31, 2025, the Company recognized $24 in expense reimbursements for the services provided under the JDA with Mercedes-Benz, which are recorded net within research and development expenses on the condensed consolidated statement of operations. There were no amounts due from Mercedes-Benz as of March 31, 2026, and December 31, 2025.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Michael Bly, a member of the Company’s Board of Directors, represents Stellantis who is an investor in the Company’s Preferred Stock and holder of Series D Warrants. For the three months ended March 31, 2026, and 2025, the Company recognized no expense reimbursements for the services provided under the JDA with Stellantis. There were no amounts due from Stellantis as of March 31, 2026. Amounts due from Stellantis totaled $1,000 which are included in receivables under collaboration agreements on the condensed consolidated balance sheets as of December 31, 2025.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August 2025, the Company modified its existing JDA with Stellantis. The modified JDA required the Company to make a $2,000 payment to Stellantis for services related to the production and testing of a demo fleet. The Company and Stellantis jointly developed a production timeline as outlined in the agreement, which includes deliverables of Stellantis to the Company through June 2027 such as, module and pack safety reports, battery management system results, installation and retrofitting of test cells, and validation results of the demo fleet. In December 2025, the Company prepaid $2,000 to Stellantis for these services. As of March 31, 2026, and December 31, 2025, $40 and $160 are included in other non-current assets, respectively on the condensed consolidated balance sheets. As of March 31, 2026, and December 31, 2025, $910 and $950 are included in prepaid expenses and other current assets, respectively on the condensed consolidated balance sheets. During the three months ended March 31, 2026, $160 of expense was recognized as part of the agreement and is included in research and development expenses on the condensed consolidated statements of operations.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Consulting Arrangements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March of 2020, the Company entered into a consulting services agreement with Joseph Taylor who also serves as Executive Chairman of the Company’s Board of Directors. For the three months ended March 31, 2026 and 2025, the Company incurred $88 and $44, respectively in expenses for consulting services provided by Joesph Taylor recorded within selling, general and administrative expenses on the condensed consolidated statements of operations. Amounts due to Joseph Taylor totaled $30 and $190 as of March 31, 2026, and December 31, 2025, respectively and are included in accounts payable.</w:t>
      </w:r>
    </w:p>
    <w:p>
      <w:pPr>
        <w:pStyle w:val="TextBody"/>
        <w:bidi w:val="0"/>
        <w:spacing w:before="0" w:after="240"/>
        <w:ind w:left="200" w:right="200" w:hanging="0"/>
        <w:jc w:val="left"/>
        <w:rPr>
          <w:rFonts w:ascii="Times New Roman;Times;serif" w:hAnsi="Times New Roman;Times;serif"/>
          <w:b/>
          <w:caps/>
          <w:sz w:val="20"/>
        </w:rPr>
      </w:pPr>
      <w:bookmarkStart w:id="61" w:name="_3b6fd45d_f3b6_4117_a0fa_599cc1bd372e"/>
      <w:bookmarkEnd w:id="61"/>
      <w:r>
        <w:rPr>
          <w:rFonts w:ascii="Times New Roman;Times;serif" w:hAnsi="Times New Roman;Times;serif"/>
          <w:b/>
          <w:caps/>
          <w:sz w:val="20"/>
        </w:rPr>
        <w:t>Note 15 - Subsequent Events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has evaluated subsequent events through June 10, 2026.</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As discussed in Note 1, on June 5, 2026, upon the closing of the de-SPAC Transaction, the Company became a wholly-owned subsidiary of CGC. Under the BCA, each outstanding Class A ordinary share of CGC (each, a “CGC Class A Share”), each outstanding Class B ordinary share of CGC and each outstanding preference share of CGC was converted into one share of Series A Common Stock, par value $0.00001 per share, (the “PubCo Series A Common Stock”). Each share of Factorial Common Stock (excluding treasury shares, dissenting shares and shares held by the Factorial founders) issued and outstanding as of immediately prior to the Effective Time, was automatically canceled and extinguished and exchanged for a number of shares of PubCo Series A Common Stock equal to the consideration ratio of approximately 3.67 (the “Consideration Ratio”), which was based on an implied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24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Factorial Inc.</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Factorial equity value of $1,100,000. Each share of Factorial Common Stock held by the Factorial Founders issued and outstanding as of immediately prior to the Effective Time, was automatically canceled and extinguished and exchanged for a number of shares of Series B Common Stock, par value $0.00001 per share (the “PubCo Series B Common Stock”) equal to the Consideration Ratio. Each share of Factorial Preferred Stock issued and outstanding as of immediately prior to the Effective Time was automatically canceled and extinguished and converted into the right to receive a number of shares of PubCo Series A Common Stock, par value $0.00001 per share, equal to the Consideration Ratio. PubCo received gross proceeds of approximately $112,100 in connection with the de-SPAC Transaction and the sale of a private placement of PubCo Series A Common Stock, prior to the payment of transaction expenses.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Additionally, and in congruence with the consummation of the de-SPAC transaction, each option to purchase Factorial Common Stock (each, a “Factorial Option”), whether vested or unvested, ceased to represent the right to purchase Factorial Common Shares and was canceled in exchange for options to purchase PubCo Series A Common Stock under the equity incentive plan adopted by CGC in advance of the Closing (the “PubCo Equity Incentive Plan”), in an amount equal to the product of (x) the number shares of Factorial Common Stock subject to such Factorial Option immediately prior to the Effective Time, multiplied by (y) the Consideration Ratio, at an exercise price per share equal to the quotient of (i) the exercise price per share of such Factorial Option immediately prior to the Effective Time, divided by (ii) the Consideration Ratio, and generally subject to the same terms and conditions that applied to the corresponding Factorial Option immediately prior to the Effective Time. Each restricted stock unit award that was outstanding with respect to Factorial Common Stock (each, a “Factorial RSU Award”), whether vested or unvested, ceased to have any rights in respect of the Factorial Common Stock and was canceled in exchange for a restricted stock unit award under the PubCo Equity Incentive Plan that settled in a number of shares of PubCo Series A Common Stock in an amount and subject to such terms and conditions, in each case, as set forth on the allocation schedule, that was generally subject to the same terms and conditions that applied to the corresponding Factorial RSU Award immediately prior to the Effective Time.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April 1, 2026, the Company modified an outstanding equity award granted to a consultant that included performance based vesting conditions. As a result of the modification, 90,000 previously granted stock options were forfeited. Pursuant to the modification, and contingent upon the closing of the Company’s pending business combination, the Company is required to grant the consultant RSUs with an aggregate grant date fair value of $250. Additionally, the modification provides for the issuance of 100,000 RSUs subject to performance conditions as defined in the amended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April 27, 2026, the Company entered into a definitive agreement to sell its wholly-owned subsidiary Factorial Germany GmbH for a total consideration of $6. The transaction will close at a later date, subject to the satisfaction of customary closing conditions in accordance with German law and registration with the German Commercial Register.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May 18, 2026, the Company received $1,040 of proceeds related to the January 2026 Notes.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June 5, 2026, the Company entered into an agreement with Clear Street LLC (“Clear Street”), pursuant to which Clear Street agreed to act as capital markets advisor to the Company for a term of twelve months. As consideration for these services, the agreement provides for the issuance to Clear Street of 100,000 shares of PubCo Series A Common Stock.</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62" w:name="_c829b734_7814_46ae_9e01_1aa01f73a385"/>
      <w:bookmarkEnd w:id="62"/>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bookmarkStart w:id="63" w:name="CONDENSEDBALANCESHEETS_533849"/>
      <w:bookmarkEnd w:id="63"/>
      <w:r>
        <w:rPr>
          <w:rFonts w:ascii="Times New Roman;Times;serif" w:hAnsi="Times New Roman;Times;serif"/>
          <w:b/>
          <w:sz w:val="20"/>
        </w:rPr>
        <w:t>CONDENSED BALANCE SHEETS</w:t>
      </w:r>
    </w:p>
    <w:p>
      <w:pPr>
        <w:pStyle w:val="TextBody"/>
        <w:bidi w:val="0"/>
        <w:spacing w:before="0" w:after="240"/>
        <w:ind w:left="200" w:right="200" w:hanging="0"/>
        <w:jc w:val="both"/>
        <w:rPr/>
      </w:pPr>
      <w:r>
        <w:rPr/>
        <w:t>​</w:t>
      </w:r>
    </w:p>
    <w:p>
      <w:pPr>
        <w:pStyle w:val="Normal"/>
        <w:bidi w:val="0"/>
        <w:spacing w:before="200" w:after="200"/>
        <w:ind w:left="200" w:right="200" w:hanging="0"/>
        <w:jc w:val="left"/>
        <w:rPr>
          <w:sz w:val="4"/>
          <w:szCs w:val="4"/>
        </w:rPr>
      </w:pPr>
      <w:r>
        <w:rPr>
          <w:sz w:val="4"/>
          <w:szCs w:val="4"/>
        </w:rPr>
      </w:r>
      <w:bookmarkStart w:id="64" w:name="Tc_6tuQiC_9Z0qbqvpQQlMa1w_32_5"/>
      <w:bookmarkStart w:id="65" w:name="Tc_xEE4KYGHiUuxBYJEOkC2YQ_32_2"/>
      <w:bookmarkStart w:id="66" w:name="Tc_xs81KZA0EUa-m7sSUOMt1Q_32_0"/>
      <w:bookmarkStart w:id="67" w:name="Tc_pZw98v17MEOw01nps5jgGw_31_0"/>
      <w:bookmarkStart w:id="68" w:name="Tc_MOqWqXbEt0CPa0sAMQkVRw_30_0"/>
      <w:bookmarkStart w:id="69" w:name="Tc_3VQlUx1mJkiVujBsPgEc8Q_29_6"/>
      <w:bookmarkStart w:id="70" w:name="Tc_zNAgU7ARq0aznjj0ElBdvg_29_3"/>
      <w:bookmarkStart w:id="71" w:name="Tc_66PKoWqBUEq25-IpONiYgw_29_0"/>
      <w:bookmarkStart w:id="72" w:name="Tc_cEjZXkJfe0aEc-5JoZ2HHA_28_0"/>
      <w:bookmarkStart w:id="73" w:name="Tc_Iv6TNyx5dk-vzwOO0n6Ocg_27_0"/>
      <w:bookmarkStart w:id="74" w:name="Tc_XBSL6R4-k0uOO0HeUnjqxA_26_0"/>
      <w:bookmarkStart w:id="75" w:name="Tc_j0bGhuRrj0aM0Z4K8toUqQ_25_0"/>
      <w:bookmarkStart w:id="76" w:name="Tc_YlX3aeLbLU-fFBNj4VB-Nw_23_0"/>
      <w:bookmarkStart w:id="77" w:name="Tc_Oq7B3k2YW0m5gJUt9vXElg_22_0"/>
      <w:bookmarkStart w:id="78" w:name="Tc_CPsgmqnYyUS46cBdBRHXqw_20_0"/>
      <w:bookmarkStart w:id="79" w:name="Tc_3CMkcgw1zkaL0SBdSN_RxA_19_0"/>
      <w:bookmarkStart w:id="80" w:name="Tc_lgqQu6uSbUKNu9nI4F2rpA_18_0"/>
      <w:bookmarkStart w:id="81" w:name="Tc_HtZOCNYx9USI0nei4UTOpA_17_0"/>
      <w:bookmarkStart w:id="82" w:name="Tc_dDLqm6UWd02O3tMRMuV_gg_16_5"/>
      <w:bookmarkStart w:id="83" w:name="Tc_eq-nEH4VYEiSrPfTfK5lrQ_16_2"/>
      <w:bookmarkStart w:id="84" w:name="Tc_0hyAIVoHjEayp1BBNiRUmQ_16_0"/>
      <w:bookmarkStart w:id="85" w:name="Tc_KeOsRbKIV0-OSR-DbD3WVg_15_0"/>
      <w:bookmarkStart w:id="86" w:name="Tc_KTm_G4Ad1kuRU2Qzl1ZnTA_14_0"/>
      <w:bookmarkStart w:id="87" w:name="Tc_PA0Xk63fnE-QudoefpIeSg_12_5"/>
      <w:bookmarkStart w:id="88" w:name="Tc_X9Efbt5LT0qILihdiOauDA_12_2"/>
      <w:bookmarkStart w:id="89" w:name="Tc_MN0zK6mz-ESGME81E_fJuA_12_0"/>
      <w:bookmarkStart w:id="90" w:name="Tc_IGam2CG8N0eYecqoYZAAbA_11_0"/>
      <w:bookmarkStart w:id="91" w:name="Tc_OOGie6tdcEeclA8fyd9-cg_10_0"/>
      <w:bookmarkStart w:id="92" w:name="Tc_v6MBZqhe5k2gFGA1OmnMzg_9_0"/>
      <w:bookmarkStart w:id="93" w:name="Tc_dQgZ6GYcu06WDYY1JXxrMA_8_0"/>
      <w:bookmarkStart w:id="94" w:name="Tc_iyWae5ZNdEmeALHUwtidwA_7_0"/>
      <w:bookmarkStart w:id="95" w:name="Tc_CF1KgdSBLUGuBaSHbQUV_Q_6_5"/>
      <w:bookmarkStart w:id="96" w:name="Tc_3sQxP3VnN0KXXgDhIl5hPA_6_2"/>
      <w:bookmarkStart w:id="97" w:name="Tc_6bNIvtdmc0GrwPAByH9mvw_6_0"/>
      <w:bookmarkStart w:id="98" w:name="Tc_bpNjJ-IErEmEHeAI45erzA_5_0"/>
      <w:bookmarkStart w:id="99" w:name="Tc_YE7sxVhfHUCIrfSbvhDcoA_4_0"/>
      <w:bookmarkStart w:id="100" w:name="Tc_DLgJoR_bwkG8guKNKDvhBw_3_2"/>
      <w:bookmarkStart w:id="101" w:name="Tc_LHc6ZSiKHk6wKbpzQx_7Bw_2_5"/>
      <w:bookmarkStart w:id="102" w:name="Tc_ui3DKTHnv0qXyG6xElyx0w_2_2"/>
      <w:bookmarkStart w:id="103" w:name="Tc_SGzri_q9X0-desUT0FC-2w_1_5"/>
      <w:bookmarkStart w:id="104" w:name="Tc_UaidjvMbY0e4fQY7blV76A_1_2"/>
      <w:bookmarkStart w:id="105" w:name="_f46f7de3_9aaf_48a5_8ba7_3b4460853099"/>
      <w:bookmarkStart w:id="106" w:name="Tc_6tuQiC_9Z0qbqvpQQlMa1w_32_5"/>
      <w:bookmarkStart w:id="107" w:name="Tc_xEE4KYGHiUuxBYJEOkC2YQ_32_2"/>
      <w:bookmarkStart w:id="108" w:name="Tc_xs81KZA0EUa-m7sSUOMt1Q_32_0"/>
      <w:bookmarkStart w:id="109" w:name="Tc_pZw98v17MEOw01nps5jgGw_31_0"/>
      <w:bookmarkStart w:id="110" w:name="Tc_MOqWqXbEt0CPa0sAMQkVRw_30_0"/>
      <w:bookmarkStart w:id="111" w:name="Tc_3VQlUx1mJkiVujBsPgEc8Q_29_6"/>
      <w:bookmarkStart w:id="112" w:name="Tc_zNAgU7ARq0aznjj0ElBdvg_29_3"/>
      <w:bookmarkStart w:id="113" w:name="Tc_66PKoWqBUEq25-IpONiYgw_29_0"/>
      <w:bookmarkStart w:id="114" w:name="Tc_cEjZXkJfe0aEc-5JoZ2HHA_28_0"/>
      <w:bookmarkStart w:id="115" w:name="Tc_Iv6TNyx5dk-vzwOO0n6Ocg_27_0"/>
      <w:bookmarkStart w:id="116" w:name="Tc_XBSL6R4-k0uOO0HeUnjqxA_26_0"/>
      <w:bookmarkStart w:id="117" w:name="Tc_j0bGhuRrj0aM0Z4K8toUqQ_25_0"/>
      <w:bookmarkStart w:id="118" w:name="Tc_YlX3aeLbLU-fFBNj4VB-Nw_23_0"/>
      <w:bookmarkStart w:id="119" w:name="Tc_Oq7B3k2YW0m5gJUt9vXElg_22_0"/>
      <w:bookmarkStart w:id="120" w:name="Tc_CPsgmqnYyUS46cBdBRHXqw_20_0"/>
      <w:bookmarkStart w:id="121" w:name="Tc_3CMkcgw1zkaL0SBdSN_RxA_19_0"/>
      <w:bookmarkStart w:id="122" w:name="Tc_lgqQu6uSbUKNu9nI4F2rpA_18_0"/>
      <w:bookmarkStart w:id="123" w:name="Tc_HtZOCNYx9USI0nei4UTOpA_17_0"/>
      <w:bookmarkStart w:id="124" w:name="Tc_dDLqm6UWd02O3tMRMuV_gg_16_5"/>
      <w:bookmarkStart w:id="125" w:name="Tc_eq-nEH4VYEiSrPfTfK5lrQ_16_2"/>
      <w:bookmarkStart w:id="126" w:name="Tc_0hyAIVoHjEayp1BBNiRUmQ_16_0"/>
      <w:bookmarkStart w:id="127" w:name="Tc_KeOsRbKIV0-OSR-DbD3WVg_15_0"/>
      <w:bookmarkStart w:id="128" w:name="Tc_KTm_G4Ad1kuRU2Qzl1ZnTA_14_0"/>
      <w:bookmarkStart w:id="129" w:name="Tc_PA0Xk63fnE-QudoefpIeSg_12_5"/>
      <w:bookmarkStart w:id="130" w:name="Tc_X9Efbt5LT0qILihdiOauDA_12_2"/>
      <w:bookmarkStart w:id="131" w:name="Tc_MN0zK6mz-ESGME81E_fJuA_12_0"/>
      <w:bookmarkStart w:id="132" w:name="Tc_IGam2CG8N0eYecqoYZAAbA_11_0"/>
      <w:bookmarkStart w:id="133" w:name="Tc_OOGie6tdcEeclA8fyd9-cg_10_0"/>
      <w:bookmarkStart w:id="134" w:name="Tc_v6MBZqhe5k2gFGA1OmnMzg_9_0"/>
      <w:bookmarkStart w:id="135" w:name="Tc_dQgZ6GYcu06WDYY1JXxrMA_8_0"/>
      <w:bookmarkStart w:id="136" w:name="Tc_iyWae5ZNdEmeALHUwtidwA_7_0"/>
      <w:bookmarkStart w:id="137" w:name="Tc_CF1KgdSBLUGuBaSHbQUV_Q_6_5"/>
      <w:bookmarkStart w:id="138" w:name="Tc_3sQxP3VnN0KXXgDhIl5hPA_6_2"/>
      <w:bookmarkStart w:id="139" w:name="Tc_6bNIvtdmc0GrwPAByH9mvw_6_0"/>
      <w:bookmarkStart w:id="140" w:name="Tc_bpNjJ-IErEmEHeAI45erzA_5_0"/>
      <w:bookmarkStart w:id="141" w:name="Tc_YE7sxVhfHUCIrfSbvhDcoA_4_0"/>
      <w:bookmarkStart w:id="142" w:name="Tc_DLgJoR_bwkG8guKNKDvhBw_3_2"/>
      <w:bookmarkStart w:id="143" w:name="Tc_LHc6ZSiKHk6wKbpzQx_7Bw_2_5"/>
      <w:bookmarkStart w:id="144" w:name="Tc_ui3DKTHnv0qXyG6xElyx0w_2_2"/>
      <w:bookmarkStart w:id="145" w:name="Tc_SGzri_q9X0-desUT0FC-2w_1_5"/>
      <w:bookmarkStart w:id="146" w:name="Tc_UaidjvMbY0e4fQY7blV76A_1_2"/>
      <w:bookmarkStart w:id="147" w:name="_f46f7de3_9aaf_48a5_8ba7_3b4460853099"/>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tbl>
      <w:tblPr>
        <w:tblW w:w="9805" w:type="dxa"/>
        <w:jc w:val="left"/>
        <w:tblInd w:w="200" w:type="dxa"/>
        <w:tblLayout w:type="fixed"/>
        <w:tblCellMar>
          <w:top w:w="0" w:type="dxa"/>
          <w:left w:w="0" w:type="dxa"/>
          <w:bottom w:w="0" w:type="dxa"/>
          <w:right w:w="0" w:type="dxa"/>
        </w:tblCellMar>
      </w:tblPr>
      <w:tblGrid>
        <w:gridCol w:w="6593"/>
        <w:gridCol w:w="346"/>
        <w:gridCol w:w="196"/>
        <w:gridCol w:w="1016"/>
        <w:gridCol w:w="346"/>
        <w:gridCol w:w="196"/>
        <w:gridCol w:w="1112"/>
      </w:tblGrid>
      <w:tr>
        <w:trPr/>
        <w:tc>
          <w:tcPr>
            <w:tcW w:w="65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ind w:left="0" w:right="0" w:hanging="0"/>
              <w:jc w:val="left"/>
              <w:rPr>
                <w:sz w:val="4"/>
                <w:szCs w:val="4"/>
              </w:rPr>
            </w:pPr>
            <w:r>
              <w:rPr>
                <w:sz w:val="4"/>
                <w:szCs w:val="4"/>
              </w:rPr>
            </w:r>
          </w:p>
        </w:tc>
      </w:tr>
      <w:tr>
        <w:trPr/>
        <w:tc>
          <w:tcPr>
            <w:tcW w:w="6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186555" cy="175260"/>
                      <wp:effectExtent l="0" t="0" r="0" b="0"/>
                      <wp:wrapNone/>
                      <wp:docPr id="348" name="Frame347"/>
                      <a:graphic xmlns:a="http://schemas.openxmlformats.org/drawingml/2006/main">
                        <a:graphicData uri="http://schemas.microsoft.com/office/word/2010/wordprocessingShape">
                          <wps:wsp>
                            <wps:cNvSpPr txBox="1"/>
                            <wps:spPr>
                              <a:xfrm>
                                <a:off x="0" y="0"/>
                                <a:ext cx="418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49"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24460" cy="175260"/>
                      <wp:effectExtent l="0" t="0" r="0" b="0"/>
                      <wp:wrapNone/>
                      <wp:docPr id="350" name="Frame3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5160" cy="175260"/>
                      <wp:effectExtent l="0" t="0" r="0" b="0"/>
                      <wp:wrapNone/>
                      <wp:docPr id="351" name="Frame350"/>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2"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24460" cy="175260"/>
                      <wp:effectExtent l="0" t="0" r="0" b="0"/>
                      <wp:wrapNone/>
                      <wp:docPr id="353" name="Frame3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706120" cy="175260"/>
                      <wp:effectExtent l="0" t="0" r="0" b="0"/>
                      <wp:wrapNone/>
                      <wp:docPr id="354" name="Frame353"/>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  ​ ​ ​</w:t>
            </w:r>
          </w:p>
        </w:tc>
        <w:tc>
          <w:tcPr>
            <w:tcW w:w="13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5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3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center"/>
              <w:rPr/>
            </w:pPr>
            <w:r>
              <w:rPr/>
              <w:t>​</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396,210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624,163</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insurance - 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112,307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112,307</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3,669</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509,350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740,139</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insurance – long term</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37,435</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 held in Trust Account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285,868,994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283,377,276</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286,387,703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1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284,154,850</w:t>
            </w:r>
          </w:p>
        </w:tc>
      </w:tr>
      <w:tr>
        <w:trPr/>
        <w:tc>
          <w:tcPr>
            <w:tcW w:w="65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left"/>
              <w:rPr/>
            </w:pPr>
            <w:r>
              <w:rPr/>
              <w:t>​</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Class A Ordinary Shares Subject to Possible Redemption, and Shareholders’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75,000</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1,312,305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759,869</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1,387,305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834,869</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underwriting fee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13,140,000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13,140,000</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14,527,305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13,974,869</w:t>
            </w:r>
          </w:p>
        </w:tc>
      </w:tr>
      <w:tr>
        <w:trPr/>
        <w:tc>
          <w:tcPr>
            <w:tcW w:w="65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left"/>
              <w:rPr/>
            </w:pPr>
            <w:r>
              <w:rPr/>
              <w:t>​</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left"/>
              <w:rPr/>
            </w:pPr>
            <w:r>
              <w:rPr/>
              <w:t>​</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 ordinary shares subject to possible redemption, 27,600,000 shares at redemption value of approximately $10.36 and $10.27 per share as of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285,868,994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283,377,276</w:t>
            </w:r>
          </w:p>
        </w:tc>
      </w:tr>
      <w:tr>
        <w:trPr/>
        <w:tc>
          <w:tcPr>
            <w:tcW w:w="65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left"/>
              <w:rPr/>
            </w:pPr>
            <w:r>
              <w:rPr/>
              <w:t>​</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Shareholders’ Deficit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Preference shares, $0.0001 par value; 1,000,000 shares authorized; none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 ordinary shares, $0.0001 par value; 200,000,000 shares authorized; none issued and outstanding (excluding 27,600,000 shares subject to possible redemption as of March 31,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B ordinary shares, $0.0001 par value; 20,000,000 shares authorized; 6,900,000 shares issued and outstanding as of March 31,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(14,009,286)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(13,197,985)</w:t>
            </w:r>
          </w:p>
        </w:tc>
      </w:tr>
      <w:tr>
        <w:trPr/>
        <w:tc>
          <w:tcPr>
            <w:tcW w:w="6593"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Shareholders’ Deficit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(14,008,596)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(13,197,295)</w:t>
            </w:r>
          </w:p>
        </w:tc>
      </w:tr>
      <w:tr>
        <w:trPr/>
        <w:tc>
          <w:tcPr>
            <w:tcW w:w="659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Class A Ordinary Shares Subject to Possible Redemption, and Shareholders’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286,387,703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11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284,154,850</w:t>
            </w:r>
          </w:p>
        </w:tc>
      </w:tr>
    </w:tbl>
    <w:p>
      <w:pPr>
        <w:pStyle w:val="TextBody"/>
        <w:pBdr/>
        <w:bidi w:val="0"/>
        <w:spacing w:before="0" w:after="0"/>
        <w:ind w:left="200" w:right="200" w:hanging="302"/>
        <w:jc w:val="both"/>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240"/>
        <w:ind w:left="200" w:right="200" w:hanging="0"/>
        <w:jc w:val="center"/>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148" w:name="_e1f05fee_ee97_4913_860e_81d2c73f9591"/>
      <w:bookmarkEnd w:id="148"/>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bookmarkStart w:id="149" w:name="CONDENSEDSTATEMENTOFOPERATIONS_744640"/>
      <w:bookmarkEnd w:id="149"/>
      <w:r>
        <w:rPr>
          <w:rFonts w:ascii="Times New Roman;Times;serif" w:hAnsi="Times New Roman;Times;serif"/>
          <w:b/>
          <w:sz w:val="20"/>
        </w:rPr>
        <w:t>CONDENSED STATEMENTS OF OPERATIONS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both"/>
        <w:rPr/>
      </w:pPr>
      <w:r>
        <w:rPr/>
        <w:t>​</w:t>
      </w:r>
    </w:p>
    <w:p>
      <w:pPr>
        <w:pStyle w:val="Normal"/>
        <w:bidi w:val="0"/>
        <w:spacing w:before="200" w:after="200"/>
        <w:ind w:left="200" w:right="200" w:hanging="0"/>
        <w:jc w:val="left"/>
        <w:rPr>
          <w:sz w:val="4"/>
          <w:szCs w:val="4"/>
        </w:rPr>
      </w:pPr>
      <w:r>
        <w:rPr>
          <w:sz w:val="4"/>
          <w:szCs w:val="4"/>
        </w:rPr>
      </w:r>
      <w:bookmarkStart w:id="150" w:name="Tc_n25ooWmJG0Ga-gIF3Cwgng_18_5"/>
      <w:bookmarkStart w:id="151" w:name="Tc_YTEDdwr5a0Kjpeke3Mr9uA_18_2"/>
      <w:bookmarkStart w:id="152" w:name="Tc_cezVSGxsfU6a1rVngGGkxA_18_0"/>
      <w:bookmarkStart w:id="153" w:name="Tc_xbumMutOAUKSZIBA67yfOw_16_0"/>
      <w:bookmarkStart w:id="154" w:name="Tc_HnE0RFYydECIOHEwvNiS5Q_14_6"/>
      <w:bookmarkStart w:id="155" w:name="Tc_AH_LcgAhCUapKs4yjPODsA_14_5"/>
      <w:bookmarkStart w:id="156" w:name="Tc_FzPUSux8ZEuKfryRB01UAw_14_2"/>
      <w:bookmarkStart w:id="157" w:name="Tc_wgGznj8Ue0KMFiaRaQdXjQ_14_0"/>
      <w:bookmarkStart w:id="158" w:name="Tc_Uy958y-ZWEGYPL76hvFN6Q_12_6"/>
      <w:bookmarkStart w:id="159" w:name="Tc_xg0MDz-sEUujr9daXO64QA_12_0"/>
      <w:bookmarkStart w:id="160" w:name="Tc_AAY6Ze-NhE-hw-_JEULDDA_10_5"/>
      <w:bookmarkStart w:id="161" w:name="Tc_aTxmKBVDIUOZKebIhFsQmQ_10_2"/>
      <w:bookmarkStart w:id="162" w:name="Tc_JLI6iy4vOkqtI2OPGXrQuA_10_0"/>
      <w:bookmarkStart w:id="163" w:name="Tc_n4u0LqedgEmyEiyTv9ASkg_8_6"/>
      <w:bookmarkStart w:id="164" w:name="Tc_jn5ab1_WdUS7MnK2UEKweQ_8_0"/>
      <w:bookmarkStart w:id="165" w:name="Tc_MmVnHd4igk6LAS581u72Og_7_6"/>
      <w:bookmarkStart w:id="166" w:name="Tc_fD51eLKOOkqJoTYswsqOhg_7_0"/>
      <w:bookmarkStart w:id="167" w:name="Tc_DnnuwTmouU-63HqvuCY9gw_6_0"/>
      <w:bookmarkStart w:id="168" w:name="Tc_To93bF4z00-Ov0F2CWsOwA_4_0"/>
      <w:bookmarkStart w:id="169" w:name="Tc_2POFjViExU2FaGaBVDu6_Q_3_5"/>
      <w:bookmarkStart w:id="170" w:name="Tc_S4K2ArgBr0WdNVdDKLcWsw_3_2"/>
      <w:bookmarkStart w:id="171" w:name="Tc_ZggGrJJzVUu0g1n7U2WpPA_3_0"/>
      <w:bookmarkStart w:id="172" w:name="Tc_i49tVB42vEW4h4IIO05zMQ_2_5"/>
      <w:bookmarkStart w:id="173" w:name="Tc_KRxlCz_hnESZta6MzehIFQ_2_2"/>
      <w:bookmarkStart w:id="174" w:name="Tc_sSYpoekcSUW5pEVtLkRhCQ_1_2"/>
      <w:bookmarkStart w:id="175" w:name="_f14377a5_90dc_468c_8626_a52978909fcb"/>
      <w:bookmarkStart w:id="176" w:name="_f8dad63e_7400_49e4_a0f2_761596af8de6"/>
      <w:bookmarkStart w:id="177" w:name="Tc_n25ooWmJG0Ga-gIF3Cwgng_18_5"/>
      <w:bookmarkStart w:id="178" w:name="Tc_YTEDdwr5a0Kjpeke3Mr9uA_18_2"/>
      <w:bookmarkStart w:id="179" w:name="Tc_cezVSGxsfU6a1rVngGGkxA_18_0"/>
      <w:bookmarkStart w:id="180" w:name="Tc_xbumMutOAUKSZIBA67yfOw_16_0"/>
      <w:bookmarkStart w:id="181" w:name="Tc_HnE0RFYydECIOHEwvNiS5Q_14_6"/>
      <w:bookmarkStart w:id="182" w:name="Tc_AH_LcgAhCUapKs4yjPODsA_14_5"/>
      <w:bookmarkStart w:id="183" w:name="Tc_FzPUSux8ZEuKfryRB01UAw_14_2"/>
      <w:bookmarkStart w:id="184" w:name="Tc_wgGznj8Ue0KMFiaRaQdXjQ_14_0"/>
      <w:bookmarkStart w:id="185" w:name="Tc_Uy958y-ZWEGYPL76hvFN6Q_12_6"/>
      <w:bookmarkStart w:id="186" w:name="Tc_xg0MDz-sEUujr9daXO64QA_12_0"/>
      <w:bookmarkStart w:id="187" w:name="Tc_AAY6Ze-NhE-hw-_JEULDDA_10_5"/>
      <w:bookmarkStart w:id="188" w:name="Tc_aTxmKBVDIUOZKebIhFsQmQ_10_2"/>
      <w:bookmarkStart w:id="189" w:name="Tc_JLI6iy4vOkqtI2OPGXrQuA_10_0"/>
      <w:bookmarkStart w:id="190" w:name="Tc_n4u0LqedgEmyEiyTv9ASkg_8_6"/>
      <w:bookmarkStart w:id="191" w:name="Tc_jn5ab1_WdUS7MnK2UEKweQ_8_0"/>
      <w:bookmarkStart w:id="192" w:name="Tc_MmVnHd4igk6LAS581u72Og_7_6"/>
      <w:bookmarkStart w:id="193" w:name="Tc_fD51eLKOOkqJoTYswsqOhg_7_0"/>
      <w:bookmarkStart w:id="194" w:name="Tc_DnnuwTmouU-63HqvuCY9gw_6_0"/>
      <w:bookmarkStart w:id="195" w:name="Tc_To93bF4z00-Ov0F2CWsOwA_4_0"/>
      <w:bookmarkStart w:id="196" w:name="Tc_2POFjViExU2FaGaBVDu6_Q_3_5"/>
      <w:bookmarkStart w:id="197" w:name="Tc_S4K2ArgBr0WdNVdDKLcWsw_3_2"/>
      <w:bookmarkStart w:id="198" w:name="Tc_ZggGrJJzVUu0g1n7U2WpPA_3_0"/>
      <w:bookmarkStart w:id="199" w:name="Tc_i49tVB42vEW4h4IIO05zMQ_2_5"/>
      <w:bookmarkStart w:id="200" w:name="Tc_KRxlCz_hnESZta6MzehIFQ_2_2"/>
      <w:bookmarkStart w:id="201" w:name="Tc_sSYpoekcSUW5pEVtLkRhCQ_1_2"/>
      <w:bookmarkStart w:id="202" w:name="_f14377a5_90dc_468c_8626_a52978909fcb"/>
      <w:bookmarkStart w:id="203" w:name="_f8dad63e_7400_49e4_a0f2_761596af8de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tbl>
      <w:tblPr>
        <w:tblW w:w="9805" w:type="dxa"/>
        <w:jc w:val="left"/>
        <w:tblInd w:w="200" w:type="dxa"/>
        <w:tblLayout w:type="fixed"/>
        <w:tblCellMar>
          <w:top w:w="0" w:type="dxa"/>
          <w:left w:w="0" w:type="dxa"/>
          <w:bottom w:w="0" w:type="dxa"/>
          <w:right w:w="0" w:type="dxa"/>
        </w:tblCellMar>
      </w:tblPr>
      <w:tblGrid>
        <w:gridCol w:w="6447"/>
        <w:gridCol w:w="346"/>
        <w:gridCol w:w="228"/>
        <w:gridCol w:w="1122"/>
        <w:gridCol w:w="374"/>
        <w:gridCol w:w="228"/>
        <w:gridCol w:w="1060"/>
      </w:tblGrid>
      <w:tr>
        <w:trPr/>
        <w:tc>
          <w:tcPr>
            <w:tcW w:w="64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ind w:left="0" w:right="0" w:hanging="0"/>
              <w:jc w:val="left"/>
              <w:rPr>
                <w:sz w:val="4"/>
                <w:szCs w:val="4"/>
              </w:rPr>
            </w:pPr>
            <w:r>
              <w:rPr>
                <w:sz w:val="4"/>
                <w:szCs w:val="4"/>
              </w:rPr>
            </w:r>
          </w:p>
        </w:tc>
      </w:tr>
      <w:tr>
        <w:trPr/>
        <w:tc>
          <w:tcPr>
            <w:tcW w:w="6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4093845" cy="175260"/>
                      <wp:effectExtent l="0" t="0" r="0" b="0"/>
                      <wp:wrapNone/>
                      <wp:docPr id="355" name="Frame354"/>
                      <a:graphic xmlns:a="http://schemas.openxmlformats.org/drawingml/2006/main">
                        <a:graphicData uri="http://schemas.microsoft.com/office/word/2010/wordprocessingShape">
                          <wps:wsp>
                            <wps:cNvSpPr txBox="1"/>
                            <wps:spPr>
                              <a:xfrm>
                                <a:off x="0" y="0"/>
                                <a:ext cx="4093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6"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44780" cy="175260"/>
                      <wp:effectExtent l="0" t="0" r="0" b="0"/>
                      <wp:wrapNone/>
                      <wp:docPr id="357" name="Frame35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712470" cy="175260"/>
                      <wp:effectExtent l="0" t="0" r="0" b="0"/>
                      <wp:wrapNone/>
                      <wp:docPr id="358" name="Frame357"/>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37490" cy="175260"/>
                      <wp:effectExtent l="0" t="0" r="0" b="0"/>
                      <wp:wrapNone/>
                      <wp:docPr id="359" name="Frame358"/>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44780" cy="175260"/>
                      <wp:effectExtent l="0" t="0" r="0" b="0"/>
                      <wp:wrapNone/>
                      <wp:docPr id="360" name="Frame35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73100" cy="175260"/>
                      <wp:effectExtent l="0" t="0" r="0" b="0"/>
                      <wp:wrapNone/>
                      <wp:docPr id="361" name="Frame360"/>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1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64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4" w:type="dxa"/>
            <w:tcBorders/>
            <w:vAlign w:val="center"/>
          </w:tcPr>
          <w:p>
            <w:pPr>
              <w:pStyle w:val="TableContents"/>
              <w:bidi w:val="0"/>
              <w:spacing w:before="0" w:after="1"/>
              <w:ind w:left="0" w:right="0" w:hanging="0"/>
              <w:jc w:val="left"/>
              <w:rPr/>
            </w:pPr>
            <w:r>
              <w:rPr/>
              <w:t>  ​ ​ ​</w:t>
            </w:r>
          </w:p>
        </w:tc>
        <w:tc>
          <w:tcPr>
            <w:tcW w:w="12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costs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811,301</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644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(811,301)</w:t>
            </w:r>
          </w:p>
        </w:tc>
        <w:tc>
          <w:tcPr>
            <w:tcW w:w="374"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(20,449)</w:t>
            </w:r>
          </w:p>
        </w:tc>
      </w:tr>
      <w:tr>
        <w:trPr/>
        <w:tc>
          <w:tcPr>
            <w:tcW w:w="6447"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pPr>
            <w:r>
              <w:rPr/>
              <w:t>​</w:t>
            </w:r>
          </w:p>
        </w:tc>
      </w:tr>
      <w:tr>
        <w:trPr/>
        <w:tc>
          <w:tcPr>
            <w:tcW w:w="644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1122" w:type="dxa"/>
            <w:tcBorders/>
            <w:vAlign w:val="center"/>
          </w:tcPr>
          <w:p>
            <w:pPr>
              <w:pStyle w:val="TableContents"/>
              <w:bidi w:val="0"/>
              <w:spacing w:before="0" w:after="1"/>
              <w:ind w:left="0" w:right="0" w:hanging="0"/>
              <w:jc w:val="right"/>
              <w:rPr/>
            </w:pPr>
            <w:r>
              <w:rPr/>
              <w:t>​</w:t>
            </w:r>
          </w:p>
        </w:tc>
        <w:tc>
          <w:tcPr>
            <w:tcW w:w="374"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pPr>
            <w:r>
              <w:rPr/>
              <w:t>​</w:t>
            </w:r>
          </w:p>
        </w:tc>
      </w:tr>
      <w:tr>
        <w:trPr/>
        <w:tc>
          <w:tcPr>
            <w:tcW w:w="644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earned on investments held in Trust Account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44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c>
          <w:tcPr>
            <w:tcW w:w="374"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447"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pPr>
            <w:r>
              <w:rPr/>
              <w:t>​</w:t>
            </w:r>
          </w:p>
        </w:tc>
      </w:tr>
      <w:tr>
        <w:trPr/>
        <w:tc>
          <w:tcPr>
            <w:tcW w:w="644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1,680,417</w:t>
            </w:r>
          </w:p>
        </w:tc>
        <w:tc>
          <w:tcPr>
            <w:tcW w:w="374"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(20,449)</w:t>
            </w:r>
          </w:p>
        </w:tc>
      </w:tr>
      <w:tr>
        <w:trPr/>
        <w:tc>
          <w:tcPr>
            <w:tcW w:w="6447"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pPr>
            <w:r>
              <w:rPr/>
              <w:t>​</w:t>
            </w:r>
          </w:p>
        </w:tc>
      </w:tr>
      <w:tr>
        <w:trPr/>
        <w:tc>
          <w:tcPr>
            <w:tcW w:w="644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 Class A ordinary shares subject to redemption</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27,600,000</w:t>
            </w:r>
          </w:p>
        </w:tc>
        <w:tc>
          <w:tcPr>
            <w:tcW w:w="374"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6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6447"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pPr>
            <w:r>
              <w:rPr/>
              <w:t>​</w:t>
            </w:r>
          </w:p>
        </w:tc>
      </w:tr>
      <w:tr>
        <w:trPr/>
        <w:tc>
          <w:tcPr>
            <w:tcW w:w="644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 net income (loss) per share, Class A ordinary shares subject to redemption</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0.05</w:t>
            </w:r>
          </w:p>
        </w:tc>
        <w:tc>
          <w:tcPr>
            <w:tcW w:w="374"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644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pPr>
            <w:r>
              <w:rPr/>
              <w:t>​</w:t>
            </w:r>
          </w:p>
        </w:tc>
      </w:tr>
      <w:tr>
        <w:trPr/>
        <w:tc>
          <w:tcPr>
            <w:tcW w:w="644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 Class B ordinary shares</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6,900,000</w:t>
            </w:r>
          </w:p>
        </w:tc>
        <w:tc>
          <w:tcPr>
            <w:tcW w:w="374"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6,900,000</w:t>
            </w:r>
          </w:p>
        </w:tc>
      </w:tr>
      <w:tr>
        <w:trPr/>
        <w:tc>
          <w:tcPr>
            <w:tcW w:w="6447" w:type="dxa"/>
            <w:tcBorders/>
            <w:shd w:fill="CCEEFF" w:val="clear"/>
            <w:vAlign w:val="center"/>
          </w:tcPr>
          <w:p>
            <w:pPr>
              <w:pStyle w:val="TableContents"/>
              <w:pBdr/>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122"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pPr>
            <w:r>
              <w:rPr/>
              <w:t>​</w:t>
            </w:r>
          </w:p>
        </w:tc>
      </w:tr>
      <w:tr>
        <w:trPr/>
        <w:tc>
          <w:tcPr>
            <w:tcW w:w="6447"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 net income (loss) per share, Class B ordinary shares</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0.05</w:t>
            </w:r>
          </w:p>
        </w:tc>
        <w:tc>
          <w:tcPr>
            <w:tcW w:w="374"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(0.00)</w:t>
            </w:r>
          </w:p>
        </w:tc>
      </w:tr>
    </w:tbl>
    <w:p>
      <w:pPr>
        <w:pStyle w:val="TextBody"/>
        <w:bidi w:val="0"/>
        <w:spacing w:before="0" w:after="240"/>
        <w:ind w:left="200" w:right="200" w:hanging="0"/>
        <w:jc w:val="both"/>
        <w:rPr/>
      </w:pPr>
      <w:r>
        <w:rPr/>
        <w:t>​</w:t>
      </w:r>
    </w:p>
    <w:p>
      <w:pPr>
        <w:pStyle w:val="TextBody"/>
        <w:bidi w:val="0"/>
        <w:spacing w:before="0" w:after="24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204" w:name="_a3cd9923_f008_4620_b5eb_d047c64fe0f1"/>
      <w:bookmarkEnd w:id="204"/>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bookmarkStart w:id="205" w:name="CONDENSEDSTATEMENTOFCHANGESINSHAREHOLDER"/>
      <w:bookmarkEnd w:id="205"/>
      <w:r>
        <w:rPr>
          <w:rFonts w:ascii="Times New Roman;Times;serif" w:hAnsi="Times New Roman;Times;serif"/>
          <w:b/>
          <w:sz w:val="20"/>
        </w:rPr>
        <w:t>CONDENSED STATEMENTS OF CHANGES IN SHAREHOLDERS’ DEFICIT</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 xml:space="preserve">FOR THE THREE MONTHS ENDED MARCH 31, 2026 </w:t>
      </w:r>
    </w:p>
    <w:p>
      <w:pPr>
        <w:pStyle w:val="TextBody"/>
        <w:bidi w:val="0"/>
        <w:spacing w:before="0" w:after="240"/>
        <w:ind w:left="200" w:right="200" w:hanging="0"/>
        <w:jc w:val="both"/>
        <w:rPr/>
      </w:pPr>
      <w:r>
        <w:rPr/>
        <w:t>​</w:t>
      </w:r>
    </w:p>
    <w:p>
      <w:pPr>
        <w:pStyle w:val="Normal"/>
        <w:bidi w:val="0"/>
        <w:spacing w:before="200" w:after="200"/>
        <w:ind w:left="200" w:right="200" w:hanging="0"/>
        <w:jc w:val="left"/>
        <w:rPr>
          <w:sz w:val="4"/>
          <w:szCs w:val="4"/>
        </w:rPr>
      </w:pPr>
      <w:r>
        <w:rPr>
          <w:sz w:val="4"/>
          <w:szCs w:val="4"/>
        </w:rPr>
      </w:r>
      <w:bookmarkStart w:id="206" w:name="Tc_MYcOt9HHRUSMin14odqiWw_10_13"/>
      <w:bookmarkStart w:id="207" w:name="Tc_n7mrQhTFV0KVGMY5NpE_yA_10_10"/>
      <w:bookmarkStart w:id="208" w:name="Tc_RteD4oTqPkW8EItu0RtMZg_10_8"/>
      <w:bookmarkStart w:id="209" w:name="Tc_XuzB9ckYOUa23r4XAy2vqA_10_7"/>
      <w:bookmarkStart w:id="210" w:name="Tc_R4cigdrfkkaA3TtO4uAfyA_10_4"/>
      <w:bookmarkStart w:id="211" w:name="Tc_kD2IT8FkZE6Z9d0MVIaF4A_10_0"/>
      <w:bookmarkStart w:id="212" w:name="Tc_M3UnrMyH8UacKc2JOqKiJg_8_8"/>
      <w:bookmarkStart w:id="213" w:name="Tc_18OyAPakl067f51Z9NFl4g_8_5"/>
      <w:bookmarkStart w:id="214" w:name="Tc_fffgu0w9JU-f_viz5dVYQw_8_2"/>
      <w:bookmarkStart w:id="215" w:name="Tc_qocdnGfTlkaLQtaihHHPeg_8_0"/>
      <w:bookmarkStart w:id="216" w:name="Tc_2KX59Q_JFUa1Xv8VflWQbw_6_8"/>
      <w:bookmarkStart w:id="217" w:name="Tc_ZeEmla0-IU-sNXv7YziDFQ_6_5"/>
      <w:bookmarkStart w:id="218" w:name="Tc_ufXjwAKAV0GAddg1PeXNtA_6_2"/>
      <w:bookmarkStart w:id="219" w:name="Tc_og3uJANG_0Wxv0kfpDmdrg_6_0"/>
      <w:bookmarkStart w:id="220" w:name="Tc_MIMY-EFIMkGH6GHT8NZWaA_4_13"/>
      <w:bookmarkStart w:id="221" w:name="Tc_oG_BJgoZEk-giEk3c8Z_bg_4_10"/>
      <w:bookmarkStart w:id="222" w:name="Tc_ZaTOm3zN-0S7Wb-DZCjBoQ_4_8"/>
      <w:bookmarkStart w:id="223" w:name="Tc_OS6VphM0AUa92kiq28WQAg_4_7"/>
      <w:bookmarkStart w:id="224" w:name="Tc_BUT7XqJgPEyljUwx6x1T6g_4_4"/>
      <w:bookmarkStart w:id="225" w:name="Tc_OpVDMLYnfEen-W_CDu7yqg_4_0"/>
      <w:bookmarkStart w:id="226" w:name="Tc_mF_9AIS0qUKSnLvE7Y-E4g_3_13"/>
      <w:bookmarkStart w:id="227" w:name="Tc_rlWe1tgh-kurO9_o1rzTCw_3_10"/>
      <w:bookmarkStart w:id="228" w:name="Tc_jn66XX1LTUSCmdDJo8fdIQ_3_7"/>
      <w:bookmarkStart w:id="229" w:name="Tc_CiVhjuX89EGfJvfqeiAUvQ_3_4"/>
      <w:bookmarkStart w:id="230" w:name="Tc_aoWuQn8YCUaxSrC0aLwKDA_3_2"/>
      <w:bookmarkStart w:id="231" w:name="Tc__nuxAnkOV0-7I_UdME_EFw_2_13"/>
      <w:bookmarkStart w:id="232" w:name="Tc_4maY8NM5o06A2a3DkAJE2g_2_10"/>
      <w:bookmarkStart w:id="233" w:name="Tc_YMPoAXgiBkm3yjcp48gPaA_2_7"/>
      <w:bookmarkStart w:id="234" w:name="Tc_dy9R5KYEcUWxpsCldnVVNw_2_2"/>
      <w:bookmarkStart w:id="235" w:name="Tc_5r4mNLdC3UGMi4twC-1cxg_1_13"/>
      <w:bookmarkStart w:id="236" w:name="Tc_JiZIN3Q7T06N8tEFIAyswQ_1_7"/>
      <w:bookmarkStart w:id="237" w:name="Tc_BbjW3T8olkOc3canKCdf0Q_1_2"/>
      <w:bookmarkStart w:id="238" w:name="_411d34ef_481d_4952_9205_84a606027687"/>
      <w:bookmarkStart w:id="239" w:name="Tc_MYcOt9HHRUSMin14odqiWw_10_13"/>
      <w:bookmarkStart w:id="240" w:name="Tc_n7mrQhTFV0KVGMY5NpE_yA_10_10"/>
      <w:bookmarkStart w:id="241" w:name="Tc_RteD4oTqPkW8EItu0RtMZg_10_8"/>
      <w:bookmarkStart w:id="242" w:name="Tc_XuzB9ckYOUa23r4XAy2vqA_10_7"/>
      <w:bookmarkStart w:id="243" w:name="Tc_R4cigdrfkkaA3TtO4uAfyA_10_4"/>
      <w:bookmarkStart w:id="244" w:name="Tc_kD2IT8FkZE6Z9d0MVIaF4A_10_0"/>
      <w:bookmarkStart w:id="245" w:name="Tc_M3UnrMyH8UacKc2JOqKiJg_8_8"/>
      <w:bookmarkStart w:id="246" w:name="Tc_18OyAPakl067f51Z9NFl4g_8_5"/>
      <w:bookmarkStart w:id="247" w:name="Tc_fffgu0w9JU-f_viz5dVYQw_8_2"/>
      <w:bookmarkStart w:id="248" w:name="Tc_qocdnGfTlkaLQtaihHHPeg_8_0"/>
      <w:bookmarkStart w:id="249" w:name="Tc_2KX59Q_JFUa1Xv8VflWQbw_6_8"/>
      <w:bookmarkStart w:id="250" w:name="Tc_ZeEmla0-IU-sNXv7YziDFQ_6_5"/>
      <w:bookmarkStart w:id="251" w:name="Tc_ufXjwAKAV0GAddg1PeXNtA_6_2"/>
      <w:bookmarkStart w:id="252" w:name="Tc_og3uJANG_0Wxv0kfpDmdrg_6_0"/>
      <w:bookmarkStart w:id="253" w:name="Tc_MIMY-EFIMkGH6GHT8NZWaA_4_13"/>
      <w:bookmarkStart w:id="254" w:name="Tc_oG_BJgoZEk-giEk3c8Z_bg_4_10"/>
      <w:bookmarkStart w:id="255" w:name="Tc_ZaTOm3zN-0S7Wb-DZCjBoQ_4_8"/>
      <w:bookmarkStart w:id="256" w:name="Tc_OS6VphM0AUa92kiq28WQAg_4_7"/>
      <w:bookmarkStart w:id="257" w:name="Tc_BUT7XqJgPEyljUwx6x1T6g_4_4"/>
      <w:bookmarkStart w:id="258" w:name="Tc_OpVDMLYnfEen-W_CDu7yqg_4_0"/>
      <w:bookmarkStart w:id="259" w:name="Tc_mF_9AIS0qUKSnLvE7Y-E4g_3_13"/>
      <w:bookmarkStart w:id="260" w:name="Tc_rlWe1tgh-kurO9_o1rzTCw_3_10"/>
      <w:bookmarkStart w:id="261" w:name="Tc_jn66XX1LTUSCmdDJo8fdIQ_3_7"/>
      <w:bookmarkStart w:id="262" w:name="Tc_CiVhjuX89EGfJvfqeiAUvQ_3_4"/>
      <w:bookmarkStart w:id="263" w:name="Tc_aoWuQn8YCUaxSrC0aLwKDA_3_2"/>
      <w:bookmarkStart w:id="264" w:name="Tc__nuxAnkOV0-7I_UdME_EFw_2_13"/>
      <w:bookmarkStart w:id="265" w:name="Tc_4maY8NM5o06A2a3DkAJE2g_2_10"/>
      <w:bookmarkStart w:id="266" w:name="Tc_YMPoAXgiBkm3yjcp48gPaA_2_7"/>
      <w:bookmarkStart w:id="267" w:name="Tc_dy9R5KYEcUWxpsCldnVVNw_2_2"/>
      <w:bookmarkStart w:id="268" w:name="Tc_5r4mNLdC3UGMi4twC-1cxg_1_13"/>
      <w:bookmarkStart w:id="269" w:name="Tc_JiZIN3Q7T06N8tEFIAyswQ_1_7"/>
      <w:bookmarkStart w:id="270" w:name="Tc_BbjW3T8olkOc3canKCdf0Q_1_2"/>
      <w:bookmarkStart w:id="271" w:name="_411d34ef_481d_4952_9205_84a606027687"/>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tbl>
      <w:tblPr>
        <w:tblW w:w="9805" w:type="dxa"/>
        <w:jc w:val="left"/>
        <w:tblInd w:w="200" w:type="dxa"/>
        <w:tblLayout w:type="fixed"/>
        <w:tblCellMar>
          <w:top w:w="0" w:type="dxa"/>
          <w:left w:w="0" w:type="dxa"/>
          <w:bottom w:w="0" w:type="dxa"/>
          <w:right w:w="0" w:type="dxa"/>
        </w:tblCellMar>
      </w:tblPr>
      <w:tblGrid>
        <w:gridCol w:w="2835"/>
        <w:gridCol w:w="346"/>
        <w:gridCol w:w="931"/>
        <w:gridCol w:w="346"/>
        <w:gridCol w:w="230"/>
        <w:gridCol w:w="461"/>
        <w:gridCol w:w="346"/>
        <w:gridCol w:w="346"/>
        <w:gridCol w:w="570"/>
        <w:gridCol w:w="346"/>
        <w:gridCol w:w="211"/>
        <w:gridCol w:w="1117"/>
        <w:gridCol w:w="346"/>
        <w:gridCol w:w="211"/>
        <w:gridCol w:w="1163"/>
      </w:tblGrid>
      <w:tr>
        <w:trPr/>
        <w:tc>
          <w:tcPr>
            <w:tcW w:w="283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ind w:left="0" w:right="0" w:hanging="0"/>
              <w:jc w:val="left"/>
              <w:rPr>
                <w:sz w:val="4"/>
                <w:szCs w:val="4"/>
              </w:rPr>
            </w:pPr>
            <w:r>
              <w:rPr>
                <w:sz w:val="4"/>
                <w:szCs w:val="4"/>
              </w:rPr>
            </w:r>
          </w:p>
        </w:tc>
      </w:tr>
      <w:tr>
        <w:trPr/>
        <w:tc>
          <w:tcPr>
            <w:tcW w:w="2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800225" cy="175260"/>
                      <wp:effectExtent l="0" t="0" r="0" b="0"/>
                      <wp:wrapNone/>
                      <wp:docPr id="362" name="Frame361"/>
                      <a:graphic xmlns:a="http://schemas.openxmlformats.org/drawingml/2006/main">
                        <a:graphicData uri="http://schemas.microsoft.com/office/word/2010/wordprocessingShape">
                          <wps:wsp>
                            <wps:cNvSpPr txBox="1"/>
                            <wps:spPr>
                              <a:xfrm>
                                <a:off x="0" y="0"/>
                                <a:ext cx="180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3"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91185" cy="175260"/>
                      <wp:effectExtent l="0" t="0" r="0" b="0"/>
                      <wp:wrapNone/>
                      <wp:docPr id="364" name="Frame3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5"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46050" cy="175260"/>
                      <wp:effectExtent l="0" t="0" r="0" b="0"/>
                      <wp:wrapNone/>
                      <wp:docPr id="366" name="Frame36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92735" cy="175260"/>
                      <wp:effectExtent l="0" t="0" r="0" b="0"/>
                      <wp:wrapNone/>
                      <wp:docPr id="367" name="Frame366"/>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8"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69"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61950" cy="175260"/>
                      <wp:effectExtent l="0" t="0" r="0" b="0"/>
                      <wp:wrapNone/>
                      <wp:docPr id="370" name="Frame369"/>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1"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2"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709295" cy="175260"/>
                      <wp:effectExtent l="0" t="0" r="0" b="0"/>
                      <wp:wrapNone/>
                      <wp:docPr id="373" name="Frame372"/>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4"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5"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38505" cy="175260"/>
                      <wp:effectExtent l="0" t="0" r="0" b="0"/>
                      <wp:wrapNone/>
                      <wp:docPr id="376" name="Frame375"/>
                      <a:graphic xmlns:a="http://schemas.openxmlformats.org/drawingml/2006/main">
                        <a:graphicData uri="http://schemas.microsoft.com/office/word/2010/wordprocessingShape">
                          <wps:wsp>
                            <wps:cNvSpPr txBox="1"/>
                            <wps:spPr>
                              <a:xfrm>
                                <a:off x="0" y="0"/>
                                <a:ext cx="738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8"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Class B</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1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74"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r>
      <w:tr>
        <w:trPr/>
        <w:tc>
          <w:tcPr>
            <w:tcW w:w="28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32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37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8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3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3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283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 December 31, 2025</w:t>
            </w:r>
          </w:p>
        </w:tc>
        <w:tc>
          <w:tcPr>
            <w:tcW w:w="346" w:type="dxa"/>
            <w:tcBorders/>
            <w:shd w:fill="CCEEFF" w:val="clear"/>
            <w:vAlign w:val="center"/>
          </w:tcPr>
          <w:p>
            <w:pPr>
              <w:pStyle w:val="TableContents"/>
              <w:bidi w:val="0"/>
              <w:spacing w:before="0" w:after="1"/>
              <w:ind w:left="0" w:right="0" w:hanging="0"/>
              <w:jc w:val="left"/>
              <w:rPr/>
            </w:pPr>
            <w:r>
              <w:rPr/>
              <w:t>  ​ ​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6,900,000</w:t>
            </w:r>
          </w:p>
        </w:tc>
        <w:tc>
          <w:tcPr>
            <w:tcW w:w="346" w:type="dxa"/>
            <w:tcBorders/>
            <w:shd w:fill="CCEEFF" w:val="clear"/>
            <w:vAlign w:val="center"/>
          </w:tcPr>
          <w:p>
            <w:pPr>
              <w:pStyle w:val="TableContents"/>
              <w:bidi w:val="0"/>
              <w:spacing w:before="0" w:after="1"/>
              <w:ind w:left="0" w:right="0" w:hanging="0"/>
              <w:jc w:val="left"/>
              <w:rPr/>
            </w:pPr>
            <w:r>
              <w:rPr/>
              <w:t>  ​ ​ ​</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w:t>
            </w:r>
          </w:p>
        </w:tc>
        <w:tc>
          <w:tcPr>
            <w:tcW w:w="346" w:type="dxa"/>
            <w:tcBorders/>
            <w:shd w:fill="CCEEFF" w:val="clear"/>
            <w:vAlign w:val="center"/>
          </w:tcPr>
          <w:p>
            <w:pPr>
              <w:pStyle w:val="TableContents"/>
              <w:bidi w:val="0"/>
              <w:spacing w:before="0" w:after="1"/>
              <w:ind w:left="0" w:right="0" w:hanging="0"/>
              <w:jc w:val="left"/>
              <w:rPr/>
            </w:pPr>
            <w:r>
              <w:rPr/>
              <w:t>  ​ ​ ​</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(13,197,985)</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6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(13,197,295)</w:t>
            </w:r>
          </w:p>
        </w:tc>
      </w:tr>
      <w:tr>
        <w:trPr/>
        <w:tc>
          <w:tcPr>
            <w:tcW w:w="28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63" w:type="dxa"/>
            <w:tcBorders/>
            <w:vAlign w:val="center"/>
          </w:tcPr>
          <w:p>
            <w:pPr>
              <w:pStyle w:val="TableContents"/>
              <w:bidi w:val="0"/>
              <w:spacing w:before="0" w:after="1"/>
              <w:ind w:left="0" w:right="0" w:hanging="0"/>
              <w:jc w:val="left"/>
              <w:rPr/>
            </w:pPr>
            <w:r>
              <w:rPr/>
              <w:t>​</w:t>
            </w:r>
          </w:p>
        </w:tc>
      </w:tr>
      <w:tr>
        <w:trPr/>
        <w:tc>
          <w:tcPr>
            <w:tcW w:w="283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 of Class A ordinary shares to redemption amount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r>
      <w:tr>
        <w:trPr/>
        <w:tc>
          <w:tcPr>
            <w:tcW w:w="28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63" w:type="dxa"/>
            <w:tcBorders/>
            <w:vAlign w:val="center"/>
          </w:tcPr>
          <w:p>
            <w:pPr>
              <w:pStyle w:val="TableContents"/>
              <w:bidi w:val="0"/>
              <w:spacing w:before="0" w:after="1"/>
              <w:ind w:left="0" w:right="0" w:hanging="0"/>
              <w:jc w:val="left"/>
              <w:rPr/>
            </w:pPr>
            <w:r>
              <w:rPr/>
              <w:t>​</w:t>
            </w:r>
          </w:p>
        </w:tc>
      </w:tr>
      <w:tr>
        <w:trPr/>
        <w:tc>
          <w:tcPr>
            <w:tcW w:w="283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1,680,417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1,680,417</w:t>
            </w:r>
          </w:p>
        </w:tc>
      </w:tr>
      <w:tr>
        <w:trPr/>
        <w:tc>
          <w:tcPr>
            <w:tcW w:w="28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63" w:type="dxa"/>
            <w:tcBorders/>
            <w:vAlign w:val="center"/>
          </w:tcPr>
          <w:p>
            <w:pPr>
              <w:pStyle w:val="TableContents"/>
              <w:bidi w:val="0"/>
              <w:spacing w:before="0" w:after="1"/>
              <w:ind w:left="0" w:right="0" w:hanging="0"/>
              <w:jc w:val="left"/>
              <w:rPr/>
            </w:pPr>
            <w:r>
              <w:rPr/>
              <w:t>​</w:t>
            </w:r>
          </w:p>
        </w:tc>
      </w:tr>
      <w:tr>
        <w:trPr/>
        <w:tc>
          <w:tcPr>
            <w:tcW w:w="283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6,900,000</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(14,009,286)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(14,008,596)</w:t>
            </w:r>
          </w:p>
        </w:tc>
      </w:tr>
    </w:tbl>
    <w:p>
      <w:pPr>
        <w:pStyle w:val="TextBody"/>
        <w:bidi w:val="0"/>
        <w:spacing w:before="0" w:after="240"/>
        <w:ind w:left="200" w:right="200" w:hanging="0"/>
        <w:jc w:val="center"/>
        <w:rPr/>
      </w:pPr>
      <w:r>
        <w:rPr/>
        <w:t>​</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 xml:space="preserve">FOR THE THREE MONTHS ENDED MARCH 31, 2025 </w:t>
      </w:r>
    </w:p>
    <w:p>
      <w:pPr>
        <w:pStyle w:val="TextBody"/>
        <w:bidi w:val="0"/>
        <w:spacing w:before="0" w:after="240"/>
        <w:ind w:left="200" w:right="200" w:hanging="0"/>
        <w:jc w:val="center"/>
        <w:rPr/>
      </w:pPr>
      <w:r>
        <w:rPr/>
        <w:t>​</w:t>
      </w:r>
    </w:p>
    <w:p>
      <w:pPr>
        <w:pStyle w:val="Normal"/>
        <w:bidi w:val="0"/>
        <w:spacing w:before="200" w:after="200"/>
        <w:ind w:left="200" w:right="200" w:hanging="0"/>
        <w:jc w:val="left"/>
        <w:rPr>
          <w:sz w:val="4"/>
          <w:szCs w:val="4"/>
        </w:rPr>
      </w:pPr>
      <w:r>
        <w:rPr>
          <w:sz w:val="4"/>
          <w:szCs w:val="4"/>
        </w:rPr>
      </w:r>
      <w:bookmarkStart w:id="272" w:name="Tc_X9WcH5nomEahQxaUbA9Cfw_8_13"/>
      <w:bookmarkStart w:id="273" w:name="Tc_WU71d_ZvVEqIP-xEl7YbtA_8_10"/>
      <w:bookmarkStart w:id="274" w:name="Tc_Th1gPc4N1k2HArYrY34Gqw_8_7"/>
      <w:bookmarkStart w:id="275" w:name="Tc_eat-NFUJV0eQ2glFgNorkQ_8_4"/>
      <w:bookmarkStart w:id="276" w:name="Tc_wASTgrDZIUa_0F0EacYDfA_8_0"/>
      <w:bookmarkStart w:id="277" w:name="Tc_H-DixGz6W0iYMLWKCULkMQ_6_8"/>
      <w:bookmarkStart w:id="278" w:name="Tc_Y8x-vuHQZ0SAudzEEddL4w_6_5"/>
      <w:bookmarkStart w:id="279" w:name="Tc_iNQQ-k6UtUqwJ8T59HG92w_6_2"/>
      <w:bookmarkStart w:id="280" w:name="Tc_Pw0E6kG4BEGZVxhZfVuaTw_6_0"/>
      <w:bookmarkStart w:id="281" w:name="Tc_rubEnvH18EmlBbjoHdX4LQ_4_13"/>
      <w:bookmarkStart w:id="282" w:name="Tc_SvGpbxJa0ECQc4WJMN-2mQ_4_10"/>
      <w:bookmarkStart w:id="283" w:name="Tc_7XGG-6VY6UOkHEsGrL9syg_4_7"/>
      <w:bookmarkStart w:id="284" w:name="Tc_4inrDpg73EG7SqtKmrjkNA_4_4"/>
      <w:bookmarkStart w:id="285" w:name="Tc_KRZ3bgmhe0Oyb01XWsv8LA_4_0"/>
      <w:bookmarkStart w:id="286" w:name="Tc_m6W2LhP2X0eMmM0N90aEYg_3_13"/>
      <w:bookmarkStart w:id="287" w:name="Tc_3wpcCJu-pkmrGRdWf2b-Zg_3_10"/>
      <w:bookmarkStart w:id="288" w:name="Tc_XuNZGRLGKU2UbQXJ57X3Tg_3_7"/>
      <w:bookmarkStart w:id="289" w:name="Tc_OgOZSth4wU2QiZkry-tImg_3_4"/>
      <w:bookmarkStart w:id="290" w:name="Tc_OeEItKcX30iDYBCGpefZ2A_3_2"/>
      <w:bookmarkStart w:id="291" w:name="Tc_XwGprlJm5U-WA85QAbeiRA_2_13"/>
      <w:bookmarkStart w:id="292" w:name="Tc_6qsS8fe7YUCC_ScuuOPnUA_2_10"/>
      <w:bookmarkStart w:id="293" w:name="Tc_X3DkYq0OTkSsfnEJQScYuQ_2_7"/>
      <w:bookmarkStart w:id="294" w:name="Tc_50Eur9ld70-fJU41voYrvQ_2_2"/>
      <w:bookmarkStart w:id="295" w:name="Tc_YYL74rG6YkGS1RooMaLRJg_1_13"/>
      <w:bookmarkStart w:id="296" w:name="Tc_7UbnRFJtLES9sLXE67EYPA_1_7"/>
      <w:bookmarkStart w:id="297" w:name="Tc_ADQxd2NWXUuTh0SW6oR-rg_1_2"/>
      <w:bookmarkStart w:id="298" w:name="_add44798_7ea4_4646_af19_3caf2446ccce"/>
      <w:bookmarkStart w:id="299" w:name="Tc_X9WcH5nomEahQxaUbA9Cfw_8_13"/>
      <w:bookmarkStart w:id="300" w:name="Tc_WU71d_ZvVEqIP-xEl7YbtA_8_10"/>
      <w:bookmarkStart w:id="301" w:name="Tc_Th1gPc4N1k2HArYrY34Gqw_8_7"/>
      <w:bookmarkStart w:id="302" w:name="Tc_eat-NFUJV0eQ2glFgNorkQ_8_4"/>
      <w:bookmarkStart w:id="303" w:name="Tc_wASTgrDZIUa_0F0EacYDfA_8_0"/>
      <w:bookmarkStart w:id="304" w:name="Tc_H-DixGz6W0iYMLWKCULkMQ_6_8"/>
      <w:bookmarkStart w:id="305" w:name="Tc_Y8x-vuHQZ0SAudzEEddL4w_6_5"/>
      <w:bookmarkStart w:id="306" w:name="Tc_iNQQ-k6UtUqwJ8T59HG92w_6_2"/>
      <w:bookmarkStart w:id="307" w:name="Tc_Pw0E6kG4BEGZVxhZfVuaTw_6_0"/>
      <w:bookmarkStart w:id="308" w:name="Tc_rubEnvH18EmlBbjoHdX4LQ_4_13"/>
      <w:bookmarkStart w:id="309" w:name="Tc_SvGpbxJa0ECQc4WJMN-2mQ_4_10"/>
      <w:bookmarkStart w:id="310" w:name="Tc_7XGG-6VY6UOkHEsGrL9syg_4_7"/>
      <w:bookmarkStart w:id="311" w:name="Tc_4inrDpg73EG7SqtKmrjkNA_4_4"/>
      <w:bookmarkStart w:id="312" w:name="Tc_KRZ3bgmhe0Oyb01XWsv8LA_4_0"/>
      <w:bookmarkStart w:id="313" w:name="Tc_m6W2LhP2X0eMmM0N90aEYg_3_13"/>
      <w:bookmarkStart w:id="314" w:name="Tc_3wpcCJu-pkmrGRdWf2b-Zg_3_10"/>
      <w:bookmarkStart w:id="315" w:name="Tc_XuNZGRLGKU2UbQXJ57X3Tg_3_7"/>
      <w:bookmarkStart w:id="316" w:name="Tc_OgOZSth4wU2QiZkry-tImg_3_4"/>
      <w:bookmarkStart w:id="317" w:name="Tc_OeEItKcX30iDYBCGpefZ2A_3_2"/>
      <w:bookmarkStart w:id="318" w:name="Tc_XwGprlJm5U-WA85QAbeiRA_2_13"/>
      <w:bookmarkStart w:id="319" w:name="Tc_6qsS8fe7YUCC_ScuuOPnUA_2_10"/>
      <w:bookmarkStart w:id="320" w:name="Tc_X3DkYq0OTkSsfnEJQScYuQ_2_7"/>
      <w:bookmarkStart w:id="321" w:name="Tc_50Eur9ld70-fJU41voYrvQ_2_2"/>
      <w:bookmarkStart w:id="322" w:name="Tc_YYL74rG6YkGS1RooMaLRJg_1_13"/>
      <w:bookmarkStart w:id="323" w:name="Tc_7UbnRFJtLES9sLXE67EYPA_1_7"/>
      <w:bookmarkStart w:id="324" w:name="Tc_ADQxd2NWXUuTh0SW6oR-rg_1_2"/>
      <w:bookmarkStart w:id="325" w:name="_add44798_7ea4_4646_af19_3caf2446ccce"/>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tbl>
      <w:tblPr>
        <w:tblW w:w="9190" w:type="dxa"/>
        <w:jc w:val="left"/>
        <w:tblInd w:w="200" w:type="dxa"/>
        <w:tblLayout w:type="fixed"/>
        <w:tblCellMar>
          <w:top w:w="0" w:type="dxa"/>
          <w:left w:w="0" w:type="dxa"/>
          <w:bottom w:w="0" w:type="dxa"/>
          <w:right w:w="0" w:type="dxa"/>
        </w:tblCellMar>
      </w:tblPr>
      <w:tblGrid>
        <w:gridCol w:w="2716"/>
        <w:gridCol w:w="346"/>
        <w:gridCol w:w="931"/>
        <w:gridCol w:w="346"/>
        <w:gridCol w:w="230"/>
        <w:gridCol w:w="461"/>
        <w:gridCol w:w="346"/>
        <w:gridCol w:w="217"/>
        <w:gridCol w:w="699"/>
        <w:gridCol w:w="346"/>
        <w:gridCol w:w="234"/>
        <w:gridCol w:w="817"/>
        <w:gridCol w:w="346"/>
        <w:gridCol w:w="245"/>
        <w:gridCol w:w="910"/>
      </w:tblGrid>
      <w:tr>
        <w:trPr/>
        <w:tc>
          <w:tcPr>
            <w:tcW w:w="27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ind w:left="0" w:right="0" w:hanging="0"/>
              <w:jc w:val="left"/>
              <w:rPr>
                <w:sz w:val="4"/>
                <w:szCs w:val="4"/>
              </w:rPr>
            </w:pPr>
            <w:r>
              <w:rPr>
                <w:sz w:val="4"/>
                <w:szCs w:val="4"/>
              </w:rPr>
            </w:r>
          </w:p>
        </w:tc>
      </w:tr>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724660" cy="175260"/>
                      <wp:effectExtent l="0" t="0" r="0" b="0"/>
                      <wp:wrapNone/>
                      <wp:docPr id="377" name="Frame376"/>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8"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91185" cy="175260"/>
                      <wp:effectExtent l="0" t="0" r="0" b="0"/>
                      <wp:wrapNone/>
                      <wp:docPr id="379" name="Frame37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0"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46050" cy="175260"/>
                      <wp:effectExtent l="0" t="0" r="0" b="0"/>
                      <wp:wrapNone/>
                      <wp:docPr id="381" name="Frame38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92735" cy="175260"/>
                      <wp:effectExtent l="0" t="0" r="0" b="0"/>
                      <wp:wrapNone/>
                      <wp:docPr id="382" name="Frame381"/>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83"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7795" cy="175260"/>
                      <wp:effectExtent l="0" t="0" r="0" b="0"/>
                      <wp:wrapNone/>
                      <wp:docPr id="384" name="Frame38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43865" cy="175260"/>
                      <wp:effectExtent l="0" t="0" r="0" b="0"/>
                      <wp:wrapNone/>
                      <wp:docPr id="385" name="Frame38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6"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48590" cy="175260"/>
                      <wp:effectExtent l="0" t="0" r="0" b="0"/>
                      <wp:wrapNone/>
                      <wp:docPr id="387" name="Frame386"/>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18795" cy="175260"/>
                      <wp:effectExtent l="0" t="0" r="0" b="0"/>
                      <wp:wrapNone/>
                      <wp:docPr id="388" name="Frame387"/>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89"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55575" cy="175260"/>
                      <wp:effectExtent l="0" t="0" r="0" b="0"/>
                      <wp:wrapNone/>
                      <wp:docPr id="390" name="Frame38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77850" cy="175260"/>
                      <wp:effectExtent l="0" t="0" r="0" b="0"/>
                      <wp:wrapNone/>
                      <wp:docPr id="391" name="Frame390"/>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8"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Class B</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55"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1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2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Balance – January 1, 2025</w:t>
            </w:r>
            <w:r>
              <w:rPr>
                <w:rFonts w:ascii="Times New Roman;Times;serif" w:hAnsi="Times New Roman;Times;serif"/>
                <w:b/>
                <w:sz w:val="15"/>
              </w:rPr>
              <w:t>(1)(2)</w:t>
            </w:r>
          </w:p>
        </w:tc>
        <w:tc>
          <w:tcPr>
            <w:tcW w:w="346" w:type="dxa"/>
            <w:tcBorders/>
            <w:shd w:fill="CCEEFF" w:val="clear"/>
            <w:vAlign w:val="center"/>
          </w:tcPr>
          <w:p>
            <w:pPr>
              <w:pStyle w:val="TableContents"/>
              <w:bidi w:val="0"/>
              <w:spacing w:before="0" w:after="1"/>
              <w:ind w:left="0" w:right="0" w:hanging="0"/>
              <w:jc w:val="left"/>
              <w:rPr/>
            </w:pPr>
            <w:r>
              <w:rPr/>
              <w:t>  ​ ​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6,900,000</w:t>
            </w:r>
          </w:p>
        </w:tc>
        <w:tc>
          <w:tcPr>
            <w:tcW w:w="346" w:type="dxa"/>
            <w:tcBorders/>
            <w:shd w:fill="CCEEFF" w:val="clear"/>
            <w:vAlign w:val="center"/>
          </w:tcPr>
          <w:p>
            <w:pPr>
              <w:pStyle w:val="TableContents"/>
              <w:bidi w:val="0"/>
              <w:spacing w:before="0" w:after="1"/>
              <w:ind w:left="0" w:right="0" w:hanging="0"/>
              <w:jc w:val="left"/>
              <w:rPr/>
            </w:pPr>
            <w:r>
              <w:rPr/>
              <w:t>  ​ ​ ​</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w:t>
            </w:r>
          </w:p>
        </w:tc>
        <w:tc>
          <w:tcPr>
            <w:tcW w:w="346" w:type="dxa"/>
            <w:tcBorders/>
            <w:shd w:fill="CCEEFF" w:val="clear"/>
            <w:vAlign w:val="center"/>
          </w:tcPr>
          <w:p>
            <w:pPr>
              <w:pStyle w:val="TableContents"/>
              <w:bidi w:val="0"/>
              <w:spacing w:before="0" w:after="1"/>
              <w:ind w:left="0" w:right="0" w:hanging="0"/>
              <w:jc w:val="left"/>
              <w:rPr/>
            </w:pPr>
            <w:r>
              <w:rPr/>
              <w:t>  ​ ​ ​</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24,310</w:t>
            </w:r>
          </w:p>
        </w:tc>
        <w:tc>
          <w:tcPr>
            <w:tcW w:w="346" w:type="dxa"/>
            <w:tcBorders/>
            <w:shd w:fill="CCEEFF" w:val="clear"/>
            <w:vAlign w:val="center"/>
          </w:tcPr>
          <w:p>
            <w:pPr>
              <w:pStyle w:val="TableContents"/>
              <w:bidi w:val="0"/>
              <w:spacing w:before="0" w:after="1"/>
              <w:ind w:left="0" w:right="0" w:hanging="0"/>
              <w:jc w:val="left"/>
              <w:rPr/>
            </w:pPr>
            <w:r>
              <w:rPr/>
              <w:t>  ​ ​ ​</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(42,620)</w:t>
            </w:r>
          </w:p>
        </w:tc>
        <w:tc>
          <w:tcPr>
            <w:tcW w:w="346" w:type="dxa"/>
            <w:tcBorders/>
            <w:shd w:fill="CCEEFF" w:val="clear"/>
            <w:vAlign w:val="center"/>
          </w:tcPr>
          <w:p>
            <w:pPr>
              <w:pStyle w:val="TableContents"/>
              <w:bidi w:val="0"/>
              <w:spacing w:before="0" w:after="1"/>
              <w:ind w:left="0" w:right="0" w:hanging="0"/>
              <w:jc w:val="left"/>
              <w:rPr/>
            </w:pPr>
            <w:r>
              <w:rPr/>
              <w:t>  ​ ​ ​</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(17,620)</w: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left"/>
              <w:rPr/>
            </w:pPr>
            <w:r>
              <w:rPr/>
              <w:t>​</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(20,449)</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left"/>
              <w:rPr/>
            </w:pPr>
            <w:r>
              <w:rPr/>
              <w:t>​</w:t>
            </w:r>
          </w:p>
        </w:tc>
      </w:tr>
      <w:tr>
        <w:trPr/>
        <w:tc>
          <w:tcPr>
            <w:tcW w:w="271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Balance – March 31, 2025</w:t>
            </w:r>
            <w:r>
              <w:rPr>
                <w:rFonts w:ascii="Times New Roman;Times;serif" w:hAnsi="Times New Roman;Times;serif"/>
                <w:b/>
                <w:sz w:val="15"/>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6,900,000</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690</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24,310</w:t>
            </w:r>
          </w:p>
        </w:tc>
        <w:tc>
          <w:tcPr>
            <w:tcW w:w="34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(63,069)</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(38,069)</w:t>
            </w:r>
          </w:p>
        </w:tc>
      </w:tr>
    </w:tbl>
    <w:tbl>
      <w:tblPr>
        <w:tblW w:w="9805" w:type="dxa"/>
        <w:jc w:val="left"/>
        <w:tblInd w:w="200" w:type="dxa"/>
        <w:tblLayout w:type="fixed"/>
        <w:tblCellMar>
          <w:top w:w="0" w:type="dxa"/>
          <w:left w:w="0" w:type="dxa"/>
          <w:bottom w:w="0" w:type="dxa"/>
          <w:right w:w="0" w:type="dxa"/>
        </w:tblCellMar>
      </w:tblPr>
      <w:tblGrid>
        <w:gridCol w:w="299"/>
        <w:gridCol w:w="95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May 1, 2025, pursuant to a share recapitalization, the Company issued an additional 1,150,000</w:t>
            </w:r>
            <w:r>
              <w:rPr>
                <w:caps w:val="false"/>
                <w:smallCaps w:val="false"/>
              </w:rPr>
              <w:t xml:space="preserve"> </w:t>
            </w:r>
            <w:r>
              <w:rPr>
                <w:rFonts w:ascii="Times New Roman;Times;serif" w:hAnsi="Times New Roman;Times;serif"/>
                <w:b w:val="false"/>
                <w:i w:val="false"/>
                <w:caps w:val="false"/>
                <w:smallCaps w:val="false"/>
                <w:sz w:val="20"/>
              </w:rPr>
              <w:t>founder shares to the Sponsor (with DirectorCo waiving its entitlement to be issued additional founder shares in connection therewith and directing its allotment to be issued to the Sponsor), resulting in the Company’s initial shareholders holding an aggregate of 6,900,000</w:t>
            </w:r>
            <w:r>
              <w:rPr>
                <w:caps w:val="false"/>
                <w:smallCaps w:val="false"/>
              </w:rPr>
              <w:t xml:space="preserve"> </w:t>
            </w:r>
            <w:r>
              <w:rPr>
                <w:rFonts w:ascii="Times New Roman;Times;serif" w:hAnsi="Times New Roman;Times;serif"/>
                <w:b w:val="false"/>
                <w:i w:val="false"/>
                <w:caps w:val="false"/>
                <w:smallCaps w:val="false"/>
                <w:sz w:val="20"/>
              </w:rPr>
              <w:t>founder shares. All share and per share data have been retrospectively presented.</w:t>
            </w:r>
          </w:p>
        </w:tc>
      </w:tr>
    </w:tbl>
    <w:tbl>
      <w:tblPr>
        <w:tblW w:w="9805" w:type="dxa"/>
        <w:jc w:val="left"/>
        <w:tblInd w:w="200" w:type="dxa"/>
        <w:tblLayout w:type="fixed"/>
        <w:tblCellMar>
          <w:top w:w="0" w:type="dxa"/>
          <w:left w:w="0" w:type="dxa"/>
          <w:bottom w:w="0" w:type="dxa"/>
          <w:right w:w="0" w:type="dxa"/>
        </w:tblCellMar>
      </w:tblPr>
      <w:tblGrid>
        <w:gridCol w:w="300"/>
        <w:gridCol w:w="95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Includes an aggregate of up to 900,000</w:t>
            </w:r>
            <w:r>
              <w:rPr>
                <w:caps w:val="false"/>
                <w:smallCaps w:val="false"/>
              </w:rPr>
              <w:t xml:space="preserve"> </w:t>
            </w:r>
            <w:r>
              <w:rPr>
                <w:rFonts w:ascii="Times New Roman;Times;serif" w:hAnsi="Times New Roman;Times;serif"/>
                <w:b w:val="false"/>
                <w:i w:val="false"/>
                <w:caps w:val="false"/>
                <w:smallCaps w:val="false"/>
                <w:sz w:val="20"/>
              </w:rPr>
              <w:t>founder shares that were subject to forfeiture by the Sponsor depending on the extent to which the underwriters’ over-allotment option was exercised. On May 2, 2025, the underwriters exercised their over-allotment option in full, which was settled as part of the closing of the Initial Public Offering. As such, 900,000</w:t>
            </w:r>
            <w:r>
              <w:rPr>
                <w:caps w:val="false"/>
                <w:smallCaps w:val="false"/>
              </w:rPr>
              <w:t xml:space="preserve"> </w:t>
            </w:r>
            <w:r>
              <w:rPr>
                <w:rFonts w:ascii="Times New Roman;Times;serif" w:hAnsi="Times New Roman;Times;serif"/>
                <w:b w:val="false"/>
                <w:i w:val="false"/>
                <w:caps w:val="false"/>
                <w:smallCaps w:val="false"/>
                <w:sz w:val="20"/>
              </w:rPr>
              <w:t>founder shares are no longer subject to forfeiture by the Sponsor.</w:t>
            </w:r>
          </w:p>
        </w:tc>
      </w:tr>
    </w:tbl>
    <w:p>
      <w:pPr>
        <w:pStyle w:val="TextBody"/>
        <w:bidi w:val="0"/>
        <w:spacing w:before="0" w:after="240"/>
        <w:ind w:left="200" w:right="200" w:hanging="0"/>
        <w:jc w:val="center"/>
        <w:rPr/>
      </w:pPr>
      <w:r>
        <w:rPr/>
        <w:t>​</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bookmarkStart w:id="326" w:name="_0ea81a57_fd55_4f86_b836_746b34eb2b63"/>
      <w:bookmarkEnd w:id="326"/>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bookmarkStart w:id="327" w:name="CONDENSEDSTATEMENTOFCASHFLOWS_350042"/>
      <w:bookmarkEnd w:id="327"/>
      <w:r>
        <w:rPr>
          <w:rFonts w:ascii="Times New Roman;Times;serif" w:hAnsi="Times New Roman;Times;serif"/>
          <w:b/>
          <w:sz w:val="20"/>
        </w:rPr>
        <w:t>CONDENSED STATEMENTS OF CASH FLOWS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both"/>
        <w:rPr/>
      </w:pPr>
      <w:r>
        <w:rPr/>
        <w:t>​</w:t>
      </w:r>
    </w:p>
    <w:p>
      <w:pPr>
        <w:pStyle w:val="Normal"/>
        <w:bidi w:val="0"/>
        <w:spacing w:before="200" w:after="200"/>
        <w:ind w:left="200" w:right="200" w:hanging="0"/>
        <w:jc w:val="left"/>
        <w:rPr>
          <w:sz w:val="4"/>
          <w:szCs w:val="4"/>
        </w:rPr>
      </w:pPr>
      <w:r>
        <w:rPr>
          <w:sz w:val="4"/>
          <w:szCs w:val="4"/>
        </w:rPr>
      </w:r>
      <w:bookmarkStart w:id="328" w:name="Tc_qDcByixBU0KvyMOigi3cPQ_31_6"/>
      <w:bookmarkStart w:id="329" w:name="Tc_7njDlttyJUmHCzgdL5Ez3A_31_3"/>
      <w:bookmarkStart w:id="330" w:name="Tc_Ar7Q_nJ3-keXS1Ix55tq9g_31_0"/>
      <w:bookmarkStart w:id="331" w:name="Tc_ewFI4GmY8keBV-afMWn_vA_30_3"/>
      <w:bookmarkStart w:id="332" w:name="Tc_fYXxIW5iC0etXTkZdMJiTw_30_0"/>
      <w:bookmarkStart w:id="333" w:name="Tc_CGO5hy4NBEOzoZgB6tomzA_29_3"/>
      <w:bookmarkStart w:id="334" w:name="Tc_GonKUZxEIEuM2Lv0AMgqsg_29_0"/>
      <w:bookmarkStart w:id="335" w:name="Tc_euMTwzZrP0eCMeq0R2ijvA_28_3"/>
      <w:bookmarkStart w:id="336" w:name="Tc_pO3KJkkgUU6ybzpzRlxRqQ_28_0"/>
      <w:bookmarkStart w:id="337" w:name="Tc_yz6fC1mXbEWLQEjLe4jDSw_27_6"/>
      <w:bookmarkStart w:id="338" w:name="Tc_Ri4ZMIwfHEqzxULjBerxEw_27_3"/>
      <w:bookmarkStart w:id="339" w:name="Tc_rWLOS6MsVEOINbymQUNt8g_27_0"/>
      <w:bookmarkStart w:id="340" w:name="Tc_KoQUYSCy5UCWbmk-gj8wDQ_26_6"/>
      <w:bookmarkStart w:id="341" w:name="Tc_p-yoVDuiUkiTVEAn-t7TKw_26_0"/>
      <w:bookmarkStart w:id="342" w:name="Tc_3xjhtLflgUe2DuMla6vYIg_25_6"/>
      <w:bookmarkStart w:id="343" w:name="Tc_BsRAFn3x8EC3Ls3iT8s3Ig_25_5"/>
      <w:bookmarkStart w:id="344" w:name="Tc_QzLtghEXukWua3EuUKJErw_25_3"/>
      <w:bookmarkStart w:id="345" w:name="Tc_du9nRKLhhUubwFQB-r_mFw_25_2"/>
      <w:bookmarkStart w:id="346" w:name="Tc_lqjoYSIuUUW0QhU5nEsohw_25_0"/>
      <w:bookmarkStart w:id="347" w:name="Tc_M9R0sDXmiUyjuXVtzYkUYA_24_0"/>
      <w:bookmarkStart w:id="348" w:name="Tc_mRJ-8rdRR0-1eC8kepK9Gg_22_5"/>
      <w:bookmarkStart w:id="349" w:name="Tc_taBUCWRwV0OyqbrSyDcsUg_22_2"/>
      <w:bookmarkStart w:id="350" w:name="Tc_rduEhQT-40enzVE3xDrS9g_22_0"/>
      <w:bookmarkStart w:id="351" w:name="Tc_y2wncdsDXkum1IbUUnx0Aw_21_6"/>
      <w:bookmarkStart w:id="352" w:name="Tc_QNt-PwQ-bUm6Dc-oAg8T2Q_21_0"/>
      <w:bookmarkStart w:id="353" w:name="Tc_mBGqlMiExUKViTs9Rn8S0g_20_0"/>
      <w:bookmarkStart w:id="354" w:name="Tc_Q3HjXN_iwkqzmrKUHMb7fg_18_6"/>
      <w:bookmarkStart w:id="355" w:name="Tc_midiZEBnukO7MgffKUvGoA_18_3"/>
      <w:bookmarkStart w:id="356" w:name="Tc_ZQvTkAJKhEil3cpwbEcfJA_18_0"/>
      <w:bookmarkStart w:id="357" w:name="Tc_aFJ4QoKn1Ui3IgUtRZzzXQ_17_0"/>
      <w:bookmarkStart w:id="358" w:name="Tc_Wxw7A4PLJEK5iGeIf0M_YQ_15_6"/>
      <w:bookmarkStart w:id="359" w:name="Tc_aeUlzqmPdkaAuBIZ4pZuiA_15_3"/>
      <w:bookmarkStart w:id="360" w:name="Tc_uwE70aGqckOLiSwPAJQa4g_15_0"/>
      <w:bookmarkStart w:id="361" w:name="Tc_muGb9OfBmEqG_yj8E6aAWA_14_0"/>
      <w:bookmarkStart w:id="362" w:name="Tc_K6MQ2GGtL0m8du8d5V181A_12_6"/>
      <w:bookmarkStart w:id="363" w:name="Tc_foetrmD2ZkeqDC3rrbKc8g_12_0"/>
      <w:bookmarkStart w:id="364" w:name="Tc_fAol1WWrPkq-pdWdbeOSnw_11_6"/>
      <w:bookmarkStart w:id="365" w:name="Tc_PW10I1xoB0qbbq9O3JB8IQ_11_0"/>
      <w:bookmarkStart w:id="366" w:name="Tc_FJp_KKqFE0mT6BnV9DdPQw_10_6"/>
      <w:bookmarkStart w:id="367" w:name="Tc_98z-Hkd_V0GGYnmwyXtAWw_10_0"/>
      <w:bookmarkStart w:id="368" w:name="Tc_S8hXwexwo0WFSTfl5BfdFw_9_6"/>
      <w:bookmarkStart w:id="369" w:name="Tc_XCiFwP3ixkyHI3PfukQt5A_9_0"/>
      <w:bookmarkStart w:id="370" w:name="Tc_kifRQv9kL0quNBFRh9ZixQ_8_0"/>
      <w:bookmarkStart w:id="371" w:name="Tc_vVfpQEnk4UCX1NU4dQmUgQ_7_6"/>
      <w:bookmarkStart w:id="372" w:name="Tc__2PogkdrbEKH6pjiTLyhkA_7_0"/>
      <w:bookmarkStart w:id="373" w:name="Tc_X_qeuwK4_E-iStmu7BrKTg_6_3"/>
      <w:bookmarkStart w:id="374" w:name="Tc_FZ2etQ-qv02e_Ra6gOOKyA_6_0"/>
      <w:bookmarkStart w:id="375" w:name="Tc_eLJ2TwXWjkiDkpGvWgvoPg_5_0"/>
      <w:bookmarkStart w:id="376" w:name="Tc_p50Apse260uM7tfiKdq9iA_4_5"/>
      <w:bookmarkStart w:id="377" w:name="Tc_dPVGNC-RKkyzV8_I7XtA6A_4_2"/>
      <w:bookmarkStart w:id="378" w:name="Tc_9I36c-FdhU-KdhO1LVlwSA_4_0"/>
      <w:bookmarkStart w:id="379" w:name="Tc_chUMNc6Tc0eAB5FH5LNQNg_3_0"/>
      <w:bookmarkStart w:id="380" w:name="Tc_v1F7Ev2Jx0GZJeU8knjqOg_2_5"/>
      <w:bookmarkStart w:id="381" w:name="Tc_YPLIP2bxDEWqgLCdDWYMPA_2_2"/>
      <w:bookmarkStart w:id="382" w:name="Tc_rfr1Jh9AlUGARl-HcxJI6w_1_2"/>
      <w:bookmarkStart w:id="383" w:name="_8eb22f91_61ae_459f_b068_c86e0057d925"/>
      <w:bookmarkStart w:id="384" w:name="Tc_qDcByixBU0KvyMOigi3cPQ_31_6"/>
      <w:bookmarkStart w:id="385" w:name="Tc_7njDlttyJUmHCzgdL5Ez3A_31_3"/>
      <w:bookmarkStart w:id="386" w:name="Tc_Ar7Q_nJ3-keXS1Ix55tq9g_31_0"/>
      <w:bookmarkStart w:id="387" w:name="Tc_ewFI4GmY8keBV-afMWn_vA_30_3"/>
      <w:bookmarkStart w:id="388" w:name="Tc_fYXxIW5iC0etXTkZdMJiTw_30_0"/>
      <w:bookmarkStart w:id="389" w:name="Tc_CGO5hy4NBEOzoZgB6tomzA_29_3"/>
      <w:bookmarkStart w:id="390" w:name="Tc_GonKUZxEIEuM2Lv0AMgqsg_29_0"/>
      <w:bookmarkStart w:id="391" w:name="Tc_euMTwzZrP0eCMeq0R2ijvA_28_3"/>
      <w:bookmarkStart w:id="392" w:name="Tc_pO3KJkkgUU6ybzpzRlxRqQ_28_0"/>
      <w:bookmarkStart w:id="393" w:name="Tc_yz6fC1mXbEWLQEjLe4jDSw_27_6"/>
      <w:bookmarkStart w:id="394" w:name="Tc_Ri4ZMIwfHEqzxULjBerxEw_27_3"/>
      <w:bookmarkStart w:id="395" w:name="Tc_rWLOS6MsVEOINbymQUNt8g_27_0"/>
      <w:bookmarkStart w:id="396" w:name="Tc_KoQUYSCy5UCWbmk-gj8wDQ_26_6"/>
      <w:bookmarkStart w:id="397" w:name="Tc_p-yoVDuiUkiTVEAn-t7TKw_26_0"/>
      <w:bookmarkStart w:id="398" w:name="Tc_3xjhtLflgUe2DuMla6vYIg_25_6"/>
      <w:bookmarkStart w:id="399" w:name="Tc_BsRAFn3x8EC3Ls3iT8s3Ig_25_5"/>
      <w:bookmarkStart w:id="400" w:name="Tc_QzLtghEXukWua3EuUKJErw_25_3"/>
      <w:bookmarkStart w:id="401" w:name="Tc_du9nRKLhhUubwFQB-r_mFw_25_2"/>
      <w:bookmarkStart w:id="402" w:name="Tc_lqjoYSIuUUW0QhU5nEsohw_25_0"/>
      <w:bookmarkStart w:id="403" w:name="Tc_M9R0sDXmiUyjuXVtzYkUYA_24_0"/>
      <w:bookmarkStart w:id="404" w:name="Tc_mRJ-8rdRR0-1eC8kepK9Gg_22_5"/>
      <w:bookmarkStart w:id="405" w:name="Tc_taBUCWRwV0OyqbrSyDcsUg_22_2"/>
      <w:bookmarkStart w:id="406" w:name="Tc_rduEhQT-40enzVE3xDrS9g_22_0"/>
      <w:bookmarkStart w:id="407" w:name="Tc_y2wncdsDXkum1IbUUnx0Aw_21_6"/>
      <w:bookmarkStart w:id="408" w:name="Tc_QNt-PwQ-bUm6Dc-oAg8T2Q_21_0"/>
      <w:bookmarkStart w:id="409" w:name="Tc_mBGqlMiExUKViTs9Rn8S0g_20_0"/>
      <w:bookmarkStart w:id="410" w:name="Tc_Q3HjXN_iwkqzmrKUHMb7fg_18_6"/>
      <w:bookmarkStart w:id="411" w:name="Tc_midiZEBnukO7MgffKUvGoA_18_3"/>
      <w:bookmarkStart w:id="412" w:name="Tc_ZQvTkAJKhEil3cpwbEcfJA_18_0"/>
      <w:bookmarkStart w:id="413" w:name="Tc_aFJ4QoKn1Ui3IgUtRZzzXQ_17_0"/>
      <w:bookmarkStart w:id="414" w:name="Tc_Wxw7A4PLJEK5iGeIf0M_YQ_15_6"/>
      <w:bookmarkStart w:id="415" w:name="Tc_aeUlzqmPdkaAuBIZ4pZuiA_15_3"/>
      <w:bookmarkStart w:id="416" w:name="Tc_uwE70aGqckOLiSwPAJQa4g_15_0"/>
      <w:bookmarkStart w:id="417" w:name="Tc_muGb9OfBmEqG_yj8E6aAWA_14_0"/>
      <w:bookmarkStart w:id="418" w:name="Tc_K6MQ2GGtL0m8du8d5V181A_12_6"/>
      <w:bookmarkStart w:id="419" w:name="Tc_foetrmD2ZkeqDC3rrbKc8g_12_0"/>
      <w:bookmarkStart w:id="420" w:name="Tc_fAol1WWrPkq-pdWdbeOSnw_11_6"/>
      <w:bookmarkStart w:id="421" w:name="Tc_PW10I1xoB0qbbq9O3JB8IQ_11_0"/>
      <w:bookmarkStart w:id="422" w:name="Tc_FJp_KKqFE0mT6BnV9DdPQw_10_6"/>
      <w:bookmarkStart w:id="423" w:name="Tc_98z-Hkd_V0GGYnmwyXtAWw_10_0"/>
      <w:bookmarkStart w:id="424" w:name="Tc_S8hXwexwo0WFSTfl5BfdFw_9_6"/>
      <w:bookmarkStart w:id="425" w:name="Tc_XCiFwP3ixkyHI3PfukQt5A_9_0"/>
      <w:bookmarkStart w:id="426" w:name="Tc_kifRQv9kL0quNBFRh9ZixQ_8_0"/>
      <w:bookmarkStart w:id="427" w:name="Tc_vVfpQEnk4UCX1NU4dQmUgQ_7_6"/>
      <w:bookmarkStart w:id="428" w:name="Tc__2PogkdrbEKH6pjiTLyhkA_7_0"/>
      <w:bookmarkStart w:id="429" w:name="Tc_X_qeuwK4_E-iStmu7BrKTg_6_3"/>
      <w:bookmarkStart w:id="430" w:name="Tc_FZ2etQ-qv02e_Ra6gOOKyA_6_0"/>
      <w:bookmarkStart w:id="431" w:name="Tc_eLJ2TwXWjkiDkpGvWgvoPg_5_0"/>
      <w:bookmarkStart w:id="432" w:name="Tc_p50Apse260uM7tfiKdq9iA_4_5"/>
      <w:bookmarkStart w:id="433" w:name="Tc_dPVGNC-RKkyzV8_I7XtA6A_4_2"/>
      <w:bookmarkStart w:id="434" w:name="Tc_9I36c-FdhU-KdhO1LVlwSA_4_0"/>
      <w:bookmarkStart w:id="435" w:name="Tc_chUMNc6Tc0eAB5FH5LNQNg_3_0"/>
      <w:bookmarkStart w:id="436" w:name="Tc_v1F7Ev2Jx0GZJeU8knjqOg_2_5"/>
      <w:bookmarkStart w:id="437" w:name="Tc_YPLIP2bxDEWqgLCdDWYMPA_2_2"/>
      <w:bookmarkStart w:id="438" w:name="Tc_rfr1Jh9AlUGARl-HcxJI6w_1_2"/>
      <w:bookmarkStart w:id="439" w:name="_8eb22f91_61ae_459f_b068_c86e0057d925"/>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tbl>
      <w:tblPr>
        <w:tblW w:w="9805" w:type="dxa"/>
        <w:jc w:val="left"/>
        <w:tblInd w:w="200" w:type="dxa"/>
        <w:tblLayout w:type="fixed"/>
        <w:tblCellMar>
          <w:top w:w="0" w:type="dxa"/>
          <w:left w:w="0" w:type="dxa"/>
          <w:bottom w:w="0" w:type="dxa"/>
          <w:right w:w="0" w:type="dxa"/>
        </w:tblCellMar>
      </w:tblPr>
      <w:tblGrid>
        <w:gridCol w:w="6807"/>
        <w:gridCol w:w="346"/>
        <w:gridCol w:w="211"/>
        <w:gridCol w:w="1044"/>
        <w:gridCol w:w="346"/>
        <w:gridCol w:w="211"/>
        <w:gridCol w:w="840"/>
      </w:tblGrid>
      <w:tr>
        <w:trPr/>
        <w:tc>
          <w:tcPr>
            <w:tcW w:w="680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ind w:left="0" w:right="0" w:hanging="0"/>
              <w:jc w:val="left"/>
              <w:rPr>
                <w:sz w:val="4"/>
                <w:szCs w:val="4"/>
              </w:rPr>
            </w:pPr>
            <w:r>
              <w:rPr>
                <w:sz w:val="4"/>
                <w:szCs w:val="4"/>
              </w:rPr>
            </w:r>
          </w:p>
        </w:tc>
      </w:tr>
      <w:tr>
        <w:trPr/>
        <w:tc>
          <w:tcPr>
            <w:tcW w:w="6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322445" cy="175260"/>
                      <wp:effectExtent l="0" t="0" r="0" b="0"/>
                      <wp:wrapNone/>
                      <wp:docPr id="392" name="Frame391"/>
                      <a:graphic xmlns:a="http://schemas.openxmlformats.org/drawingml/2006/main">
                        <a:graphicData uri="http://schemas.microsoft.com/office/word/2010/wordprocessingShape">
                          <wps:wsp>
                            <wps:cNvSpPr txBox="1"/>
                            <wps:spPr>
                              <a:xfrm>
                                <a:off x="0" y="0"/>
                                <a:ext cx="432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3"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4"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62940" cy="175260"/>
                      <wp:effectExtent l="0" t="0" r="0" b="0"/>
                      <wp:wrapNone/>
                      <wp:docPr id="395" name="Frame394"/>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6"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7"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33400" cy="175260"/>
                      <wp:effectExtent l="0" t="0" r="0" b="0"/>
                      <wp:wrapNone/>
                      <wp:docPr id="398" name="Frame397"/>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5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68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1,680,417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0" w:type="dxa"/>
            <w:tcBorders/>
            <w:shd w:fill="CCEEFF" w:val="clear"/>
            <w:vAlign w:val="center"/>
          </w:tcPr>
          <w:p>
            <w:pPr>
              <w:pStyle w:val="TableContents"/>
              <w:bidi w:val="0"/>
              <w:spacing w:before="0" w:after="1"/>
              <w:ind w:left="0" w:right="0" w:hanging="0"/>
              <w:jc w:val="righ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operation costs through promissory note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earned on marketable securities held in Trust Account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term prepaid insurance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552,436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(227,953)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8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lef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lef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8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lef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Change in 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(227,953)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624,163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396,210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8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lef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pPr>
            <w:r>
              <w:rPr/>
              <w:t>​</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services contributed by Sponsor through promissory note –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1"/>
              <w:ind w:left="0" w:right="0" w:hanging="0"/>
              <w:jc w:val="righ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 of Class A ordinary shares to redemption value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pPr>
            <w:r>
              <w:rPr/>
              <w:t>—</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 paid by Sponsor in exchange for issuance of Class B ordinary shares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costs included in accrued offering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273,763</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 paid through promissory note –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165,299</w:t>
            </w:r>
          </w:p>
        </w:tc>
      </w:tr>
      <w:tr>
        <w:trPr/>
        <w:tc>
          <w:tcPr>
            <w:tcW w:w="68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 applied to prepaid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3,202</w:t>
            </w:r>
          </w:p>
        </w:tc>
      </w:tr>
      <w:tr>
        <w:trPr/>
        <w:tc>
          <w:tcPr>
            <w:tcW w:w="68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underwriting fee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200" w:right="200" w:hanging="0"/>
        <w:jc w:val="both"/>
        <w:rPr/>
      </w:pPr>
      <w:r>
        <w:rPr/>
        <w:t>​</w:t>
      </w:r>
    </w:p>
    <w:p>
      <w:pPr>
        <w:pStyle w:val="TextBody"/>
        <w:bidi w:val="0"/>
        <w:spacing w:before="0" w:after="0"/>
        <w:ind w:left="200" w:right="20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24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left"/>
        <w:rPr>
          <w:rFonts w:ascii="Times New Roman;Times;serif" w:hAnsi="Times New Roman;Times;serif"/>
          <w:b/>
          <w:sz w:val="20"/>
        </w:rPr>
      </w:pPr>
      <w:bookmarkStart w:id="440" w:name="NOTE1DESCRIPTIONOFORGANIZATIONANDBUSINES"/>
      <w:bookmarkEnd w:id="440"/>
      <w:r>
        <w:rPr>
          <w:rFonts w:ascii="Times New Roman;Times;serif" w:hAnsi="Times New Roman;Times;serif"/>
          <w:b/>
          <w:sz w:val="20"/>
        </w:rPr>
        <w:t>NOTE 1. DESCRIPTION OF ORGANIZATION AND BUSINESS OPERATIONS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Cartesian Growth Corporation III (the “Company”) is a blank check company incorporated as a Cayman Islands exempted corporation on October 29, 2024. The Company was incorporated for the purpose of effecting a merger, amalgamation, share exchange, asset acquisition, share purchase, reorganization or similar business combination with one or more businesses or entities (the “Business Combination”). Prior to the consummation of its initial public offering (“Initial Public Offering”), the Company had not, nor had anyone on its behalf, engaged in any substantive discussions, directly or indirectly, with any Business Combination target with respect to an initial Business Combination with the Company.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March 31, 2026, the Company has not commenced any operations. All activity for the period from October 29, 2024 (inception) through March 31, 2026 relates to the Company’s formation and the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Subsequent to the Initial Public Offering, the Company generates non-operating income in the form of interest income on cash and cash equivalents from the proceeds derived from the Initial Public Offering, which have been placed in the Trust Account (as defined below). The Company has selected December 31 as its fiscal year end.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Company’s Sponsor is CGC III Sponsor LLC (the “Sponsor”). The registration statements for the Company’s Initial Public Offering became effective on May 1, 2025. On May 5, 2025, the Company consummated the Initial Public Offering of 27,600,000 units (the “Units”), which includes the full exercise by the underwriters of their over-allotment option of 3,600,000 Units, at $10.00 per Unit, generating gross proceeds of $276,000,000. Simultaneously with the closing of the Initial Public Offering, the Company consummated the sale of an aggregate of 6,800,000 Private Placement Warrants (the “Private Placement Warrants”) to the Sponsor and Cantor Fitzgerald &amp; Co. (“Cantor”), the representative of the underwriters of the Initial Public Offering, at a price of $1.00 per warrant, generating gross proceeds of $6,800,000. Of those 6,800,000 Private Placement Warrants, the Sponsor purchased 4,400,000 Private Placement Warrants and Cantor purchased 2,400,000 Private Placement Warrants. Each Unit consists of one Class A ordinary share and </w:t>
      </w:r>
      <w:r>
        <w:rPr>
          <w:rFonts w:ascii="Times New Roman;Times;serif" w:hAnsi="Times New Roman;Times;serif"/>
          <w:b w:val="false"/>
          <w:i w:val="false"/>
          <w:caps w:val="false"/>
          <w:smallCaps w:val="false"/>
          <w:sz w:val="20"/>
        </w:rPr>
        <w:t>one</w:t>
      </w:r>
      <w:r>
        <w:rPr>
          <w:rFonts w:ascii="Times New Roman;Times;serif" w:hAnsi="Times New Roman;Times;serif"/>
          <w:sz w:val="20"/>
        </w:rPr>
        <w:t>-half of one redeemable warrant. Each whole warrant entitles the holder to purchase one Class A ordinary share at a price of $11.50 per share. The Company’s management has broad discretion with respect to the specific application of the net proceeds of the Initial Public Offering and the Private Placement Warrants, although substantially all of the net proceeds are intended to be generally applied toward consummating a Business Combination (less deferred underwriting commissions).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Transaction costs amounted to $18,821,468, consisting of $4,800,000 of cash underwriting fee, $13,140,000 of deferred underwriting fee and $881,468 of other offering costs.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Company’s Business Combination must be with one or more target businesses that together have a fair market value equal to at least 80% of the net balance in the Trust Account (excluding the amount of deferred underwriting discounts held and taxes payable on the income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Following the closing of the Initial Public Offering on May 5, 2025, an amount of $276,000,000 ($10.00 per Unit) from the net proceeds of the sale of the Units, and a portion of the net proceeds from the sale of the Private Placement Warrants, was placed in a trust account (the “Trust Account”) and initially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the Company might be deemed to be an investment company for purposes of the Investment Company Act, which risk increases the longer that the Company holds investments in the Trust Account, the Company may, at any time (based on the management team’s ongoing assessment of all factors related to the Company’s potential status under the Investment Company Act), instruct the trustee to liquidate the investments held in the Trust Account and instead to hold the funds in the Trust Account in cash or in an interest bearing demand deposit account at a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bank. Except with respect to interest earned on the funds held in the Trust Account that may be released to the Company to pay its taxes, if any, the proceeds from the Initial Public Offering and the sale of the Private Placement Warrants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date as the Company’s board of directors may approve, or such other time period in which the Company must complete an initial Business Combination pursuant to an amendment to the Company’s amended and restated memorandum and articles of association (the “Articles”) approved by the Company’s shareholders (the “Completion Window”), subject to applicable law, or (iii) the redemption of the Company’s public shares properly submitted in connection with a shareholder vote to amend the Articles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 share price, payable in cash, equal to the aggregate amount then on deposit in the Trust Account calculated as of </w:t>
      </w:r>
      <w:r>
        <w:rPr>
          <w:rFonts w:ascii="Times New Roman;Times;serif" w:hAnsi="Times New Roman;Times;serif"/>
          <w:b w:val="false"/>
          <w:i w:val="false"/>
          <w:caps w:val="false"/>
          <w:smallCaps w:val="false"/>
          <w:sz w:val="20"/>
        </w:rPr>
        <w:t>two</w:t>
      </w:r>
      <w:r>
        <w:rPr>
          <w:rFonts w:ascii="Times New Roman;Times;serif" w:hAnsi="Times New Roman;Times;serif"/>
          <w:sz w:val="20"/>
        </w:rPr>
        <w:t> business days prior to the consummation of the initial Business Combination, including interest earned on the funds held in the Trust Account (less taxes payable, but without deduction for any excise or similar tax that may be due or payable), divided by the number of then-outstanding public shares. The amount in the Trust Account is initially anticipated to be $10.00 per public share.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ordinary shares subject to redemption were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w:t>
      </w:r>
      <w:r>
        <w:rPr>
          <w:rFonts w:ascii="Times New Roman;Times;serif" w:hAnsi="Times New Roman;Times;serif"/>
          <w:b w:val="false"/>
          <w:i w:val="false"/>
          <w:caps w:val="false"/>
          <w:smallCaps w:val="false"/>
          <w:sz w:val="20"/>
        </w:rPr>
        <w:t>ten</w:t>
      </w:r>
      <w:r>
        <w:rPr>
          <w:rFonts w:ascii="Times New Roman;Times;serif" w:hAnsi="Times New Roman;Times;serif"/>
          <w:sz w:val="20"/>
        </w:rPr>
        <w:t> business days thereafter, redeem the public shares, at a per share price, payable in cash, equal to the aggregate amount then on deposit in the Trust Account, including interest earned on the funds held in the Trust Account (less taxes payable, but without deduction for any excise or similar tax that may be due or payable, and less up to $100,000 of interest to pay dissolution expenses), divided by the number of then-outstanding public shares, which redemption will constitute full and complete payment for the public shares and completely extinguish public shareholders’ rights as shareholders (including the right to receive further liquidating distributions, if any), subject to the Company’s obligations under Cayman Islands law to provide for claims of creditors and subject to the other requirements of applicable law.</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Sponsor, CGC III Sponsor DirectorCo LLC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Securities Exchange Act of 1934, as amended (the “Exchange Act”), which would not be voted in favor of approving the Business Combination) in favor of the initial Business Combination.</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200" w:right="200" w:firstLine="360"/>
        <w:jc w:val="both"/>
        <w:rPr>
          <w:rFonts w:ascii="Times New Roman;Times;serif" w:hAnsi="Times New Roman;Times;serif"/>
          <w:sz w:val="20"/>
        </w:rPr>
      </w:pPr>
      <w:r>
        <w:rPr>
          <w:rFonts w:ascii="Times New Roman;Times;serif" w:hAnsi="Times New Roman;Times;serif"/>
          <w:sz w:val="20"/>
        </w:rPr>
        <w:t>The Sponsor has agreed that it will be liable to the Company if and to the extent any claims by a third party for services rendered or products sold to the Company (except for the Company’s independent registered public accounting firm),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(but without deduction for any excise or similar tax that may be due or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240"/>
        <w:ind w:left="200" w:right="20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accompanying unaudited condensed financial statements should be read in conjunction with the Company’s Annual Report on Form 10-K for the year ended December 31, 2025, as filed with the SEC on March 23, 2026. The interim results for the three months ended March 31, 2026 and 2025 are not necessarily indicative of the results to be expected for the year ending December 31, 2026 or for any future periods.</w:t>
      </w:r>
    </w:p>
    <w:p>
      <w:pPr>
        <w:pStyle w:val="TextBody"/>
        <w:bidi w:val="0"/>
        <w:spacing w:before="0" w:after="240"/>
        <w:ind w:left="200" w:right="200" w:hanging="0"/>
        <w:jc w:val="both"/>
        <w:rPr>
          <w:rFonts w:ascii="Times New Roman;Times;serif" w:hAnsi="Times New Roman;Times;serif"/>
          <w:b/>
          <w:i/>
          <w:sz w:val="20"/>
        </w:rPr>
      </w:pPr>
      <w:r>
        <w:rPr>
          <w:rFonts w:ascii="Times New Roman;Times;serif" w:hAnsi="Times New Roman;Times;serif"/>
          <w:b/>
          <w:i/>
          <w:sz w:val="20"/>
        </w:rPr>
        <w:t>Liquidity and Capital Resources and Going Concern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Company’s liquidity needs up to March 31, 2026 had been satisfied through the loan from the Sponsor under an unsecured promissory note (the “Sponsor Promissory Note”) of up to $250,000 (see Note 5). As of March 31, 2026, the Company had $396,210 cash and a working capital deficit of $877,955.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order to fund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Up to $1,500,000 of such Working Capital Loans may be convertible into warrants of the post-Business Combination entity at a price of $1.00 per warrant at the option of the lender. The warrants would be identical to the Private Placement Warrants. As of March 31, 2026 and December 31, 2025, the Company had no borrowings under the Working Capital Loans.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the Company’s assessment of going concern considerations in accordance with Accounting Standards Codification (“ASC”) 205-40, “Presentation of Financial Statements - Going Concern,” management has determined that the Company’s liquidity condition raises substantial doubt about the Company’s ability to continue as a going concern. No adjustments have been made to the carrying amounts of assets or liabilities should the Company be required to liquidate after the Completion Window.</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Segment Reporting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complies with ASU 2023-07, Segment Reporting (Topic 280): Improvements to Reportable Segment Disclosures (“ASU 2023-07”), which improves reportable segment disclosure requirements, primarily through enhanced disclosures about significant segment expenses among other disclosure requirements. The Company adopted ASU 2023-07 on January 1, 2024. The amendments will be applied retrospectively to all prior periods presented in the accompanying unaudited condensed financial statements (see Note 9).</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preparation of the unaudited condensed financial statements in conformity with GAAP requires the Company’s management to make estimates and assumptions that affect the reported amounts of assets and liabilities and disclosure of contingent assets and liabilities at the date of the unaudited condensed financial statements and the reported amounts of revenues and expenses during the reporting period.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considers all short-term investments with an original maturity of three months or less when purchased to be cash equivalents. The Company had $396,210 and $624,163 in cash and no cash equivalents as of March 31, 2026 and December 31, 2025, respectively.</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Investments Held in Trust Account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 of March 31, 2026 and December 31, 2025, the assets held in the Trust Account, amounting to $285,868,994 and $283,377,276, respectively, were held in mutual funds primarily invested in U.S. Treasury Bills with a maturity of 185 days or less.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Investments held in the Trust Account are presented at fair value at each condensed balance sheet date, with unrealized gains and losses resulting from changes in fair value included in earnings as a component of interest and dividend income earned on investments held in the Trust Account in the accompanying statements of operations.</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Costs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complies with the requirements of the ASC 340-10-S99 and SEC Staff Accounting Bulletin Topic 5A, “Expenses of Offering.”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using the relative fair value method by allocating Initial Public Offering proceeds first to assigned value of the warrants and then to the Class A ordinary shares. Offering costs allocated to the Class A ordinary shares were charged to temporary equity and offering costs allocated to the public warrants and Private Placement Warrants were charged to shareholder’s deficit as public warrants and Private Placement Warrants after management’s evaluation were accounted for under equity treatment.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Fair Value of Financial Instruments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fair value of the Company’s assets and liabilities, which qualify as financial instruments under FASB ASC 820, “Fair Value Measurements and Disclosures,” approximates the carrying amounts represented in the condensed balance sheets, primarily due to its short-term nature.</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March 31, 2026 and December 31, 2025, there were no unrecognized tax benefits and no amounts accrued for interest and penalties. The Company is currently not aware of any issues under review that could result in significant payments, accruals or material deviation from its position.</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firstLine="360"/>
        <w:jc w:val="left"/>
        <w:rPr>
          <w:rFonts w:ascii="Times New Roman;Times;serif" w:hAnsi="Times New Roman;Times;serif"/>
          <w:sz w:val="20"/>
        </w:rPr>
      </w:pPr>
      <w:bookmarkStart w:id="441" w:name="Tc_K7yGqpYXAUaz3LVzjsnHFw_10_2"/>
      <w:bookmarkStart w:id="442" w:name="Tc_gceCqZU6PU65mezMLuGg3g_10_0"/>
      <w:bookmarkStart w:id="443" w:name="Tc_Q6FssXZ4AEOSqUG3nkYMeA_9_0"/>
      <w:bookmarkStart w:id="444" w:name="Tc_oxv6dEUf7E-yWMsLu6MH8w_8_0"/>
      <w:bookmarkStart w:id="445" w:name="Tc_x0qtWTHZPUmMro8FmT584A_7_2"/>
      <w:bookmarkStart w:id="446" w:name="Tc_IZ4ddd3tN0-tEoQT3Hpdhg_7_0"/>
      <w:bookmarkStart w:id="447" w:name="Tc_VE4Fum3qUUKgSZXGv6pNPA_6_0"/>
      <w:bookmarkStart w:id="448" w:name="Tc_vItghv6mD0CVZVERgPjm_w_5_0"/>
      <w:bookmarkStart w:id="449" w:name="Tc_xjaaf12X2kOeiStGzasHcQ_4_0"/>
      <w:bookmarkStart w:id="450" w:name="Tc_gG_DDiHZbkq3hLgv7Ga8nQ_3_0"/>
      <w:bookmarkStart w:id="451" w:name="Tc_VTsY2Hw6tkiDsFXqQz0hjQ_2_0"/>
      <w:bookmarkStart w:id="452" w:name="Tc__32HWrHTk022wFzOIfp1Ig_1_2"/>
      <w:bookmarkStart w:id="453" w:name="Tc_EzWl-5YzdEGirvHlSKm_7Q_1_0"/>
      <w:bookmarkStart w:id="454" w:name="_268c95d2_63d5_43de_bde0_2e6ec08d09a5"/>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Times;serif" w:hAnsi="Times New Roman;Times;serif"/>
          <w:sz w:val="20"/>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periods presented.</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Class A Ordinary Shares Subject to Possible Redemption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value. The change in the carrying value of redeemable shares will result in charges against additional paid-in capital (to the extent available) and then to accumulated deficit. Accordingly, as of March 31, 2026 and December 31, 2025, Class A ordinary shares subject to possible redemption are presented at redemption value as temporary equity, outside of the shareholders’ deficit section of the Company’s condensed balance sheets. As of March 31, 2026 and December 31, 2025, the Class A ordinary shares subject to possible redemption reflected in the condensed balance sheets are reconciled in the following table:</w:t>
      </w:r>
    </w:p>
    <w:tbl>
      <w:tblPr>
        <w:tblW w:w="8014" w:type="dxa"/>
        <w:jc w:val="left"/>
        <w:tblInd w:w="200" w:type="dxa"/>
        <w:tblLayout w:type="fixed"/>
        <w:tblCellMar>
          <w:top w:w="0" w:type="dxa"/>
          <w:left w:w="0" w:type="dxa"/>
          <w:bottom w:w="0" w:type="dxa"/>
          <w:right w:w="0" w:type="dxa"/>
        </w:tblCellMar>
      </w:tblPr>
      <w:tblGrid>
        <w:gridCol w:w="6211"/>
        <w:gridCol w:w="346"/>
        <w:gridCol w:w="211"/>
        <w:gridCol w:w="1246"/>
      </w:tblGrid>
      <w:tr>
        <w:trPr/>
        <w:tc>
          <w:tcPr>
            <w:tcW w:w="6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r>
      <w:tr>
        <w:trPr/>
        <w:tc>
          <w:tcPr>
            <w:tcW w:w="6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943985" cy="175260"/>
                      <wp:effectExtent l="0" t="0" r="0" b="0"/>
                      <wp:wrapNone/>
                      <wp:docPr id="399" name="Frame398"/>
                      <a:graphic xmlns:a="http://schemas.openxmlformats.org/drawingml/2006/main">
                        <a:graphicData uri="http://schemas.microsoft.com/office/word/2010/wordprocessingShape">
                          <wps:wsp>
                            <wps:cNvSpPr txBox="1"/>
                            <wps:spPr>
                              <a:xfrm>
                                <a:off x="0" y="0"/>
                                <a:ext cx="394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0"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1"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791210" cy="175260"/>
                      <wp:effectExtent l="0" t="0" r="0" b="0"/>
                      <wp:wrapNone/>
                      <wp:docPr id="402" name="Frame401"/>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proceeds</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276,000,000</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allocated to public 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(3,132,600)</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issuance cost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(18,586,890)</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Remeasurement of carrying value to redemption value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29,096,766</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subject to possible redemption,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283,377,276</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Remeasurement of carrying value to redemption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2,491,718</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 subject to possible redemption, March 31,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285,868,994</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Instruments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accounted for the public warrants and Private Placement Warrants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values.</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per Ordinary Share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complies with accounting and disclosure requirements of FASB ASC Topic 260, “Earnings Per Share.” Net income (loss) per ordinary share is computed by dividing net income (loss) by the weighted average number of shares of ordinary shares outstanding for the period. The Company has two classes of ordinary shares, which are referred to as redeemable Class A ordinary shares and non-redeemable Class A and Class B ordinary shares. Remeasurement associated with the redeemable shares of Class A ordinary shares is excluded from income (loss) per ordinary share as the redemption value approximates fair value.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calculation of diluted income (loss) per ordinary share does not consider the effect of the warrants issued in connection with the Initial Public Offering and the Private Placement Warrants since the exercise of the warrants is contingent upon the occurrence of future events. The warrants are exercisable to purchase 20,600,000 Class A Ordinary Shares in the aggregate. As of March 31, 2026 and December 31, 2025, the Company did not have any dilutive securities or other contracts that could, potentially, be exercised or converted into ordinary shares that then share in the earnings of the Company.</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200" w:right="200" w:firstLine="360"/>
        <w:jc w:val="left"/>
        <w:rPr>
          <w:rFonts w:ascii="Times New Roman;Times;serif" w:hAnsi="Times New Roman;Times;serif"/>
          <w:sz w:val="20"/>
        </w:rPr>
      </w:pPr>
      <w:bookmarkStart w:id="455" w:name="Tc_sUIataVZ-kqkdbXt761-Ig_11_11"/>
      <w:bookmarkStart w:id="456" w:name="Tc_ZObprmexF0i4oXrDP3qXYw_11_9"/>
      <w:bookmarkStart w:id="457" w:name="Tc_e_l2g50B9E-1JnRUV7pCug_11_8"/>
      <w:bookmarkStart w:id="458" w:name="Tc_8s_zu8Xu-kmRvIxv2yjYbA_11_5"/>
      <w:bookmarkStart w:id="459" w:name="Tc_Ds32UZAfH0S4faDQK19FXQ_11_2"/>
      <w:bookmarkStart w:id="460" w:name="Tc_S0hjL1Vp70mbpa_GKlcv0Q_11_0"/>
      <w:bookmarkStart w:id="461" w:name="Tc_mj6sjjRErUSwHn_l25iMkw_10_9"/>
      <w:bookmarkStart w:id="462" w:name="Tc_xwHItxVDWke3-byM2VSVZw_10_0"/>
      <w:bookmarkStart w:id="463" w:name="Tc_K-BFS1wR1kKiS9G8Kjj1_A_9_0"/>
      <w:bookmarkStart w:id="464" w:name="Tc_q2AHs9rTAUyeOhF4ffmncQ_8_11"/>
      <w:bookmarkStart w:id="465" w:name="Tc_fiLBi5OxFk-XEJDaPjf_JQ_8_9"/>
      <w:bookmarkStart w:id="466" w:name="Tc_idQb_Rz8WUG0Huhs2JFOkw_8_8"/>
      <w:bookmarkStart w:id="467" w:name="Tc_GgYl1pctXkONWVr8fAkS4A_8_5"/>
      <w:bookmarkStart w:id="468" w:name="Tc_sPGz-afwDEyxE_9E6io6rw_8_2"/>
      <w:bookmarkStart w:id="469" w:name="Tc_EeTI6bTRlkyM0o3tbaXQ0Q_8_0"/>
      <w:bookmarkStart w:id="470" w:name="Tc_J5WNY9xPZEenj8iz8tmx1w_7_0"/>
      <w:bookmarkStart w:id="471" w:name="Tc_tHAAizppT0iIJOSdikDqzA_6_0"/>
      <w:bookmarkStart w:id="472" w:name="Tc_eP3zjfrE1UytST33sC3apQ_5_11"/>
      <w:bookmarkStart w:id="473" w:name="Tc_yh9t7GY2HUuqsrXKgkmhFw_5_8"/>
      <w:bookmarkStart w:id="474" w:name="Tc_4q8IAimRikCj4Kvf4-BYHw_5_5"/>
      <w:bookmarkStart w:id="475" w:name="Tc_Yzs3gkXubEO_5Z5a_3GQOg_5_2"/>
      <w:bookmarkStart w:id="476" w:name="Tc_FLVtvF0h3ka0HAEf48L3bQ_4_11"/>
      <w:bookmarkStart w:id="477" w:name="Tc_LMvHRsyaikuPVFYsFoGJ4A_4_8"/>
      <w:bookmarkStart w:id="478" w:name="Tc_hYLrZKzNrEGJn61m4nA3xw_4_5"/>
      <w:bookmarkStart w:id="479" w:name="Tc_5kiHQIVZ5UGHVPpJA_Cl8Q_4_2"/>
      <w:bookmarkStart w:id="480" w:name="Tc_cGPAsUX6UUmrH8m9_BJh5A_3_11"/>
      <w:bookmarkStart w:id="481" w:name="Tc_yA8B2FsLc0S2v3dEXgbbOQ_3_5"/>
      <w:bookmarkStart w:id="482" w:name="Tc_8C9_Bk_X8Ei6SYQffsF0vA_2_8"/>
      <w:bookmarkStart w:id="483" w:name="Tc_gNSgHDI8mEePMsgVCt6N8w_2_2"/>
      <w:bookmarkStart w:id="484" w:name="Tc_6OVV3xk_IEWGMYLWUlvoWA_1_2"/>
      <w:bookmarkStart w:id="485" w:name="_138de5f8_1d6a_4889_bfc7_6b48faee9a87"/>
      <w:bookmarkStart w:id="486" w:name="_a0583c12_3ef0_4166_bc2c_57a757dd3c67"/>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rFonts w:ascii="Times New Roman;Times;serif" w:hAnsi="Times New Roman;Times;serif"/>
          <w:sz w:val="20"/>
        </w:rPr>
        <w:t>The following table reflects the calculation of basic and diluted net income (loss) per ordinary share (in dollars, except per share amounts):</w:t>
      </w:r>
    </w:p>
    <w:p>
      <w:pPr>
        <w:pStyle w:val="TextBody"/>
        <w:bidi w:val="0"/>
        <w:spacing w:before="0" w:after="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3824"/>
        <w:gridCol w:w="346"/>
        <w:gridCol w:w="226"/>
        <w:gridCol w:w="1036"/>
        <w:gridCol w:w="346"/>
        <w:gridCol w:w="226"/>
        <w:gridCol w:w="931"/>
        <w:gridCol w:w="346"/>
        <w:gridCol w:w="385"/>
        <w:gridCol w:w="591"/>
        <w:gridCol w:w="346"/>
        <w:gridCol w:w="226"/>
        <w:gridCol w:w="976"/>
      </w:tblGrid>
      <w:tr>
        <w:trPr/>
        <w:tc>
          <w:tcPr>
            <w:tcW w:w="38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ind w:left="0" w:right="0" w:hanging="0"/>
              <w:jc w:val="left"/>
              <w:rPr>
                <w:sz w:val="4"/>
                <w:szCs w:val="4"/>
              </w:rPr>
            </w:pPr>
            <w:r>
              <w:rPr>
                <w:sz w:val="4"/>
                <w:szCs w:val="4"/>
              </w:rPr>
            </w:r>
          </w:p>
        </w:tc>
      </w:tr>
      <w:tr>
        <w:trPr/>
        <w:tc>
          <w:tcPr>
            <w:tcW w:w="3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428240" cy="175260"/>
                      <wp:effectExtent l="0" t="0" r="0" b="0"/>
                      <wp:wrapNone/>
                      <wp:docPr id="403" name="Frame402"/>
                      <a:graphic xmlns:a="http://schemas.openxmlformats.org/drawingml/2006/main">
                        <a:graphicData uri="http://schemas.microsoft.com/office/word/2010/wordprocessingShape">
                          <wps:wsp>
                            <wps:cNvSpPr txBox="1"/>
                            <wps:spPr>
                              <a:xfrm>
                                <a:off x="0" y="0"/>
                                <a:ext cx="2428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4"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43510" cy="175260"/>
                      <wp:effectExtent l="0" t="0" r="0" b="0"/>
                      <wp:wrapNone/>
                      <wp:docPr id="405" name="Frame40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57860" cy="175260"/>
                      <wp:effectExtent l="0" t="0" r="0" b="0"/>
                      <wp:wrapNone/>
                      <wp:docPr id="406" name="Frame40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7"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43510" cy="175260"/>
                      <wp:effectExtent l="0" t="0" r="0" b="0"/>
                      <wp:wrapNone/>
                      <wp:docPr id="408" name="Frame4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91185" cy="175260"/>
                      <wp:effectExtent l="0" t="0" r="0" b="0"/>
                      <wp:wrapNone/>
                      <wp:docPr id="409" name="Frame4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0"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44475" cy="175260"/>
                      <wp:effectExtent l="0" t="0" r="0" b="0"/>
                      <wp:wrapNone/>
                      <wp:docPr id="411" name="Frame410"/>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75285" cy="175260"/>
                      <wp:effectExtent l="0" t="0" r="0" b="0"/>
                      <wp:wrapNone/>
                      <wp:docPr id="412" name="Frame411"/>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3"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43510" cy="175260"/>
                      <wp:effectExtent l="0" t="0" r="0" b="0"/>
                      <wp:wrapNone/>
                      <wp:docPr id="414" name="Frame4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19760" cy="175260"/>
                      <wp:effectExtent l="0" t="0" r="0" b="0"/>
                      <wp:wrapNone/>
                      <wp:docPr id="415" name="Frame41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63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38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2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center"/>
              <w:rPr/>
            </w:pPr>
            <w:r>
              <w:rPr/>
              <w:t>​</w:t>
            </w:r>
          </w:p>
        </w:tc>
        <w:tc>
          <w:tcPr>
            <w:tcW w:w="385" w:type="dxa"/>
            <w:tcBorders/>
            <w:vAlign w:val="center"/>
          </w:tcPr>
          <w:p>
            <w:pPr>
              <w:pStyle w:val="TableContents"/>
              <w:bidi w:val="0"/>
              <w:spacing w:before="0" w:after="0"/>
              <w:ind w:left="0" w:right="0" w:hanging="0"/>
              <w:jc w:val="center"/>
              <w:rPr/>
            </w:pPr>
            <w:r>
              <w:rPr/>
              <w:t>​</w:t>
            </w:r>
          </w:p>
        </w:tc>
        <w:tc>
          <w:tcPr>
            <w:tcW w:w="5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r>
      <w:tr>
        <w:trPr/>
        <w:tc>
          <w:tcPr>
            <w:tcW w:w="38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46" w:type="dxa"/>
            <w:tcBorders/>
            <w:vAlign w:val="center"/>
          </w:tcPr>
          <w:p>
            <w:pPr>
              <w:pStyle w:val="TableContents"/>
              <w:bidi w:val="0"/>
              <w:spacing w:before="0" w:after="0"/>
              <w:ind w:left="0" w:right="0" w:hanging="0"/>
              <w:jc w:val="center"/>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4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c>
          <w:tcPr>
            <w:tcW w:w="346" w:type="dxa"/>
            <w:tcBorders/>
            <w:vAlign w:val="center"/>
          </w:tcPr>
          <w:p>
            <w:pPr>
              <w:pStyle w:val="TableContents"/>
              <w:bidi w:val="0"/>
              <w:spacing w:before="0" w:after="0"/>
              <w:ind w:left="0" w:right="0" w:hanging="0"/>
              <w:jc w:val="center"/>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redeemable</w:t>
            </w:r>
          </w:p>
        </w:tc>
      </w:tr>
      <w:tr>
        <w:trPr/>
        <w:tc>
          <w:tcPr>
            <w:tcW w:w="38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center"/>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center"/>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r>
      <w:tr>
        <w:trPr/>
        <w:tc>
          <w:tcPr>
            <w:tcW w:w="3824"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Basic and diluted net income (loss) per ordinary share</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85" w:type="dxa"/>
            <w:tcBorders/>
            <w:shd w:fill="CCEEFF" w:val="clear"/>
            <w:vAlign w:val="center"/>
          </w:tcPr>
          <w:p>
            <w:pPr>
              <w:pStyle w:val="TableContents"/>
              <w:bidi w:val="0"/>
              <w:spacing w:before="0" w:after="0"/>
              <w:ind w:left="0" w:right="0" w:hanging="0"/>
              <w:jc w:val="center"/>
              <w:rPr/>
            </w:pPr>
            <w:r>
              <w:rPr/>
              <w:t>  ​</w:t>
            </w:r>
          </w:p>
        </w:tc>
        <w:tc>
          <w:tcPr>
            <w:tcW w:w="5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38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  ​</w:t>
            </w:r>
          </w:p>
        </w:tc>
      </w:tr>
      <w:tr>
        <w:trPr/>
        <w:tc>
          <w:tcPr>
            <w:tcW w:w="38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Allocation of 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1,344,334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336,083</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38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38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27,600,000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6,900,000</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6,900,000</w:t>
            </w:r>
          </w:p>
        </w:tc>
      </w:tr>
      <w:tr>
        <w:trPr/>
        <w:tc>
          <w:tcPr>
            <w:tcW w:w="38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(loss) per ordinary share</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vAlign w:val="center"/>
          </w:tcPr>
          <w:p>
            <w:pPr>
              <w:pStyle w:val="TableContents"/>
              <w:bidi w:val="0"/>
              <w:spacing w:before="0" w:after="0"/>
              <w:ind w:left="0" w:right="0" w:hanging="0"/>
              <w:jc w:val="left"/>
              <w:rPr/>
            </w:pPr>
            <w:r>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bl>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200" w:right="200" w:firstLine="360"/>
        <w:jc w:val="both"/>
        <w:rPr>
          <w:rFonts w:ascii="Times New Roman;Times;serif" w:hAnsi="Times New Roman;Times;serif"/>
          <w:sz w:val="20"/>
        </w:rPr>
      </w:pPr>
      <w:r>
        <w:rPr>
          <w:rFonts w:ascii="Times New Roman;Times;serif" w:hAnsi="Times New Roman;Times;serif"/>
          <w:sz w:val="20"/>
        </w:rPr>
        <w:t>Management does not believe that any recently issued, but not effective, accounting standards, if currently adopted, would have a material effect on the Company’s financial statement.</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NOTE 3. INITIAL PUBLIC OFFERING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Pursuant to the Initial Public Offering on May 5, 2025, the Company sold 27,600,000 Units, which includes a full exercise by the underwriters of their over-allotment option of 3,600,000 Units at a purchase price of $10.00 per Unit, generating gross proceeds of $276,000,000. Each Unit consists of one Class A ordinary share and </w:t>
      </w:r>
      <w:r>
        <w:rPr>
          <w:rFonts w:ascii="Times New Roman;Times;serif" w:hAnsi="Times New Roman;Times;serif"/>
          <w:b w:val="false"/>
          <w:i w:val="false"/>
          <w:caps w:val="false"/>
          <w:smallCaps w:val="false"/>
          <w:sz w:val="20"/>
        </w:rPr>
        <w:t>one-half</w:t>
      </w:r>
      <w:r>
        <w:rPr>
          <w:rFonts w:ascii="Times New Roman;Times;serif" w:hAnsi="Times New Roman;Times;serif"/>
          <w:sz w:val="20"/>
        </w:rPr>
        <w:t xml:space="preserve"> of one redeemable warrant. Each whole warrant entitles the holder to purchase one Class A ordinary share at a price of $11.50 per share, subject to adjustment. Each warrant will become exercisable 30 days after the completion of the initial Business Combination and will expire five years after the completion of the initial Business Combination, or earlier upon redemption or liquidation.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sz w:val="20"/>
        </w:rPr>
        <w:t>Warrants — </w:t>
      </w:r>
      <w:r>
        <w:rPr>
          <w:rFonts w:ascii="Times New Roman;Times;serif" w:hAnsi="Times New Roman;Times;serif"/>
          <w:sz w:val="20"/>
        </w:rPr>
        <w:t>As of March 31, 2026 and December 31, 2025, there were 20,600,000 warrants outstanding, including 13,800,000 public warrants and 6,800,000 Private Placement Warrants.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Under the terms of the warrant agreement, the Company has agreed that, as soon as practicable, but in no event later than 20 business days after the closing of its initial Business Combination, it will use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Company’s initial Business Combination and to maintain a current prospectus relating to the Class A ordinary shares issuable upon exercise of the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240" w:before="0" w:after="240"/>
        <w:ind w:left="200" w:right="200" w:hanging="0"/>
        <w:jc w:val="left"/>
        <w:rPr>
          <w:rFonts w:ascii="Times New Roman;Times;serif" w:hAnsi="Times New Roman;Times;serif"/>
          <w:sz w:val="20"/>
        </w:rPr>
      </w:pPr>
      <w:r>
        <w:rPr>
          <w:rFonts w:ascii="Times New Roman;Times;serif" w:hAnsi="Times New Roman;Times;serif"/>
          <w:sz w:val="20"/>
        </w:rPr>
        <w:t>warrants until the expiration of the warrants in accordance with the provisions of the warrant agreement. If a registration statement covering the Class A ordinary shares issuable upon exercise of the warrants is not effective by the sixtieth (60</w:t>
      </w:r>
      <w:r>
        <w:rPr>
          <w:rFonts w:ascii="Times New Roman;Times;serif" w:hAnsi="Times New Roman;Times;serif"/>
          <w:sz w:val="15"/>
        </w:rPr>
        <w:t>th</w:t>
      </w:r>
      <w:r>
        <w:rPr>
          <w:rFonts w:ascii="Times New Roman;Times;serif" w:hAnsi="Times New Roman;Times;serif"/>
          <w:sz w:val="20"/>
        </w:rPr>
        <w:t>)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i/>
          <w:sz w:val="20"/>
        </w:rPr>
        <w:t>Redemption of Warrants When the Price per Class A Ordinary Share Equals or Exceeds $18.00</w:t>
      </w:r>
      <w:r>
        <w:rPr>
          <w:rFonts w:ascii="Times New Roman;Times;serif" w:hAnsi="Times New Roman;Times;serif"/>
          <w:sz w:val="20"/>
        </w:rPr>
        <w:t>: The Company may redeem the outstanding warrants:</w:t>
      </w:r>
    </w:p>
    <w:tbl>
      <w:tblPr>
        <w:tblW w:w="2526" w:type="dxa"/>
        <w:jc w:val="left"/>
        <w:tblInd w:w="20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3006" w:type="dxa"/>
        <w:jc w:val="left"/>
        <w:tblInd w:w="20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at a price of $0.01</w:t>
            </w:r>
            <w:r>
              <w:rPr>
                <w:caps w:val="false"/>
                <w:smallCaps w:val="false"/>
              </w:rPr>
              <w:t xml:space="preserve"> </w:t>
            </w:r>
            <w:r>
              <w:rPr>
                <w:rFonts w:ascii="Times New Roman;Times;serif" w:hAnsi="Times New Roman;Times;serif"/>
                <w:b w:val="false"/>
                <w:i w:val="false"/>
                <w:caps w:val="false"/>
                <w:smallCaps w:val="false"/>
                <w:sz w:val="20"/>
              </w:rPr>
              <w:t>per warrant;</w:t>
            </w:r>
          </w:p>
        </w:tc>
      </w:tr>
    </w:tbl>
    <w:tbl>
      <w:tblPr>
        <w:tblW w:w="8841" w:type="dxa"/>
        <w:jc w:val="left"/>
        <w:tblInd w:w="20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a minimum of 30 days</w:t>
            </w:r>
            <w:r>
              <w:rPr>
                <w:caps w:val="false"/>
                <w:smallCaps w:val="false"/>
              </w:rPr>
              <w:t xml:space="preserve">’ </w:t>
            </w:r>
            <w:r>
              <w:rPr>
                <w:rFonts w:ascii="Times New Roman;Times;serif" w:hAnsi="Times New Roman;Times;serif"/>
                <w:b w:val="false"/>
                <w:i w:val="false"/>
                <w:caps w:val="false"/>
                <w:smallCaps w:val="false"/>
                <w:sz w:val="20"/>
              </w:rPr>
              <w:t>prior written notice of redemption (the “30-day redemption period”);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Class A ordinary shares equals or exceeds $18.00</w:t>
            </w:r>
            <w:r>
              <w:rPr>
                <w:caps w:val="false"/>
                <w:smallCaps w:val="false"/>
              </w:rPr>
              <w:t xml:space="preserve"> </w:t>
            </w:r>
            <w:r>
              <w:rPr>
                <w:rFonts w:ascii="Times New Roman;Times;serif" w:hAnsi="Times New Roman;Times;serif"/>
                <w:b w:val="false"/>
                <w:i w:val="false"/>
                <w:caps w:val="false"/>
                <w:smallCaps w:val="false"/>
                <w:sz w:val="20"/>
              </w:rPr>
              <w:t>per share (as adjusted for adjustments to the number of shares issuable upon exercise or the exercise price of a warrant) for any 20</w:t>
            </w:r>
            <w:r>
              <w:rPr>
                <w:caps w:val="false"/>
                <w:smallCaps w:val="false"/>
              </w:rPr>
              <w:t xml:space="preserve"> </w:t>
            </w:r>
            <w:r>
              <w:rPr>
                <w:rFonts w:ascii="Times New Roman;Times;serif" w:hAnsi="Times New Roman;Times;serif"/>
                <w:b w:val="false"/>
                <w:i w:val="false"/>
                <w:caps w:val="false"/>
                <w:smallCaps w:val="false"/>
                <w:sz w:val="20"/>
              </w:rPr>
              <w:t>trading days within a 30-trading day period commencing at least 30 days</w:t>
            </w:r>
            <w:r>
              <w:rPr>
                <w:caps w:val="false"/>
                <w:smallCaps w:val="false"/>
              </w:rPr>
              <w:t xml:space="preserve"> </w:t>
            </w:r>
            <w:r>
              <w:rPr>
                <w:rFonts w:ascii="Times New Roman;Times;serif" w:hAnsi="Times New Roman;Times;serif"/>
                <w:b w:val="false"/>
                <w:i w:val="false"/>
                <w:caps w:val="false"/>
                <w:smallCaps w:val="false"/>
                <w:sz w:val="20"/>
              </w:rPr>
              <w:t>after completion of the Company’s initial Business Combination and ending three</w:t>
            </w:r>
            <w:r>
              <w:rPr>
                <w:caps w:val="false"/>
                <w:smallCaps w:val="false"/>
              </w:rPr>
              <w:t xml:space="preserve"> </w:t>
            </w:r>
            <w:r>
              <w:rPr>
                <w:rFonts w:ascii="Times New Roman;Times;serif" w:hAnsi="Times New Roman;Times;serif"/>
                <w:b w:val="false"/>
                <w:i w:val="false"/>
                <w:caps w:val="false"/>
                <w:smallCaps w:val="false"/>
                <w:sz w:val="20"/>
              </w:rPr>
              <w:t>business days before the Company sends the notice of redemption to the warrant holders.</w:t>
            </w:r>
          </w:p>
        </w:tc>
      </w:tr>
    </w:tbl>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In addition, if (x) we issue additional Class A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our board of directors and, in the case of any such issuance to our initial shareholders or their affiliates, without taking into account any founder shares held by our initial shareholders or such affiliates, as applicable, prior to such issuance) (the “Newly Issued Price”), (y) the aggregate gross proceeds from such issuances represent more than 60% of the total equity proceeds (including from such issuances and from our Initial Public Offering),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then the exercise price of the warrants will be adjusted (to the nearest cent) to be equal to 115% of the higher of the Market Value and the Newly Issued Price, and the $18.00 per share redemption trigger price above be adjusted (to the nearest cent) to be equal to 180% of the higher of the Market Value and the Newly Issued Price.</w:t>
      </w:r>
    </w:p>
    <w:p>
      <w:pPr>
        <w:pStyle w:val="TextBody"/>
        <w:bidi w:val="0"/>
        <w:spacing w:before="0" w:after="0"/>
        <w:ind w:left="200" w:right="200" w:firstLine="360"/>
        <w:jc w:val="both"/>
        <w:rPr>
          <w:rFonts w:ascii="Times New Roman;Times;serif" w:hAnsi="Times New Roman;Times;serif"/>
          <w:sz w:val="20"/>
        </w:rPr>
      </w:pPr>
      <w:r>
        <w:rPr>
          <w:rFonts w:ascii="Times New Roman;Times;serif" w:hAnsi="Times New Roman;Times;serif"/>
          <w:sz w:val="20"/>
        </w:rPr>
        <w:t xml:space="preserve">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both"/>
        <w:rPr>
          <w:rFonts w:ascii="Times New Roman;Times;serif" w:hAnsi="Times New Roman;Times;serif"/>
          <w:sz w:val="20"/>
        </w:rPr>
      </w:pPr>
      <w:r>
        <w:rPr>
          <w:rFonts w:ascii="Times New Roman;Times;serif" w:hAnsi="Times New Roman;Times;serif"/>
          <w:sz w:val="20"/>
        </w:rPr>
        <w:t>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NOTE 4. PRIVATE PLACEMENT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Simultaneously with the closing of the Initial Public Offering on May 5, 2025, the Sponsor and Cantor purchased an aggregate of 6,800,000 Private Placement Warrants, each exercisable to purchase one Class A ordinary share at $11.50 per share, at a price of $1.00 per Private Placement Warrant, generating gross proceeds of $6,800,000. Of those 6,800,000 Private Placement Warrants, the Sponsor purchased 4,400,000 Private Placement Warrants and Cantor purchased 2,400,000 Private Placement Warrants. Each Private Placement Warrant entitles the registered holder to purchase one Class A ordinary share at a price of $11.50 per share, subject to adjustment.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Private Placement Warrants are identical to the public warrants sold in the Initial Public Offering except that, so long as they are held by the Sponsor, Cantor, or their permitted transferees,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Cantor and/or its designees, will not be exercisable more than five years from the commencement of sales in the Initial Public Offering in accordance with Financial Industry Regulatory Authority (“FINRA”) Rule 5110(g)(8).</w:t>
      </w:r>
    </w:p>
    <w:p>
      <w:pPr>
        <w:pStyle w:val="TextBody"/>
        <w:bidi w:val="0"/>
        <w:spacing w:before="0" w:after="240"/>
        <w:ind w:left="200" w:right="200" w:firstLine="360"/>
        <w:jc w:val="both"/>
        <w:rPr>
          <w:rFonts w:ascii="Times New Roman;Times;serif" w:hAnsi="Times New Roman;Times;serif"/>
          <w:sz w:val="20"/>
        </w:rPr>
      </w:pPr>
      <w:r>
        <w:rPr>
          <w:rFonts w:ascii="Times New Roman;Times;serif" w:hAnsi="Times New Roman;Times;serif"/>
          <w:sz w:val="20"/>
        </w:rPr>
        <w:t>The Sponsor, DirectorCo, and the Company’s officers and directors have entered into letter agreements with the Company, pursuant to which they have agreed to (i) waive their redemption rights with respect to their founder shares and public shares in connection with the completion of the initial Business Combination; (ii) waive their redemption rights with respect to their founder shares and public shares in connection with a shareholder vote to approve an amendment to the Articles (A) to modify the substance or timing of the Company’s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 negotiated transactions, aside from shares they may purchase in compliance with the requirements of Rule 14e-5 under the Exchange Act, which would not be voted in favor of approving the Business Combination) in favor of the initial Business Combination.</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NOTE 5. RELATED PARTY TRANSACTIONS</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November 12, 2024, the Sponsor and DirectorCo made a capital contribution of an aggregate of $25,000, or approximately $0.004 per share, to cover certain of the Company’s expenses, for which the Company issued an aggregate of 5,750,000 founder shares to the Sponsor and DirectorCo. On May 1, 2025, pursuant to a share recapitalization, the Company issued an additional 1,150,000 founder shares to the Sponsor (with DirectorCo waiving its entitlement to be issued additional founder shares in connection 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Company’s initial shareholders have agreed not to transfer, assign or sell any of their founder shares and any Class A ordinary shares issued upon conversion thereof until the earlier to occur of (i) one year after the completion of the initial Business Combination or (ii) the date on which the Company completes a liquidation, merger, share exchange or other similar transaction after the initial Business Combination that results in all of the Company’s shareholders having the right to exchange their Class A ordinary shares for cash, securities or other property. Any permitted transferees will be subject to the same restrictions and other agreements of the Company’s initial shareholders with respect to any founder shares (the “Lock-up”). Notwithstanding the foregoing,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 — Related Party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Sponsor had agreed to loan the Company an aggregate of up to $250,000 to be used for a portion of the expenses of the Initial Public Offering. The loan was non-interest bearing, unsecured and due at the earlier of May 31, 2025 or the closing of the Initial Public Offering. As of May 5, 2025, the Company had borrowed $250,000 under the Sponsor Promissory Note and was simultaneously paid with the closing of the Initial Public Offering. Borrowings under the Sponsor Promissory Note are no longer available.</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Administrative Services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Commencing on May 1, 2025, the effective date of the registration statements for the Initial Public Offering, the Company entered into an agreement with the Sponsor to pay an aggregate of $10,000 per month for office space, utilities, and secretarial and administrative support. For the three months ended March 31, 2026 and 2025, the Company incurred $30,000 and $0, respectively, in fees for these services. As of March 31, 2026 and December 31, 2025, the Company had accrued $60,000 and $30,000 on the condensed balance sheets, respectively.</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Loans</w:t>
      </w:r>
    </w:p>
    <w:p>
      <w:pPr>
        <w:pStyle w:val="TextBody"/>
        <w:bidi w:val="0"/>
        <w:spacing w:before="0" w:after="0"/>
        <w:ind w:left="200" w:right="200" w:firstLine="360"/>
        <w:jc w:val="both"/>
        <w:rPr>
          <w:rFonts w:ascii="Times New Roman;Times;serif" w:hAnsi="Times New Roman;Times;serif"/>
          <w:sz w:val="20"/>
        </w:rPr>
      </w:pPr>
      <w:r>
        <w:rPr>
          <w:rFonts w:ascii="Times New Roman;Times;serif" w:hAnsi="Times New Roman;Times;serif"/>
          <w:sz w:val="20"/>
        </w:rPr>
        <w:t>In order to finance transaction costs in connection with a Business Combination, the Sponsor or an affiliate of the Sponsor or certain of the Company’s officers and directors may, but are not obligated to, loan the Company funds as may be required.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warrants of the post Business Combination entity at a price of $1.00 per warrant at the option of the lender. The warrants would be identical to the Private Placement Warrants. As of March 31, 2026 and December 31, 2025, no such Working Capital Loans were outstanding.</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NOTE 6. COMMITMENTS AND CONTINGENCIES</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United States and global markets are experiencing volatility and disruption following the geopolitical instability resulting from the ongoing global conflicts in the Middle East, Europe, and Latin America.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On July 4, 2025, the U.S. government enacted tax reform, commonly referred to as the One Big Beautiful Bill Act (“OBBB”). OBBB amends U.S. tax law, including provisions related to bonus depreciation, interest expense limitation, research and development, global intangible low-taxed income, foreign derived intangible income and base erosion and anti-abuse tax. The Company evaluated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the provisions of the OBBB and determined that adoption of the new law did not have a material impact on its unaudited condensed financial statements or related disclosures.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Any of the above mentioned factors, or any other negative impact on the global economy, capital markets or other geopolitical conditions, could adversely affect the Company’s search for an initial Business Combination and any target business with which the Company may ultimately consummate an initial Business Combination.</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holders of the founder shares (and the Class A ordinary shares issuable upon conversion of the founder shares), Private Placement Warrants (and the Class A ordinary shares underlying such Private Placement Warrants), and private placement equivalent-warrants that may be issued upon conversion of the Working Capital Loans have registration rights to require the Company to register a sale of any of the Company’s securities held by them and any other securities of the Company acquired by them prior to the consummation of the initial Business Combination pursuant to a registration rights agreement signed on May 1, 2025, the effective date of the registration statements for the Initial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Notwithstanding anything to the contrary, Cantor may only make a demand on one occasion and only during the five-year period beginning from the commencement of sales in the Initial Public Offering. In addition, Cantor may participate in a “piggy-back” registration only during the seven-year period beginning from the commencement of sales in the Initial Public Offering. The Company will bear the expenses incurred in connection with the filing of any such registration statements.</w:t>
      </w:r>
    </w:p>
    <w:p>
      <w:pPr>
        <w:pStyle w:val="TextBody"/>
        <w:bidi w:val="0"/>
        <w:spacing w:before="0" w:after="24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 granted the underwriters a 45-day option from May 1, 2025, the effective date of the registration statements for the Initial Public Offering, to purchase up to an additional 3,600,000 Units to cover over-allotments, if any, at the Initial Public Offering price less underwriting discounts and commissions. On May 2, 2025, the underwriters fully exercised their over-allotment option, closing on the 3,600,000 additional Units simultaneously with the Initial Public Offering.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underwriters were entitled to a cash underwriting discount of $4,800,000, which was paid in cash to the underwriters at the closing of the Initial Public Offering.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Additionally, the underwriters are entitled to a deferred underwriting discount of 4.50% of the gross proceeds of the Initial Public Offering held in the Trust Account, other than the gross proceeds from Units sold pursuant to the underwriters’ over-allotment option, and 6.50% of the gross proceeds from Units sold pursuant to the underwriters’ over-allotment option, or $13,140,000 in the aggregate upon the completion of the Company’s initial Business Combination subject to the terms of the underwriting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December 17, 2025, the Company entered into a Fee Modification Agreement with Cantor in connection with its contemplated business combination with Factorial Inc., pursuant to which Cantor agreed to modify the previously agreed $13,140,000 deferred underwriting commission. If the business combination with Factorial Inc. is consummated, the Company (or the target or successor) will pay Cantor a non-refundable modified deferred fee payable at closing equal to $3.75 million plus amounts based on the value of public shares not redeemed in the transaction, subject to an aggregate cap of $13.0 million.</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Business Combination Agreement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On December 17, 2025, the Company, Fenway MS, Inc., a Delaware corporation (“Merger Sub”), and Factorial Inc., a Delaware corporation (“Factorial”), entered into a Business Combination Agreement (as it may be amended, supplemented or otherwise modified from time to time, the “Business Combination Agreement”). The Business Combination Agreement and the transactions contemplated thereby (the “Business Combination”) were unanimously approved by the boards of directors and special committees comprised of independent and disinterested members of the boards of directors of each of the Company and Factorial. The Business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Combination is expected to close in mid-2026, following the receipt of the requisite approvals of the Company’s shareholders and Factorial stockholders and the fulfillment of other customary closing conditions.</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Amendment to Business Combination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March 26, 2026, the Company, Merger Sub and Factorial entered into an Amendment to the Business Combination Agreement (the “BCA Amendment”). The BCA Amendment, among other things, (A) amends the sixth paragraph of the Preamble and inserts a new clause (a) into Section 2.1 of the Business Combination Agreement to provide that the redemption of the Company’s shares in connection with the Closing of the Business Combination (the “Shareholder Redemption”) shall occur at least one day prior to the Domestication, thereby clarifying the timing and sequencing of the Shareholder Redemption relative to the Domestication; (B) amends certain definitions, including the definition of “Ancillary Documents” to remove references to the “CGC Private Warrant Exchange Agreement”, the definition of “Company Convertible Notes” to mean any convertible note or other equity-linked debt instrument convertible into Equity Securities of the Company or any of its subsidiaries outstanding as of the Merger Effective Time; (C) amends clause (b)(iii) of Section 5.8 of the Business Combination Agreement to bifurcate the previously singular “Nasdaq Proposal” into two distinct proposals to be submitted to the Company’s shareholders for approval: (i) the adoption and approval of the issuance of shares in connection with the transactions contemplated by the Business Combination Agreement and (ii) the adoption and approval of the issuance of shares in connection with the PIPE Financing (as defined below), and consequently update the definition of “Nasdaq Proposal” to read “Nasdaq Proposals;” and (D) amend and restate Sections 5.21 and 5.22 of the Business Combination Agreement to remove the provisions related to an exchange of the Company’s Public Warrants and Private Placement Warrants (the “Warrant Exchange”).</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Sponsor Support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Concurrently with the execution of the Business Combination Agreement, the Company, Sponsor and Factorial entered into the Sponsor Support Agreement (the “Sponsor Support Agreement”), pursuant to which the Sponsor, as a holder of the Company’s Class B ordinary shares (the “Sponsor Shares”), has agreed to, among other things, (i) vote in favor of the Business Combination Agreement and the Business Combination, (ii) waive any adjustment to the conversion ratio set forth in the governing documents of the Company or any other anti-dilution or similar protection with respect to the Class B ordinary shares (whether resulting from the transactions contemplated by the Business Combination Agreement or otherwise), (iii) be bound by certain other covenants and agreements related to the Business Combination, (iv) be bound by certain transfer restrictions with respect to its shares in the Company prior to the closing of the Business Combination, (v) be subject to certain transfer restrictions provided in the bylaws to of New Factorial become effective at the closing of the Business Combination, and (vi) waive redemption rights with respect to the Sponsor Shares, in each case, on the terms and subject to the conditions set forth in the Sponsor Support Agreement.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On March 26, 2026, Sponsor and Factorial entered into an Amendment to the Sponsor Support Agreement (the “SSA Amendment”). The SSA Amendment (a) deletes the provision in Section 1 of the Sponsor Support Agreement that required the Sponsor, until the closing of the Business Combination or the earlier termination of the Business Combination Agreement, to cause all of its Private Placement Warrants to be present for quorum purposes at any meeting or written consent of the Company warrant holders and to vote or consent such warrants in favor of the warrant agreement amendment contemplated by the Warrant Exchange; and (b) amends and restates Section 2 of the Sponsor Support Agreement in its entirety to read “[Reserved.],” thereby removing the provisions relating to the Warrant Exchange.</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PIPE Financing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Concurrently with the execution of the Business Combination Agreement, the Company entered into a Stock Purchase Agreement (the “Sponsor Stock Purchase Agreement”) with an affiliate of the Sponsor (the “Sponsor Investor”) and a Stock Purchase Agreement (the “Institutional Investor Stock Purchase Agreement,” and together with the Sponsor Stock Purchase Agreement, “Investor Stock Purchase Agreements”) with a certain institutional investor (the “Institutional Investor,” and together with the Sponsor Investor, the “PIPE Investors”).</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Pursuant to the Investor Stock Purchase Agreements, the PIPE Investors agreed to subscribe for and purchase, and the Company agreed to issue and sell to the PIPE Investors, at the closing of the Business Combination, an aggregate of 9,927,184 shares of New Factorial Series A Common Stock, at an average subscription price of $10.08 per share (assuming a Redemption Price (as defined in the Company’s certificate of incorporation) of $10.30 per share) for aggregate gross proceeds of $100,000,000 (the “PIPE Financing”). The Institutional Investor subscribed for 7,500,000 shares of New Factorial Series A Common Stock at a subscription price of $10.00 per share, and the Sponsor Investor subscribed for 2,427,184 shares of New Factorial Series A Common Stock (assuming a Redemption Price of $10.30 per share) at a subscription price equal to the Redemption Price. Pursuant to the Investor Stock Purchase Agreements, the Sponsor will transfer at the closing of the Business Combination (which transfer may be indirectly through forfeiture and reissuance) an aggregate of 750,000 shares of New Factorial Series A Common Stock to the Institutional Investor and 250,000 shares of New Factorial Series A Common Stock to the Sponsor Investor. The average subscription prices are $9.09 per share and $9.34 per share for the Institutional Investor and the Sponsor Investor, respectively, assuming a Redemption Price of $10.30 per share and taking into account the foregoing transfers from the Sponsor.</w:t>
      </w:r>
    </w:p>
    <w:p>
      <w:pPr>
        <w:pStyle w:val="TextBody"/>
        <w:bidi w:val="0"/>
        <w:spacing w:before="0" w:after="240"/>
        <w:ind w:left="200" w:right="200" w:hanging="0"/>
        <w:jc w:val="both"/>
        <w:rPr>
          <w:rFonts w:ascii="Times New Roman;Times;serif" w:hAnsi="Times New Roman;Times;serif"/>
          <w:b/>
          <w:sz w:val="20"/>
        </w:rPr>
      </w:pPr>
      <w:r>
        <w:rPr>
          <w:rFonts w:ascii="Times New Roman;Times;serif" w:hAnsi="Times New Roman;Times;serif"/>
          <w:b/>
          <w:sz w:val="20"/>
        </w:rPr>
        <w:t>Registration Rights Agreement</w:t>
      </w:r>
    </w:p>
    <w:p>
      <w:pPr>
        <w:pStyle w:val="TextBody"/>
        <w:bidi w:val="0"/>
        <w:spacing w:before="0" w:after="0"/>
        <w:ind w:left="200" w:right="200" w:firstLine="360"/>
        <w:jc w:val="both"/>
        <w:rPr>
          <w:rFonts w:ascii="Times New Roman;Times;serif" w:hAnsi="Times New Roman;Times;serif"/>
          <w:sz w:val="20"/>
        </w:rPr>
      </w:pPr>
      <w:r>
        <w:rPr>
          <w:rFonts w:ascii="Times New Roman;Times;serif" w:hAnsi="Times New Roman;Times;serif"/>
          <w:sz w:val="20"/>
        </w:rPr>
        <w:t>In connection with the closing of the Business Combination, New Factorial (the resulting post-Closing entity, “New Factorial”), Sponsor, Cantor and certain stockholders of Factorial will enter into an amended and restated registration rights agreement (the “Registration Rights Agreement”). Pursuant to the Registration Rights Agreement, among other things, New Factorial will agree that, within 30 calendar days following the closing of the Business Combination, New Factorial will file with the SEC (at New Factorial’s sole cost and expense) a registration statement registering the resale of certain shares of New Factorial Series A Common Stock held by or issuable to the parties thereto (the “Resale Registration Statement”), and New Factorial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w:t>
      </w:r>
    </w:p>
    <w:p>
      <w:pPr>
        <w:pStyle w:val="TextBody"/>
        <w:bidi w:val="0"/>
        <w:spacing w:before="0" w:after="0"/>
        <w:ind w:left="200" w:right="200" w:hanging="0"/>
        <w:jc w:val="left"/>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NOTE 7. SHAREHOLDERS’ DEFICIT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i/>
          <w:sz w:val="20"/>
        </w:rPr>
        <w:t>Preference Shares</w:t>
      </w:r>
      <w:r>
        <w:rPr>
          <w:rFonts w:ascii="Times New Roman;Times;serif" w:hAnsi="Times New Roman;Times;serif"/>
          <w:sz w:val="20"/>
        </w:rPr>
        <w:t> — The Company is authorized to issue a total of 1,000,000 preference shares at par value of $0.0001 each. At March 31, 2026 and December 31, 2025, there were no preference shares issued or outstanding.</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i/>
          <w:sz w:val="20"/>
        </w:rPr>
        <w:t>Class A Ordinary Shares —</w:t>
      </w:r>
      <w:r>
        <w:rPr>
          <w:rFonts w:ascii="Times New Roman;Times;serif" w:hAnsi="Times New Roman;Times;serif"/>
          <w:sz w:val="20"/>
        </w:rPr>
        <w:t> The Company is authorized to issue a total of 200,000,000 Class A ordinary shares at par value of $0.0001 each. At March 31, 2026 and December 31, 2025, there were no shares of Class A ordinary shares issued or outstanding, excluding the 27,600,000 shares subject to possible redemption, respectively.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b/>
          <w:i/>
          <w:sz w:val="20"/>
        </w:rPr>
        <w:t>Class B Ordinary Shares —</w:t>
      </w:r>
      <w:r>
        <w:rPr>
          <w:rFonts w:ascii="Times New Roman;Times;serif" w:hAnsi="Times New Roman;Times;serif"/>
          <w:sz w:val="20"/>
        </w:rPr>
        <w:t> The Company is authorized to issue a total of 20,000,000 Class B ordinary shares at par value of $0.0001 each. On November 12, 2024, the Company issued an aggregate of 5,750,000 Class B ordinary shares to the Sponsor and DirectorCo for $25,000, or approximately $0.004 per share. On May 1, 2025, pursuant to a share recapitalization, the Company issued an additional 1,150,000 founder shares to the Sponsor (with DirectorCo waiving its entitlement to be issued additional founder shares in connection therewith and directing the Company to issue its allotment to the Sponsor), resulting in the Company’s initial shareholders holding an aggregate of 6,900,000 founder shares. On May 2, 2025, the underwriters exercised their over-allotment option in full, which was settled as part of the closing of the Initial Public Offering. As a result of the underwriters’ election to fully exercise their over-allotment option, 900,000 founder shares are no longer subject to forfeiture by the Sponsor.</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founder shares will automatically convert into Class A ordinary shares concurrently with or immediately following the consummation of the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20% of the sum of (i) the total number of all Class A ordinary shares outstanding upon the completion of the Initial Public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Offering (including any Class A ordinary shares issued pursuant to the underwriters’ over-allotment option and excluding the Class A ordinary shares underlying the Private Placement Warrants),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warrants issued to the Sponsor or any of its affiliates or to the Company’s officers or directors upon conversion of Working Capital Loans) minus (iii) any redemptions of Class A ordinary shares; by public shareholders in connection with an initial business combination; provided that such conversion of founder shares will never occur on a less than one-for-one basis.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Holders of record of the Company’s Class A ordinary shares and Class B ordinary shares are entitled to one vote for each share held on all matters to be voted on by shareholders. Unless specified in the Articles or as required by the Companies Act (Revised) of the Cayman Islands, as the same may be amended from time to time, or stock exchange rules, an ordinary resolution under Cayman Islands law and the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of the Company, and pursuant to the Articles, such actions include amending the Articles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Holders of record of the Company’s Class A ordinary shares and Class B ordinary shares are entitled to one vote for each share held on all matters to be voted on by shareholders. Unless specified in the Articles or as required by the Companies Act (Revised) of the Cayman Islands, as the same may be amended from time to time, or stock exchange rules, an ordinary resolution under Cayman Islands law and the Articles,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the Company’s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of the Company, and pursuant to the Articles, such actions include amending the Articles and approving a statutory merger or consolidation with another company. There is no cumulative voting with respect to the appointment of directors, meaning, following the Company’s initial Business Combination, the holders of more than 50% of the ordinary shares voted for the appointment of directors can elect all of the directors. Prior to the consummation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Holders of the Class A ordinary shares will not be entitled to vote on these matters during such time. These provisions of the Articles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pStyle w:val="TextBody"/>
        <w:bidi w:val="0"/>
        <w:spacing w:before="0" w:after="240"/>
        <w:ind w:left="200" w:right="200" w:hanging="0"/>
        <w:jc w:val="both"/>
        <w:rPr/>
      </w:pPr>
      <w:r>
        <w:rPr/>
        <w:t>​</w:t>
      </w:r>
    </w:p>
    <w:p>
      <w:pPr>
        <w:pStyle w:val="TextBody"/>
        <w:bidi w:val="0"/>
        <w:spacing w:before="0" w:after="0"/>
        <w:ind w:left="200" w:right="200" w:hanging="0"/>
        <w:jc w:val="left"/>
        <w:rPr>
          <w:rFonts w:ascii="Times New Roman;Times;serif" w:hAnsi="Times New Roman;Times;serif"/>
          <w:b/>
          <w:sz w:val="20"/>
        </w:rPr>
      </w:pPr>
      <w:r>
        <w:rPr>
          <w:rFonts w:ascii="Times New Roman;Times;serif" w:hAnsi="Times New Roman;Times;serif"/>
          <w:b/>
          <w:sz w:val="20"/>
        </w:rPr>
        <w:t>NOTE 8. FAIR VALUE MEASUREMENTS</w:t>
      </w:r>
    </w:p>
    <w:p>
      <w:pPr>
        <w:pStyle w:val="TextBody"/>
        <w:bidi w:val="0"/>
        <w:spacing w:before="0" w:after="0"/>
        <w:ind w:left="200" w:right="200" w:hanging="0"/>
        <w:jc w:val="left"/>
        <w:rPr/>
      </w:pPr>
      <w:r>
        <w:rPr/>
        <w: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left"/>
        <w:rPr>
          <w:rFonts w:ascii="Times New Roman;Times;serif" w:hAnsi="Times New Roman;Times;serif"/>
          <w:sz w:val="20"/>
        </w:rPr>
      </w:pPr>
      <w:bookmarkStart w:id="487" w:name="Tc_pM13GFOynke-QpeYHekMtg_5_0"/>
      <w:bookmarkStart w:id="488" w:name="Tc_tZLI-Shq_UiM3qUjGrjcvw_4_0"/>
      <w:bookmarkStart w:id="489" w:name="Tc_HvMslKgTBkyIqB6v9C-J6A_3_2"/>
      <w:bookmarkStart w:id="490" w:name="Tc_jGWVpcumIEitIrbLSdw1PQ_3_0"/>
      <w:bookmarkStart w:id="491" w:name="Tc_nE5gs5PLUUetk8xWyOSDpg_2_0"/>
      <w:bookmarkStart w:id="492" w:name="Tc_RFP6kQa_nE2UaaDLaHZt1w_1_4"/>
      <w:bookmarkStart w:id="493" w:name="Tc_3qnBq67USUKU-D5JpIxpfw_1_2"/>
      <w:bookmarkStart w:id="494" w:name="Tc_VBjF0YhfOkK-pSCuiu9SwQ_1_0"/>
      <w:bookmarkStart w:id="495" w:name="Tc_XsGJcrYU4kq6XVuWpOJtmg_6_0"/>
      <w:bookmarkStart w:id="496" w:name="Tc_B7T3_hbCqkead0shvU9sgQ_5_2"/>
      <w:bookmarkStart w:id="497" w:name="Tc_ZWXrpCe2yE6JFTdi2aqKcQ_5_0"/>
      <w:bookmarkStart w:id="498" w:name="Tc_ki9qt-5xrUOiG57zS2CtMg_4_4"/>
      <w:bookmarkStart w:id="499" w:name="Tc_YBO3rh9UsU66tqjI60hXIA_4_0"/>
      <w:bookmarkStart w:id="500" w:name="Tc_dw0s2vQF5UiLuCHW_Jhy_w_3_4"/>
      <w:bookmarkStart w:id="501" w:name="Tc_PEXmR--mpkepSXPneZJgmQ_3_0"/>
      <w:bookmarkStart w:id="502" w:name="Tc_nidQ25urOEuLiCGfsLP8_g_2_4"/>
      <w:bookmarkStart w:id="503" w:name="Tc_V5FEs073Vka2p3fwh69Yzw_2_0"/>
      <w:bookmarkStart w:id="504" w:name="Tc_W-wJJ5-c102ZpmpV55kXjg_1_2"/>
      <w:bookmarkStart w:id="505" w:name="Tc_9TG_7wJFT02kj9vr0YGOMQ_2_7"/>
      <w:bookmarkStart w:id="506" w:name="Tc_aCsUd-N-Pk2kMnn4PV3niw_2_4"/>
      <w:bookmarkStart w:id="507" w:name="Tc_Oyk5pSJqa0mTPVzmi0_KTQ_2_2"/>
      <w:bookmarkStart w:id="508" w:name="Tc_xqATTiXzf0OWth3kwH1BXw_2_0"/>
      <w:bookmarkStart w:id="509" w:name="Tc_U95KvzIux0yumt6fMvNJwg_1_7"/>
      <w:bookmarkStart w:id="510" w:name="Tc_x8UcVu0a4EWSW9OXlwZZyw_1_4"/>
      <w:bookmarkStart w:id="511" w:name="Tc_Txh-ad4iMU6xgqDXlY7f_A_1_2"/>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Pr>
          <w:rFonts w:ascii="Times New Roman;Times;serif" w:hAnsi="Times New Roman;Times;serif"/>
          <w:sz w:val="20"/>
        </w:rPr>
        <w:t>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tbl>
      <w:tblPr>
        <w:tblW w:w="9805" w:type="dxa"/>
        <w:jc w:val="left"/>
        <w:tblInd w:w="200" w:type="dxa"/>
        <w:tblLayout w:type="fixed"/>
        <w:tblCellMar>
          <w:top w:w="0" w:type="dxa"/>
          <w:left w:w="0" w:type="dxa"/>
          <w:bottom w:w="0" w:type="dxa"/>
          <w:right w:w="0" w:type="dxa"/>
        </w:tblCellMar>
      </w:tblPr>
      <w:tblGrid>
        <w:gridCol w:w="670"/>
        <w:gridCol w:w="9135"/>
      </w:tblGrid>
      <w:tr>
        <w:trPr/>
        <w:tc>
          <w:tcPr>
            <w:tcW w:w="6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1:</w:t>
            </w:r>
          </w:p>
        </w:tc>
        <w:tc>
          <w:tcPr>
            <w:tcW w:w="9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bl>
    <w:p>
      <w:pPr>
        <w:pStyle w:val="TextBody"/>
        <w:pBdr/>
        <w:bidi w:val="0"/>
        <w:spacing w:before="0" w:after="0"/>
        <w:ind w:left="200" w:right="200" w:hanging="1080"/>
        <w:jc w:val="both"/>
        <w:rPr/>
      </w:pPr>
      <w:r>
        <w:rPr/>
        <w:t>​</w:t>
      </w:r>
    </w:p>
    <w:tbl>
      <w:tblPr>
        <w:tblW w:w="9805" w:type="dxa"/>
        <w:jc w:val="left"/>
        <w:tblInd w:w="200" w:type="dxa"/>
        <w:tblLayout w:type="fixed"/>
        <w:tblCellMar>
          <w:top w:w="0" w:type="dxa"/>
          <w:left w:w="0" w:type="dxa"/>
          <w:bottom w:w="0" w:type="dxa"/>
          <w:right w:w="0" w:type="dxa"/>
        </w:tblCellMar>
      </w:tblPr>
      <w:tblGrid>
        <w:gridCol w:w="684"/>
        <w:gridCol w:w="9121"/>
      </w:tblGrid>
      <w:tr>
        <w:trPr/>
        <w:tc>
          <w:tcPr>
            <w:tcW w:w="6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2:</w:t>
            </w:r>
          </w:p>
        </w:tc>
        <w:tc>
          <w:tcPr>
            <w:tcW w:w="91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Observable inputs other than Level 1 inputs. Examples of Level 2 inputs include quoted prices in active markets for similar assets or liabilities and quoted prices for identical assets or liabilities in markets that are not active.</w:t>
            </w:r>
          </w:p>
        </w:tc>
      </w:tr>
    </w:tbl>
    <w:p>
      <w:pPr>
        <w:pStyle w:val="TextBody"/>
        <w:pBdr/>
        <w:bidi w:val="0"/>
        <w:spacing w:before="0" w:after="0"/>
        <w:ind w:left="200" w:right="200" w:hanging="1080"/>
        <w:jc w:val="both"/>
        <w:rPr/>
      </w:pPr>
      <w:r>
        <w:rPr/>
        <w:t>​</w:t>
      </w:r>
    </w:p>
    <w:tbl>
      <w:tblPr>
        <w:tblW w:w="9805" w:type="dxa"/>
        <w:jc w:val="left"/>
        <w:tblInd w:w="200" w:type="dxa"/>
        <w:tblLayout w:type="fixed"/>
        <w:tblCellMar>
          <w:top w:w="0" w:type="dxa"/>
          <w:left w:w="0" w:type="dxa"/>
          <w:bottom w:w="0" w:type="dxa"/>
          <w:right w:w="0" w:type="dxa"/>
        </w:tblCellMar>
      </w:tblPr>
      <w:tblGrid>
        <w:gridCol w:w="763"/>
        <w:gridCol w:w="9042"/>
      </w:tblGrid>
      <w:tr>
        <w:trPr/>
        <w:tc>
          <w:tcPr>
            <w:tcW w:w="7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3:</w:t>
            </w:r>
          </w:p>
        </w:tc>
        <w:tc>
          <w:tcPr>
            <w:tcW w:w="90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Unobservable inputs based on assessment of the assumptions that market participants would use in pricing the asset or liability.</w:t>
            </w:r>
          </w:p>
        </w:tc>
      </w:tr>
    </w:tbl>
    <w:p>
      <w:pPr>
        <w:pStyle w:val="TextBody"/>
        <w:bidi w:val="0"/>
        <w:spacing w:before="0" w:after="0"/>
        <w:ind w:left="200" w:right="200" w:hanging="0"/>
        <w:jc w:val="both"/>
        <w:rPr/>
      </w:pPr>
      <w:r>
        <w:rPr/>
        <w:t>​</w:t>
      </w:r>
    </w:p>
    <w:tbl>
      <w:tblPr>
        <w:tblW w:w="7163" w:type="dxa"/>
        <w:jc w:val="left"/>
        <w:tblInd w:w="200" w:type="dxa"/>
        <w:tblLayout w:type="fixed"/>
        <w:tblCellMar>
          <w:top w:w="0" w:type="dxa"/>
          <w:left w:w="0" w:type="dxa"/>
          <w:bottom w:w="0" w:type="dxa"/>
          <w:right w:w="0" w:type="dxa"/>
        </w:tblCellMar>
      </w:tblPr>
      <w:tblGrid>
        <w:gridCol w:w="2911"/>
        <w:gridCol w:w="286"/>
        <w:gridCol w:w="496"/>
        <w:gridCol w:w="286"/>
        <w:gridCol w:w="211"/>
        <w:gridCol w:w="1141"/>
        <w:gridCol w:w="286"/>
        <w:gridCol w:w="223"/>
        <w:gridCol w:w="1323"/>
      </w:tblGrid>
      <w:tr>
        <w:trPr/>
        <w:tc>
          <w:tcPr>
            <w:tcW w:w="29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ind w:left="0" w:right="0" w:hanging="0"/>
              <w:jc w:val="left"/>
              <w:rPr>
                <w:sz w:val="4"/>
                <w:szCs w:val="4"/>
              </w:rPr>
            </w:pPr>
            <w:r>
              <w:rPr>
                <w:sz w:val="4"/>
                <w:szCs w:val="4"/>
              </w:rPr>
            </w:r>
          </w:p>
        </w:tc>
      </w:tr>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848485" cy="175260"/>
                      <wp:effectExtent l="0" t="0" r="0" b="0"/>
                      <wp:wrapNone/>
                      <wp:docPr id="416" name="Frame415"/>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81610" cy="175260"/>
                      <wp:effectExtent l="0" t="0" r="0" b="0"/>
                      <wp:wrapNone/>
                      <wp:docPr id="417" name="Frame41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14960" cy="175260"/>
                      <wp:effectExtent l="0" t="0" r="0" b="0"/>
                      <wp:wrapNone/>
                      <wp:docPr id="418" name="Frame417"/>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81610" cy="175260"/>
                      <wp:effectExtent l="0" t="0" r="0" b="0"/>
                      <wp:wrapNone/>
                      <wp:docPr id="419" name="Frame41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0"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724535" cy="175260"/>
                      <wp:effectExtent l="0" t="0" r="0" b="0"/>
                      <wp:wrapNone/>
                      <wp:docPr id="421" name="Frame42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81610" cy="175260"/>
                      <wp:effectExtent l="0" t="0" r="0" b="0"/>
                      <wp:wrapNone/>
                      <wp:docPr id="422" name="Frame42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41605" cy="175260"/>
                      <wp:effectExtent l="0" t="0" r="0" b="0"/>
                      <wp:wrapNone/>
                      <wp:docPr id="423" name="Frame42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840105" cy="175260"/>
                      <wp:effectExtent l="0" t="0" r="0" b="0"/>
                      <wp:wrapNone/>
                      <wp:docPr id="424" name="Frame423"/>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286" w:type="dxa"/>
            <w:tcBorders/>
            <w:vAlign w:val="center"/>
          </w:tcPr>
          <w:p>
            <w:pPr>
              <w:pStyle w:val="TableContents"/>
              <w:bidi w:val="0"/>
              <w:spacing w:before="0" w:after="0"/>
              <w:ind w:left="0" w:right="0" w:hanging="0"/>
              <w:jc w:val="center"/>
              <w:rPr/>
            </w:pPr>
            <w:r>
              <w:rPr/>
              <w:t>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286" w:type="dxa"/>
            <w:tcBorders/>
            <w:vAlign w:val="center"/>
          </w:tcPr>
          <w:p>
            <w:pPr>
              <w:pStyle w:val="TableContents"/>
              <w:bidi w:val="0"/>
              <w:spacing w:before="0" w:after="0"/>
              <w:ind w:left="0" w:right="0" w:hanging="0"/>
              <w:jc w:val="center"/>
              <w:rPr/>
            </w:pPr>
            <w:r>
              <w:rPr/>
              <w:t>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in Trust Account</w:t>
            </w:r>
          </w:p>
        </w:tc>
        <w:tc>
          <w:tcPr>
            <w:tcW w:w="28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285,868,994</w:t>
            </w:r>
          </w:p>
        </w:tc>
        <w:tc>
          <w:tcPr>
            <w:tcW w:w="28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283,377,276</w:t>
            </w:r>
          </w:p>
        </w:tc>
      </w:tr>
    </w:tbl>
    <w:p>
      <w:pPr>
        <w:pStyle w:val="TextBody"/>
        <w:bidi w:val="0"/>
        <w:spacing w:before="0" w:after="0"/>
        <w:ind w:left="200" w:right="200" w:hanging="0"/>
        <w:jc w:val="both"/>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fair value of the public warrants at issuance was $3,132,600 or $0.227 per public warrant. The fair value of the private warrants at issuance was $1,567,638 or $0.231 per private warrant. The fair value of public and private warrants were determined using </w:t>
      </w:r>
      <w:r>
        <w:rPr>
          <w:rFonts w:ascii="Times New Roman;Times;serif" w:hAnsi="Times New Roman;Times;serif"/>
          <w:b w:val="false"/>
          <w:i w:val="false"/>
          <w:caps w:val="false"/>
          <w:smallCaps w:val="false"/>
          <w:sz w:val="20"/>
        </w:rPr>
        <w:t>Monte Carlo</w:t>
      </w:r>
      <w:r>
        <w:rPr>
          <w:rFonts w:ascii="Times New Roman;Times;serif" w:hAnsi="Times New Roman;Times;serif"/>
          <w:sz w:val="20"/>
        </w:rPr>
        <w:t xml:space="preserve"> Simulation Model. The public and private warrants have been classified within shareholders’ deficit and will not require remeasurement after issuance.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presents the quantitative information regarding market assumptions used in the valuation of the public and private warrants</w:t>
      </w:r>
    </w:p>
    <w:p>
      <w:pPr>
        <w:pStyle w:val="TextBody"/>
        <w:bidi w:val="0"/>
        <w:spacing w:before="0" w:after="0"/>
        <w:ind w:left="200" w:right="200" w:hanging="0"/>
        <w:jc w:val="left"/>
        <w:rPr/>
      </w:pPr>
      <w:r>
        <w:rPr/>
        <w:t>​</w:t>
      </w:r>
    </w:p>
    <w:tbl>
      <w:tblPr>
        <w:tblW w:w="7174" w:type="dxa"/>
        <w:jc w:val="left"/>
        <w:tblInd w:w="200" w:type="dxa"/>
        <w:tblLayout w:type="fixed"/>
        <w:tblCellMar>
          <w:top w:w="0" w:type="dxa"/>
          <w:left w:w="0" w:type="dxa"/>
          <w:bottom w:w="0" w:type="dxa"/>
          <w:right w:w="0" w:type="dxa"/>
        </w:tblCellMar>
      </w:tblPr>
      <w:tblGrid>
        <w:gridCol w:w="5491"/>
        <w:gridCol w:w="346"/>
        <w:gridCol w:w="275"/>
        <w:gridCol w:w="746"/>
        <w:gridCol w:w="316"/>
      </w:tblGrid>
      <w:tr>
        <w:trPr/>
        <w:tc>
          <w:tcPr>
            <w:tcW w:w="54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486785" cy="175260"/>
                      <wp:effectExtent l="0" t="0" r="0" b="0"/>
                      <wp:wrapNone/>
                      <wp:docPr id="425" name="Frame424"/>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426"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74625" cy="175260"/>
                      <wp:effectExtent l="0" t="0" r="0" b="0"/>
                      <wp:wrapNone/>
                      <wp:docPr id="427" name="Frame42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73710" cy="175260"/>
                      <wp:effectExtent l="0" t="0" r="0" b="0"/>
                      <wp:wrapNone/>
                      <wp:docPr id="428" name="Frame427"/>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0660" cy="175260"/>
                      <wp:effectExtent l="0" t="0" r="0" b="0"/>
                      <wp:wrapNone/>
                      <wp:docPr id="429" name="Frame4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5, 2025</w:t>
            </w:r>
          </w:p>
        </w:tc>
        <w:tc>
          <w:tcPr>
            <w:tcW w:w="316" w:type="dxa"/>
            <w:tcBorders/>
            <w:vAlign w:val="center"/>
          </w:tcPr>
          <w:p>
            <w:pPr>
              <w:pStyle w:val="TableContents"/>
              <w:bidi w:val="0"/>
              <w:spacing w:before="0" w:after="0"/>
              <w:ind w:left="0" w:right="0" w:hanging="0"/>
              <w:jc w:val="center"/>
              <w:rPr/>
            </w:pPr>
            <w:r>
              <w:rPr/>
              <w:t> </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 </w:t>
            </w:r>
          </w:p>
        </w:tc>
        <w:tc>
          <w:tcPr>
            <w:tcW w:w="27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3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 implied likelihood of completing a Business Combination</w:t>
            </w:r>
          </w:p>
        </w:tc>
        <w:tc>
          <w:tcPr>
            <w:tcW w:w="346" w:type="dxa"/>
            <w:tcBorders/>
            <w:shd w:fill="CCEEFF" w:val="clear"/>
            <w:vAlign w:val="center"/>
          </w:tcPr>
          <w:p>
            <w:pPr>
              <w:pStyle w:val="TableContents"/>
              <w:bidi w:val="0"/>
              <w:spacing w:before="0" w:after="0"/>
              <w:ind w:left="0" w:right="0" w:hanging="0"/>
              <w:jc w:val="left"/>
              <w:rPr/>
            </w:pPr>
            <w:r>
              <w:rPr/>
              <w:t> </w:t>
            </w:r>
          </w:p>
        </w:tc>
        <w:tc>
          <w:tcPr>
            <w:tcW w:w="27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9.886</w:t>
            </w:r>
          </w:p>
        </w:tc>
        <w:tc>
          <w:tcPr>
            <w:tcW w:w="316" w:type="dxa"/>
            <w:tcBorders/>
            <w:vAlign w:val="center"/>
          </w:tcPr>
          <w:p>
            <w:pPr>
              <w:pStyle w:val="TableContents"/>
              <w:bidi w:val="0"/>
              <w:spacing w:before="0" w:after="0"/>
              <w:ind w:left="0" w:right="0" w:hanging="0"/>
              <w:jc w:val="left"/>
              <w:rPr/>
            </w:pPr>
            <w:r>
              <w:rPr/>
              <w:t>​</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terms (Yrs)</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200" w:right="200" w:hanging="0"/>
        <w:jc w:val="left"/>
        <w:rPr/>
      </w:pPr>
      <w:r>
        <w:rPr/>
        <w:t>​</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market implied likelihood of completing a Business Combination was determined by analyzing the quoted market prices of the rights for similar companies that included rights in their units. The criteria used was:</w:t>
      </w:r>
    </w:p>
    <w:p>
      <w:pPr>
        <w:pStyle w:val="TextBody"/>
        <w:bidi w:val="0"/>
        <w:spacing w:before="0" w:after="0"/>
        <w:ind w:left="200" w:right="200" w:hanging="0"/>
        <w:jc w:val="left"/>
        <w:rPr/>
      </w:pPr>
      <w:r>
        <w:rPr/>
        <w:t>​</w:t>
      </w:r>
    </w:p>
    <w:tbl>
      <w:tblPr>
        <w:tblW w:w="4340" w:type="dxa"/>
        <w:jc w:val="left"/>
        <w:tblInd w:w="200" w:type="dxa"/>
        <w:tblLayout w:type="fixed"/>
        <w:tblCellMar>
          <w:top w:w="0" w:type="dxa"/>
          <w:left w:w="0" w:type="dxa"/>
          <w:bottom w:w="0" w:type="dxa"/>
          <w:right w:w="0" w:type="dxa"/>
        </w:tblCellMar>
      </w:tblPr>
      <w:tblGrid>
        <w:gridCol w:w="2671"/>
        <w:gridCol w:w="346"/>
        <w:gridCol w:w="466"/>
        <w:gridCol w:w="346"/>
        <w:gridCol w:w="511"/>
      </w:tblGrid>
      <w:tr>
        <w:trPr/>
        <w:tc>
          <w:tcPr>
            <w:tcW w:w="26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696085" cy="175260"/>
                      <wp:effectExtent l="0" t="0" r="0" b="0"/>
                      <wp:wrapNone/>
                      <wp:docPr id="430" name="Frame429"/>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1"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95910" cy="175260"/>
                      <wp:effectExtent l="0" t="0" r="0" b="0"/>
                      <wp:wrapNone/>
                      <wp:docPr id="432" name="Frame43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3"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324485" cy="175260"/>
                      <wp:effectExtent l="0" t="0" r="0" b="0"/>
                      <wp:wrapNone/>
                      <wp:docPr id="434" name="Frame43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Criteria</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Low</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High</w:t>
            </w:r>
          </w:p>
        </w:tc>
      </w:tr>
      <w:tr>
        <w:trPr/>
        <w:tc>
          <w:tcPr>
            <w:tcW w:w="2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IPO proceeds ($M)</w:t>
            </w:r>
          </w:p>
        </w:tc>
        <w:tc>
          <w:tcPr>
            <w:tcW w:w="346"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2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coverage</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Rights coverage (per unit)</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r>
      <w:tr>
        <w:trPr/>
        <w:tc>
          <w:tcPr>
            <w:tcW w:w="2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months to complete</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3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CARTESIAN GROWTH CORPORATION III</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0"/>
        <w:ind w:left="200" w:right="200" w:hanging="0"/>
        <w:jc w:val="center"/>
        <w:rPr>
          <w:rFonts w:ascii="Times New Roman;Times;serif" w:hAnsi="Times New Roman;Times;serif"/>
          <w:b/>
          <w:sz w:val="20"/>
        </w:rPr>
      </w:pPr>
      <w:r>
        <w:rPr>
          <w:rFonts w:ascii="Times New Roman;Times;serif" w:hAnsi="Times New Roman;Times;serif"/>
          <w:b/>
          <w:sz w:val="20"/>
        </w:rPr>
        <w:t>MARCH 31, 2026</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200" w:right="200" w:hanging="0"/>
        <w:jc w:val="left"/>
        <w:rPr>
          <w:rFonts w:ascii="Times New Roman;Times;serif" w:hAnsi="Times New Roman;Times;serif"/>
          <w:b/>
          <w:sz w:val="20"/>
        </w:rPr>
      </w:pPr>
      <w:bookmarkStart w:id="512" w:name="Tc_mks-o4wz00maewk_uj0DEg_4_6"/>
      <w:bookmarkStart w:id="513" w:name="Tc_FavheWcPaECN0iPwPvBVZA_4_5"/>
      <w:bookmarkStart w:id="514" w:name="Tc_3QTh3EE_j02QUAamaPxTkg_4_2"/>
      <w:bookmarkStart w:id="515" w:name="Tc_1M6IFn21m0OGLh1LtlKa1Q_4_0"/>
      <w:bookmarkStart w:id="516" w:name="Tc_EzqIXWIdg0u4pTW1sM19_Q_3_5"/>
      <w:bookmarkStart w:id="517" w:name="Tc_sStzFHpUQk-1kTfQ2JtKwQ_3_2"/>
      <w:bookmarkStart w:id="518" w:name="Tc_DRJpxo7YCEmxFMRgDhg39Q_3_0"/>
      <w:bookmarkStart w:id="519" w:name="Tc_1qBu-ltT0Eei3Sg9O0BVYA_2_5"/>
      <w:bookmarkStart w:id="520" w:name="Tc_Y-O6oOCYikm_ijYVLmkr8w_2_2"/>
      <w:bookmarkStart w:id="521" w:name="Tc__JtEmWSK50yW8xLpbkftng_1_2"/>
      <w:bookmarkStart w:id="522" w:name="_6b6b1165_2a61_4289_88c9_52b25540d40f"/>
      <w:bookmarkStart w:id="523" w:name="Tc_Tk1_x_Ujl0Ww6XET_tfUog_3_5"/>
      <w:bookmarkStart w:id="524" w:name="Tc_UJUqhO_ouUGaDIexwHQfbg_3_2"/>
      <w:bookmarkStart w:id="525" w:name="Tc_aaO6ZT5eBkWGd7kfCtuEwA_3_0"/>
      <w:bookmarkStart w:id="526" w:name="Tc_Ji6EjQuXv0qEcu15V28Wrg_2_5"/>
      <w:bookmarkStart w:id="527" w:name="Tc_TGbbDLO5HUKlG658yaLzKg_2_2"/>
      <w:bookmarkStart w:id="528" w:name="Tc_NXUO4m9Xc0GgJ3bPc6ZhtQ_2_0"/>
      <w:bookmarkStart w:id="529" w:name="Tc_VHePPmBh9UC1IL8OP4dC7Q_1_5"/>
      <w:bookmarkStart w:id="530" w:name="Tc_OPeM6BPIA0SWECDwEeccfA_1_2"/>
      <w:bookmarkStart w:id="531" w:name="_f50b79b5_b83a_4e9d_84b0_cf8824d09093"/>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Pr>
          <w:rFonts w:ascii="Times New Roman;Times;serif" w:hAnsi="Times New Roman;Times;serif"/>
          <w:b/>
          <w:sz w:val="20"/>
        </w:rPr>
        <w:t>NOTE 9. SEGMENT INFORMATION</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or group, in deciding how to allocate resources and assess performance.</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The CODM assesses performance for the single segment and decides how to allocate resources based on net income or loss. The measure of segment assets is reported on the condensed balance sheets as total assets. When evaluating the Company’s performance and making key decisions regarding resource allocation the CODM reviews several key metrics, which include the following:</w:t>
      </w:r>
    </w:p>
    <w:p>
      <w:pPr>
        <w:pStyle w:val="TextBody"/>
        <w:bidi w:val="0"/>
        <w:spacing w:before="0" w:after="240"/>
        <w:ind w:left="200" w:right="200" w:hanging="0"/>
        <w:jc w:val="both"/>
        <w:rPr/>
      </w:pPr>
      <w:r>
        <w:rPr/>
        <w:t>​</w:t>
      </w:r>
    </w:p>
    <w:tbl>
      <w:tblPr>
        <w:tblW w:w="6501" w:type="dxa"/>
        <w:jc w:val="left"/>
        <w:tblInd w:w="200" w:type="dxa"/>
        <w:tblLayout w:type="fixed"/>
        <w:tblCellMar>
          <w:top w:w="0" w:type="dxa"/>
          <w:left w:w="0" w:type="dxa"/>
          <w:bottom w:w="0" w:type="dxa"/>
          <w:right w:w="0" w:type="dxa"/>
        </w:tblCellMar>
      </w:tblPr>
      <w:tblGrid>
        <w:gridCol w:w="2911"/>
        <w:gridCol w:w="346"/>
        <w:gridCol w:w="211"/>
        <w:gridCol w:w="1141"/>
        <w:gridCol w:w="346"/>
        <w:gridCol w:w="223"/>
        <w:gridCol w:w="1323"/>
      </w:tblGrid>
      <w:tr>
        <w:trPr/>
        <w:tc>
          <w:tcPr>
            <w:tcW w:w="29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ind w:left="0" w:right="0" w:hanging="0"/>
              <w:jc w:val="left"/>
              <w:rPr>
                <w:sz w:val="4"/>
                <w:szCs w:val="4"/>
              </w:rPr>
            </w:pPr>
            <w:r>
              <w:rPr>
                <w:sz w:val="4"/>
                <w:szCs w:val="4"/>
              </w:rPr>
            </w:r>
          </w:p>
        </w:tc>
      </w:tr>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848485" cy="175260"/>
                      <wp:effectExtent l="0" t="0" r="0" b="0"/>
                      <wp:wrapNone/>
                      <wp:docPr id="435" name="Frame434"/>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6"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7"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724535" cy="175260"/>
                      <wp:effectExtent l="0" t="0" r="0" b="0"/>
                      <wp:wrapNone/>
                      <wp:docPr id="438" name="Frame43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39"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41605" cy="175260"/>
                      <wp:effectExtent l="0" t="0" r="0" b="0"/>
                      <wp:wrapNone/>
                      <wp:docPr id="440" name="Frame43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840105" cy="175260"/>
                      <wp:effectExtent l="0" t="0" r="0" b="0"/>
                      <wp:wrapNone/>
                      <wp:docPr id="441" name="Frame440"/>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396,210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624,163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in Trust Account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285,868,994</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283,377,276</w:t>
            </w:r>
          </w:p>
        </w:tc>
      </w:tr>
    </w:tbl>
    <w:p>
      <w:pPr>
        <w:pStyle w:val="TextBody"/>
        <w:bidi w:val="0"/>
        <w:spacing w:before="0" w:after="0"/>
        <w:ind w:left="200" w:right="200" w:hanging="0"/>
        <w:jc w:val="left"/>
        <w:rPr>
          <w:shd w:fill="00FF00" w:val="clear"/>
        </w:rPr>
      </w:pPr>
      <w:r>
        <w:rPr>
          <w:shd w:fill="00FF00" w:val="clear"/>
        </w:rPr>
        <w:t>​</w:t>
      </w:r>
    </w:p>
    <w:tbl>
      <w:tblPr>
        <w:tblW w:w="7816" w:type="dxa"/>
        <w:jc w:val="left"/>
        <w:tblInd w:w="200" w:type="dxa"/>
        <w:tblLayout w:type="fixed"/>
        <w:tblCellMar>
          <w:top w:w="0" w:type="dxa"/>
          <w:left w:w="0" w:type="dxa"/>
          <w:bottom w:w="0" w:type="dxa"/>
          <w:right w:w="0" w:type="dxa"/>
        </w:tblCellMar>
      </w:tblPr>
      <w:tblGrid>
        <w:gridCol w:w="4396"/>
        <w:gridCol w:w="346"/>
        <w:gridCol w:w="268"/>
        <w:gridCol w:w="1183"/>
        <w:gridCol w:w="439"/>
        <w:gridCol w:w="268"/>
        <w:gridCol w:w="916"/>
      </w:tblGrid>
      <w:tr>
        <w:trPr/>
        <w:tc>
          <w:tcPr>
            <w:tcW w:w="43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ind w:left="0" w:right="0" w:hanging="0"/>
              <w:jc w:val="left"/>
              <w:rPr>
                <w:sz w:val="4"/>
                <w:szCs w:val="4"/>
              </w:rPr>
            </w:pPr>
            <w:r>
              <w:rPr>
                <w:sz w:val="4"/>
                <w:szCs w:val="4"/>
              </w:rPr>
            </w:r>
          </w:p>
        </w:tc>
      </w:tr>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791460" cy="175260"/>
                      <wp:effectExtent l="0" t="0" r="0" b="0"/>
                      <wp:wrapNone/>
                      <wp:docPr id="442" name="Frame441"/>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3"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70180" cy="175260"/>
                      <wp:effectExtent l="0" t="0" r="0" b="0"/>
                      <wp:wrapNone/>
                      <wp:docPr id="444" name="Frame443"/>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751205" cy="175260"/>
                      <wp:effectExtent l="0" t="0" r="0" b="0"/>
                      <wp:wrapNone/>
                      <wp:docPr id="445" name="Frame444"/>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78765" cy="175260"/>
                      <wp:effectExtent l="0" t="0" r="0" b="0"/>
                      <wp:wrapNone/>
                      <wp:docPr id="446" name="Frame445"/>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70180" cy="175260"/>
                      <wp:effectExtent l="0" t="0" r="0" b="0"/>
                      <wp:wrapNone/>
                      <wp:docPr id="447" name="Frame44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81660" cy="175260"/>
                      <wp:effectExtent l="0" t="0" r="0" b="0"/>
                      <wp:wrapNone/>
                      <wp:docPr id="448" name="Frame4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43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9" w:type="dxa"/>
            <w:tcBorders/>
            <w:vAlign w:val="center"/>
          </w:tcPr>
          <w:p>
            <w:pPr>
              <w:pStyle w:val="TableContents"/>
              <w:bidi w:val="0"/>
              <w:spacing w:before="0" w:after="0"/>
              <w:ind w:left="0" w:right="0" w:hanging="0"/>
              <w:jc w:val="left"/>
              <w:rPr/>
            </w:pPr>
            <w:r>
              <w:rPr/>
              <w:t>  ​ ​ ​</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costs</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811,301</w:t>
            </w:r>
          </w:p>
        </w:tc>
        <w:tc>
          <w:tcPr>
            <w:tcW w:w="43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investments held in Trust Account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2,491,718</w:t>
            </w:r>
          </w:p>
        </w:tc>
        <w:tc>
          <w:tcPr>
            <w:tcW w:w="43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200" w:right="200" w:hanging="0"/>
        <w:jc w:val="left"/>
        <w:rPr/>
      </w:pPr>
      <w:r>
        <w:rPr/>
        <w:t>​</w:t>
      </w:r>
    </w:p>
    <w:p>
      <w:pPr>
        <w:pStyle w:val="TextBody"/>
        <w:bidi w:val="0"/>
        <w:spacing w:before="0" w:after="0"/>
        <w:ind w:left="200" w:right="200" w:firstLine="360"/>
        <w:jc w:val="both"/>
        <w:rPr>
          <w:rFonts w:ascii="Times New Roman;Times;serif" w:hAnsi="Times New Roman;Times;serif"/>
          <w:sz w:val="20"/>
        </w:rPr>
      </w:pPr>
      <w:r>
        <w:rPr>
          <w:rFonts w:ascii="Times New Roman;Times;serif" w:hAnsi="Times New Roman;Times;serif"/>
          <w:sz w:val="20"/>
        </w:rPr>
        <w:t>General and administrative costs are reviewed and monitored by the CODM to manage and forecast cash to ensure enough capital is available to complete a Business Combination or similar transaction within the Completion Window. The CODM also reviews general and administrative costs to manage, maintain and enforce all contractual agreements to ensure costs are aligned with all agreements and budget. General and administrative costs are the significant segment expenses provided to the CODM on a regular basis.</w:t>
      </w:r>
    </w:p>
    <w:p>
      <w:pPr>
        <w:pStyle w:val="TextBody"/>
        <w:bidi w:val="0"/>
        <w:spacing w:before="0" w:after="240"/>
        <w:ind w:left="200" w:right="200" w:hanging="0"/>
        <w:jc w:val="both"/>
        <w:rPr/>
      </w:pPr>
      <w:r>
        <w:rPr/>
        <w: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NOTE 10. SUBSEQUENT EVENTS</w:t>
      </w:r>
    </w:p>
    <w:p>
      <w:pPr>
        <w:pStyle w:val="TextBody"/>
        <w:bidi w:val="0"/>
        <w:spacing w:before="0" w:after="240"/>
        <w:ind w:left="200" w:right="200" w:firstLine="360"/>
        <w:jc w:val="both"/>
        <w:rPr>
          <w:rFonts w:ascii="Times New Roman;Times;serif" w:hAnsi="Times New Roman;Times;serif"/>
          <w:sz w:val="20"/>
        </w:rPr>
      </w:pPr>
      <w:r>
        <w:rPr>
          <w:rFonts w:ascii="Times New Roman;Times;serif" w:hAnsi="Times New Roman;Times;serif"/>
          <w:sz w:val="20"/>
        </w:rPr>
        <w:t>The Company evaluated subsequent events and transactions that occurred after the condensed balance sheet date and through the date that the unaudited condensed financial statements were issued. Based upon this review, the Company did not identify any subsequent events that would have required adjustment or disclosure in the unaudited condensed financial statements.</w:t>
      </w:r>
    </w:p>
    <w:p>
      <w:pPr>
        <w:pStyle w:val="TextBody"/>
        <w:bidi w:val="0"/>
        <w:spacing w:before="0" w:after="240"/>
        <w:ind w:left="200" w:right="200" w:hanging="0"/>
        <w:jc w:val="both"/>
        <w:rPr/>
      </w:pPr>
      <w:r>
        <w:rPr/>
        <w:t>​</w:t>
      </w:r>
    </w:p>
    <w:p>
      <w:pPr>
        <w:pStyle w:val="TextBody"/>
        <w:bidi w:val="0"/>
        <w:spacing w:before="0" w:after="240"/>
        <w:ind w:left="200" w:right="200" w:hanging="0"/>
        <w:jc w:val="both"/>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532" w:name="_f43e0420_04df_424d_8568_31da6d8953a3"/>
      <w:bookmarkEnd w:id="532"/>
      <w:r>
        <w:rPr>
          <w:rFonts w:ascii="Times New Roman;Times;serif" w:hAnsi="Times New Roman;Times;serif"/>
          <w:b/>
          <w:sz w:val="20"/>
        </w:rPr>
        <w:t>PART II</w:t>
      </w:r>
    </w:p>
    <w:p>
      <w:pPr>
        <w:pStyle w:val="TextBody"/>
        <w:bidi w:val="0"/>
        <w:spacing w:before="0" w:after="240"/>
        <w:ind w:left="200" w:right="200" w:hanging="0"/>
        <w:jc w:val="center"/>
        <w:rPr>
          <w:rFonts w:ascii="Times New Roman;Times;serif" w:hAnsi="Times New Roman;Times;serif"/>
          <w:b/>
          <w:sz w:val="20"/>
        </w:rPr>
      </w:pPr>
      <w:r>
        <w:rPr>
          <w:rFonts w:ascii="Times New Roman;Times;serif" w:hAnsi="Times New Roman;Times;serif"/>
          <w:b/>
          <w:sz w:val="20"/>
        </w:rPr>
        <w:t>INFORMATION NOT REQUIRED IN DOCUMENT</w:t>
      </w:r>
    </w:p>
    <w:p>
      <w:pPr>
        <w:pStyle w:val="TextBody"/>
        <w:bidi w:val="0"/>
        <w:spacing w:before="0" w:after="240"/>
        <w:ind w:left="200" w:right="200" w:hanging="0"/>
        <w:jc w:val="left"/>
        <w:rPr>
          <w:rFonts w:ascii="Times New Roman;Times;serif" w:hAnsi="Times New Roman;Times;serif"/>
          <w:b/>
          <w:sz w:val="20"/>
        </w:rPr>
      </w:pPr>
      <w:r>
        <w:rPr>
          <w:rFonts w:ascii="Times New Roman;Times;serif" w:hAnsi="Times New Roman;Times;serif"/>
          <w:b/>
          <w:sz w:val="20"/>
        </w:rPr>
        <w:t>Item 20. Indemnification of Officers And Directors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Section 145 further provides that to the extent that a present or former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Additionally, our certificate of incorporation limits the liability of our directors and officers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direct and indirect costs, fees and expenses of any type or nature whatsoever, including all other disbursements, obligations or expenses of the types customarily incurred in connection with prosecuting, defending, preparing to prosecute or defend, investigating, being or preparing to be witness in, settlement or appeal of, or otherwise </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II-1</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sz w:val="20"/>
        </w:rPr>
      </w:pPr>
      <w:r>
        <w:rPr>
          <w:rFonts w:ascii="Times New Roman;Times;serif" w:hAnsi="Times New Roman;Times;serif"/>
          <w:sz w:val="20"/>
        </w:rPr>
        <w:t>participating in any threatened, pending or completed action, suit, claim, counterclaim, cross claim, arbitration, mediation, alternate dispute resolution mechanism, investigation, inquiry, administrative hearing or any other actual, threatened or completed proceeding. The indemnification agreements also require us to advance, to the extent not prohibited by law, all direct and indirect costs, fees and expenses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before="0" w:after="240"/>
        <w:ind w:left="200" w:right="200" w:hanging="0"/>
        <w:jc w:val="left"/>
        <w:rPr>
          <w:rFonts w:ascii="Times New Roman;Times;serif" w:hAnsi="Times New Roman;Times;serif"/>
          <w:b/>
          <w:sz w:val="20"/>
        </w:rPr>
      </w:pPr>
      <w:bookmarkStart w:id="533" w:name="_732efa06_46bd_4fee_9ec7_c7d076001194"/>
      <w:bookmarkEnd w:id="533"/>
      <w:r>
        <w:rPr>
          <w:rFonts w:ascii="Times New Roman;Times;serif" w:hAnsi="Times New Roman;Times;serif"/>
          <w:b/>
          <w:sz w:val="20"/>
        </w:rPr>
        <w:t>Item 21. Exhibits And Financial Statement Schedules</w:t>
      </w:r>
    </w:p>
    <w:tbl>
      <w:tblPr>
        <w:tblW w:w="9805" w:type="dxa"/>
        <w:jc w:val="left"/>
        <w:tblInd w:w="200" w:type="dxa"/>
        <w:tblLayout w:type="fixed"/>
        <w:tblCellMar>
          <w:top w:w="0" w:type="dxa"/>
          <w:left w:w="0" w:type="dxa"/>
          <w:bottom w:w="0" w:type="dxa"/>
          <w:right w:w="0" w:type="dxa"/>
        </w:tblCellMar>
      </w:tblPr>
      <w:tblGrid>
        <w:gridCol w:w="845"/>
        <w:gridCol w:w="346"/>
        <w:gridCol w:w="8614"/>
      </w:tblGrid>
      <w:tr>
        <w:trPr/>
        <w:tc>
          <w:tcPr>
            <w:tcW w:w="8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14" w:type="dxa"/>
            <w:tcBorders/>
            <w:vAlign w:val="center"/>
          </w:tcPr>
          <w:p>
            <w:pPr>
              <w:pStyle w:val="TableContents"/>
              <w:bidi w:val="0"/>
              <w:spacing w:before="0" w:after="283"/>
              <w:ind w:left="0" w:right="0" w:hanging="0"/>
              <w:jc w:val="left"/>
              <w:rPr>
                <w:sz w:val="4"/>
                <w:szCs w:val="4"/>
              </w:rPr>
            </w:pPr>
            <w:r>
              <w:rPr>
                <w:sz w:val="4"/>
                <w:szCs w:val="4"/>
              </w:rPr>
            </w:r>
          </w:p>
        </w:tc>
      </w:tr>
      <w:tr>
        <w:trPr/>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536575" cy="175260"/>
                      <wp:effectExtent l="0" t="0" r="0" b="0"/>
                      <wp:wrapNone/>
                      <wp:docPr id="449" name="Frame448"/>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469890" cy="175260"/>
                      <wp:effectExtent l="0" t="0" r="0" b="0"/>
                      <wp:wrapNone/>
                      <wp:docPr id="450" name="Frame449"/>
                      <a:graphic xmlns:a="http://schemas.openxmlformats.org/drawingml/2006/main">
                        <a:graphicData uri="http://schemas.microsoft.com/office/word/2010/wordprocessingShape">
                          <wps:wsp>
                            <wps:cNvSpPr txBox="1"/>
                            <wps:spPr>
                              <a:xfrm>
                                <a:off x="0" y="0"/>
                                <a:ext cx="546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346" w:type="dxa"/>
            <w:tcBorders/>
            <w:vAlign w:val="center"/>
          </w:tcPr>
          <w:p>
            <w:pPr>
              <w:pStyle w:val="TableContents"/>
              <w:bidi w:val="0"/>
              <w:spacing w:before="0" w:after="0"/>
              <w:ind w:left="0" w:right="0" w:hanging="0"/>
              <w:jc w:val="left"/>
              <w:rPr/>
            </w:pPr>
            <w:r>
              <w:rPr/>
              <w:t>  ​ ​ ​</w:t>
            </w:r>
          </w:p>
        </w:tc>
        <w:tc>
          <w:tcPr>
            <w:tcW w:w="86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Document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Certificate of Incorporation of Factorial Energy Inc. (incorporated by reference to the Registrant’s Current Report on Form 8-K filed on June 10, 2026).</w:t>
              </w:r>
            </w:hyperlink>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Bylaws of Factorial Energy Inc. (incorporated by reference to the Registrant’s Current Report on Form 8-K filed on June 10, 2026).</w:t>
              </w:r>
            </w:hyperlink>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pPr>
            <w:hyperlink w:anchor="tmb-20260331xex5d1.htm">
              <w:r>
                <w:rPr>
                  <w:rStyle w:val="InternetLink"/>
                  <w:rFonts w:ascii="Times New Roman;Times;serif" w:hAnsi="Times New Roman;Times;serif"/>
                  <w:b w:val="false"/>
                  <w:i w:val="false"/>
                  <w:caps w:val="false"/>
                  <w:smallCaps w:val="false"/>
                  <w:sz w:val="20"/>
                </w:rPr>
                <w:t>Opinion of Goodwin Procter LLP.</w:t>
              </w:r>
            </w:hyperlink>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pPr>
            <w:hyperlink w:anchor="tmb-20260331xex23d1.htm">
              <w:r>
                <w:rPr>
                  <w:rStyle w:val="InternetLink"/>
                  <w:rFonts w:ascii="Times New Roman;Times;serif" w:hAnsi="Times New Roman;Times;serif"/>
                  <w:b w:val="false"/>
                  <w:i w:val="false"/>
                  <w:caps w:val="false"/>
                  <w:smallCaps w:val="false"/>
                  <w:sz w:val="20"/>
                </w:rPr>
                <w:t>Consent of CBIZ CPAs P.C.</w:t>
              </w:r>
            </w:hyperlink>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pPr>
            <w:hyperlink w:anchor="tmb-20260331xex23d2.htm">
              <w:r>
                <w:rPr>
                  <w:rStyle w:val="InternetLink"/>
                  <w:rFonts w:ascii="Times New Roman;Times;serif" w:hAnsi="Times New Roman;Times;serif"/>
                  <w:b w:val="false"/>
                  <w:i w:val="false"/>
                  <w:caps w:val="false"/>
                  <w:smallCaps w:val="false"/>
                  <w:sz w:val="20"/>
                </w:rPr>
                <w:t>Consent of RSM US LLP.</w:t>
              </w:r>
            </w:hyperlink>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23.3*</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pPr>
            <w:hyperlink w:anchor="tmb-20260331xex5d1.htm">
              <w:r>
                <w:rPr>
                  <w:rStyle w:val="InternetLink"/>
                  <w:rFonts w:ascii="Times New Roman;Times;serif" w:hAnsi="Times New Roman;Times;serif"/>
                  <w:b w:val="false"/>
                  <w:i w:val="false"/>
                  <w:caps w:val="false"/>
                  <w:smallCaps w:val="false"/>
                  <w:sz w:val="20"/>
                </w:rPr>
                <w:t>Consent of Goodwin Procter LLP (included in Exhibit 5.1).</w:t>
              </w:r>
            </w:hyperlink>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pPr>
            <w:hyperlink w:anchor="POWEROFATTORNEY_383404">
              <w:r>
                <w:rPr>
                  <w:rStyle w:val="InternetLink"/>
                  <w:rFonts w:ascii="Times New Roman;Times;serif" w:hAnsi="Times New Roman;Times;serif"/>
                  <w:b w:val="false"/>
                  <w:i w:val="false"/>
                  <w:caps w:val="false"/>
                  <w:smallCaps w:val="false"/>
                  <w:sz w:val="20"/>
                </w:rPr>
                <w:t>Power of Attorney (included on the signature pages hereto).</w:t>
              </w:r>
            </w:hyperlink>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200" w:right="20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II-2</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left"/>
        <w:rPr>
          <w:rFonts w:ascii="Times New Roman;Times;serif" w:hAnsi="Times New Roman;Times;serif"/>
          <w:b/>
          <w:sz w:val="20"/>
        </w:rPr>
      </w:pPr>
      <w:bookmarkStart w:id="534" w:name="_765b1350_08be_45ae_ba4a_c0ce947a6a14"/>
      <w:bookmarkEnd w:id="534"/>
      <w:r>
        <w:rPr>
          <w:rFonts w:ascii="Times New Roman;Times;serif" w:hAnsi="Times New Roman;Times;serif"/>
          <w:b/>
          <w:sz w:val="20"/>
        </w:rPr>
        <w:t>Item 22. Undertakings</w:t>
      </w:r>
    </w:p>
    <w:tbl>
      <w:tblPr>
        <w:tblW w:w="4262" w:type="dxa"/>
        <w:jc w:val="left"/>
        <w:tblInd w:w="200" w:type="dxa"/>
        <w:tblLayout w:type="fixed"/>
        <w:tblCellMar>
          <w:top w:w="0" w:type="dxa"/>
          <w:left w:w="0" w:type="dxa"/>
          <w:bottom w:w="0" w:type="dxa"/>
          <w:right w:w="0" w:type="dxa"/>
        </w:tblCellMar>
      </w:tblPr>
      <w:tblGrid>
        <w:gridCol w:w="271"/>
        <w:gridCol w:w="3991"/>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bl>
    <w:tbl>
      <w:tblPr>
        <w:tblW w:w="9805" w:type="dxa"/>
        <w:jc w:val="left"/>
        <w:tblInd w:w="200" w:type="dxa"/>
        <w:tblLayout w:type="fixed"/>
        <w:tblCellMar>
          <w:top w:w="28" w:type="dxa"/>
          <w:left w:w="28" w:type="dxa"/>
          <w:bottom w:w="28" w:type="dxa"/>
          <w:right w:w="28" w:type="dxa"/>
        </w:tblCellMar>
      </w:tblPr>
      <w:tblGrid>
        <w:gridCol w:w="124"/>
        <w:gridCol w:w="310"/>
        <w:gridCol w:w="9371"/>
      </w:tblGrid>
      <w:tr>
        <w:trPr/>
        <w:tc>
          <w:tcPr>
            <w:tcW w:w="124" w:type="dxa"/>
            <w:tcBorders/>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tbl>
      <w:tblPr>
        <w:tblW w:w="7416" w:type="dxa"/>
        <w:jc w:val="left"/>
        <w:tblInd w:w="200" w:type="dxa"/>
        <w:tblLayout w:type="fixed"/>
        <w:tblCellMar>
          <w:top w:w="28" w:type="dxa"/>
          <w:left w:w="28" w:type="dxa"/>
          <w:bottom w:w="28" w:type="dxa"/>
          <w:right w:w="28" w:type="dxa"/>
        </w:tblCellMar>
      </w:tblPr>
      <w:tblGrid>
        <w:gridCol w:w="124"/>
        <w:gridCol w:w="28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bl>
    <w:tbl>
      <w:tblPr>
        <w:tblW w:w="9805" w:type="dxa"/>
        <w:jc w:val="left"/>
        <w:tblInd w:w="200" w:type="dxa"/>
        <w:tblLayout w:type="fixed"/>
        <w:tblCellMar>
          <w:top w:w="0" w:type="dxa"/>
          <w:left w:w="0" w:type="dxa"/>
          <w:bottom w:w="0" w:type="dxa"/>
          <w:right w:w="0" w:type="dxa"/>
        </w:tblCellMar>
      </w:tblPr>
      <w:tblGrid>
        <w:gridCol w:w="124"/>
        <w:gridCol w:w="292"/>
        <w:gridCol w:w="93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3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w:t>
            </w:r>
            <w:r>
              <w:rPr>
                <w:rFonts w:ascii="Times New Roman;Times;serif" w:hAnsi="Times New Roman;Times;serif"/>
                <w:i/>
                <w:sz w:val="20"/>
              </w:rPr>
              <w:t>Calculation of Registration Fee</w:t>
            </w:r>
            <w:r>
              <w:rPr>
                <w:rFonts w:ascii="Times New Roman;Times;serif" w:hAnsi="Times New Roman;Times;serif"/>
                <w:sz w:val="20"/>
              </w:rPr>
              <w:t>” table in the effective registration statement; and</w:t>
            </w:r>
          </w:p>
        </w:tc>
      </w:tr>
    </w:tbl>
    <w:tbl>
      <w:tblPr>
        <w:tblW w:w="9805" w:type="dxa"/>
        <w:jc w:val="left"/>
        <w:tblInd w:w="200" w:type="dxa"/>
        <w:tblLayout w:type="fixed"/>
        <w:tblCellMar>
          <w:top w:w="0" w:type="dxa"/>
          <w:left w:w="0" w:type="dxa"/>
          <w:bottom w:w="0" w:type="dxa"/>
          <w:right w:w="0" w:type="dxa"/>
        </w:tblCellMar>
      </w:tblPr>
      <w:tblGrid>
        <w:gridCol w:w="124"/>
        <w:gridCol w:w="377"/>
        <w:gridCol w:w="9304"/>
      </w:tblGrid>
      <w:tr>
        <w:trPr/>
        <w:tc>
          <w:tcPr>
            <w:tcW w:w="12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3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this Registration Statement or any material change to such information in this Registration Statement;</w:t>
            </w:r>
          </w:p>
        </w:tc>
      </w:tr>
    </w:tbl>
    <w:tbl>
      <w:tblPr>
        <w:tblW w:w="9805" w:type="dxa"/>
        <w:jc w:val="left"/>
        <w:tblInd w:w="200" w:type="dxa"/>
        <w:tblLayout w:type="fixed"/>
        <w:tblCellMar>
          <w:top w:w="28" w:type="dxa"/>
          <w:left w:w="28" w:type="dxa"/>
          <w:bottom w:w="28" w:type="dxa"/>
          <w:right w:w="28" w:type="dxa"/>
        </w:tblCellMar>
      </w:tblPr>
      <w:tblGrid>
        <w:gridCol w:w="124"/>
        <w:gridCol w:w="288"/>
        <w:gridCol w:w="9393"/>
      </w:tblGrid>
      <w:tr>
        <w:trPr/>
        <w:tc>
          <w:tcPr>
            <w:tcW w:w="124" w:type="dxa"/>
            <w:tcBorders/>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39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tbl>
      <w:tblPr>
        <w:tblW w:w="9805" w:type="dxa"/>
        <w:jc w:val="left"/>
        <w:tblInd w:w="200" w:type="dxa"/>
        <w:tblLayout w:type="fixed"/>
        <w:tblCellMar>
          <w:top w:w="28" w:type="dxa"/>
          <w:left w:w="28" w:type="dxa"/>
          <w:bottom w:w="28" w:type="dxa"/>
          <w:right w:w="28" w:type="dxa"/>
        </w:tblCellMar>
      </w:tblPr>
      <w:tblGrid>
        <w:gridCol w:w="124"/>
        <w:gridCol w:w="296"/>
        <w:gridCol w:w="93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3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tbl>
      <w:tblPr>
        <w:tblW w:w="9805" w:type="dxa"/>
        <w:jc w:val="left"/>
        <w:tblInd w:w="200" w:type="dxa"/>
        <w:tblLayout w:type="fixed"/>
        <w:tblCellMar>
          <w:top w:w="28" w:type="dxa"/>
          <w:left w:w="28" w:type="dxa"/>
          <w:bottom w:w="28" w:type="dxa"/>
          <w:right w:w="28" w:type="dxa"/>
        </w:tblCellMar>
      </w:tblPr>
      <w:tblGrid>
        <w:gridCol w:w="124"/>
        <w:gridCol w:w="277"/>
        <w:gridCol w:w="94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4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tbl>
      <w:tblPr>
        <w:tblW w:w="9805" w:type="dxa"/>
        <w:jc w:val="left"/>
        <w:tblInd w:w="200" w:type="dxa"/>
        <w:tblLayout w:type="fixed"/>
        <w:tblCellMar>
          <w:top w:w="28" w:type="dxa"/>
          <w:left w:w="28" w:type="dxa"/>
          <w:bottom w:w="28" w:type="dxa"/>
          <w:right w:w="28" w:type="dxa"/>
        </w:tblCellMar>
      </w:tblPr>
      <w:tblGrid>
        <w:gridCol w:w="124"/>
        <w:gridCol w:w="265"/>
        <w:gridCol w:w="94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tbl>
      <w:tblPr>
        <w:tblW w:w="9805" w:type="dxa"/>
        <w:jc w:val="left"/>
        <w:tblInd w:w="200" w:type="dxa"/>
        <w:tblLayout w:type="fixed"/>
        <w:tblCellMar>
          <w:top w:w="28" w:type="dxa"/>
          <w:left w:w="28" w:type="dxa"/>
          <w:bottom w:w="28" w:type="dxa"/>
          <w:right w:w="28" w:type="dxa"/>
        </w:tblCellMar>
      </w:tblPr>
      <w:tblGrid>
        <w:gridCol w:w="124"/>
        <w:gridCol w:w="275"/>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tbl>
      <w:tblPr>
        <w:tblW w:w="9805" w:type="dxa"/>
        <w:jc w:val="left"/>
        <w:tblInd w:w="200" w:type="dxa"/>
        <w:tblLayout w:type="fixed"/>
        <w:tblCellMar>
          <w:top w:w="0" w:type="dxa"/>
          <w:left w:w="0" w:type="dxa"/>
          <w:bottom w:w="0" w:type="dxa"/>
          <w:right w:w="0" w:type="dxa"/>
        </w:tblCellMar>
      </w:tblPr>
      <w:tblGrid>
        <w:gridCol w:w="124"/>
        <w:gridCol w:w="328"/>
        <w:gridCol w:w="9353"/>
      </w:tblGrid>
      <w:tr>
        <w:trPr/>
        <w:tc>
          <w:tcPr>
            <w:tcW w:w="1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3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tbl>
      <w:tblPr>
        <w:tblW w:w="9805" w:type="dxa"/>
        <w:jc w:val="left"/>
        <w:tblInd w:w="200" w:type="dxa"/>
        <w:tblLayout w:type="fixed"/>
        <w:tblCellMar>
          <w:top w:w="0" w:type="dxa"/>
          <w:left w:w="0" w:type="dxa"/>
          <w:bottom w:w="0" w:type="dxa"/>
          <w:right w:w="0" w:type="dxa"/>
        </w:tblCellMar>
      </w:tblPr>
      <w:tblGrid>
        <w:gridCol w:w="124"/>
        <w:gridCol w:w="376"/>
        <w:gridCol w:w="9305"/>
      </w:tblGrid>
      <w:tr>
        <w:trPr/>
        <w:tc>
          <w:tcPr>
            <w:tcW w:w="12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tbl>
      <w:tblPr>
        <w:tblW w:w="9471" w:type="dxa"/>
        <w:jc w:val="left"/>
        <w:tblInd w:w="200" w:type="dxa"/>
        <w:tblLayout w:type="fixed"/>
        <w:tblCellMar>
          <w:top w:w="0" w:type="dxa"/>
          <w:left w:w="0" w:type="dxa"/>
          <w:bottom w:w="0" w:type="dxa"/>
          <w:right w:w="0" w:type="dxa"/>
        </w:tblCellMar>
      </w:tblPr>
      <w:tblGrid>
        <w:gridCol w:w="124"/>
        <w:gridCol w:w="391"/>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89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II-3</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0" w:type="dxa"/>
          <w:left w:w="0" w:type="dxa"/>
          <w:bottom w:w="0" w:type="dxa"/>
          <w:right w:w="0" w:type="dxa"/>
        </w:tblCellMar>
      </w:tblPr>
      <w:tblGrid>
        <w:gridCol w:w="230"/>
        <w:gridCol w:w="957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tc>
      </w:tr>
    </w:tbl>
    <w:tbl>
      <w:tblPr>
        <w:tblW w:w="9805" w:type="dxa"/>
        <w:jc w:val="left"/>
        <w:tblInd w:w="200" w:type="dxa"/>
        <w:tblLayout w:type="fixed"/>
        <w:tblCellMar>
          <w:top w:w="0" w:type="dxa"/>
          <w:left w:w="0" w:type="dxa"/>
          <w:bottom w:w="0" w:type="dxa"/>
          <w:right w:w="0" w:type="dxa"/>
        </w:tblCellMar>
      </w:tblPr>
      <w:tblGrid>
        <w:gridCol w:w="234"/>
        <w:gridCol w:w="95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tc>
      </w:tr>
    </w:tbl>
    <w:tbl>
      <w:tblPr>
        <w:tblW w:w="9805" w:type="dxa"/>
        <w:jc w:val="left"/>
        <w:tblInd w:w="200" w:type="dxa"/>
        <w:tblLayout w:type="fixed"/>
        <w:tblCellMar>
          <w:top w:w="0" w:type="dxa"/>
          <w:left w:w="0" w:type="dxa"/>
          <w:bottom w:w="0" w:type="dxa"/>
          <w:right w:w="0" w:type="dxa"/>
        </w:tblCellMar>
      </w:tblPr>
      <w:tblGrid>
        <w:gridCol w:w="232"/>
        <w:gridCol w:w="95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5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undertakes that every prospectus: (1) that is filed pursuant to the immediately preceding paragraph,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tbl>
      <w:tblPr>
        <w:tblW w:w="9805" w:type="dxa"/>
        <w:jc w:val="left"/>
        <w:tblInd w:w="200" w:type="dxa"/>
        <w:tblLayout w:type="fixed"/>
        <w:tblCellMar>
          <w:top w:w="0" w:type="dxa"/>
          <w:left w:w="0" w:type="dxa"/>
          <w:bottom w:w="0" w:type="dxa"/>
          <w:right w:w="0" w:type="dxa"/>
        </w:tblCellMar>
      </w:tblPr>
      <w:tblGrid>
        <w:gridCol w:w="235"/>
        <w:gridCol w:w="9570"/>
      </w:tblGrid>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respond to requests for information that is incorporated by reference into the 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tc>
      </w:tr>
    </w:tbl>
    <w:tbl>
      <w:tblPr>
        <w:tblW w:w="9805" w:type="dxa"/>
        <w:jc w:val="left"/>
        <w:tblInd w:w="200" w:type="dxa"/>
        <w:tblLayout w:type="fixed"/>
        <w:tblCellMar>
          <w:top w:w="0" w:type="dxa"/>
          <w:left w:w="0" w:type="dxa"/>
          <w:bottom w:w="0" w:type="dxa"/>
          <w:right w:w="0" w:type="dxa"/>
        </w:tblCellMar>
      </w:tblPr>
      <w:tblGrid>
        <w:gridCol w:w="246"/>
        <w:gridCol w:w="9559"/>
      </w:tblGrid>
      <w:tr>
        <w:trPr/>
        <w:tc>
          <w:tcPr>
            <w:tcW w:w="2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955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undersigned Registrant hereby undertakes to supply by means of a post-effective amendment all information concerning this transaction that was not the subject of and included in this Registration Statement when it became effective.</w:t>
            </w:r>
          </w:p>
        </w:tc>
      </w:tr>
    </w:tbl>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II-4</w:t>
      </w:r>
    </w:p>
    <w:p>
      <w:pPr>
        <w:pStyle w:val="TextBody"/>
        <w:bidi w:val="0"/>
        <w:spacing w:before="0" w:after="6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200" w:right="200" w:hanging="0"/>
        <w:jc w:val="center"/>
        <w:rPr>
          <w:rFonts w:ascii="Times New Roman;Times;serif" w:hAnsi="Times New Roman;Times;serif"/>
          <w:b/>
          <w:sz w:val="20"/>
        </w:rPr>
      </w:pPr>
      <w:bookmarkStart w:id="535" w:name="_c5978748_94e8_4edb_879d_3ecb74ed3d51"/>
      <w:bookmarkEnd w:id="535"/>
      <w:r>
        <w:rPr>
          <w:rFonts w:ascii="Times New Roman;Times;serif" w:hAnsi="Times New Roman;Times;serif"/>
          <w:b/>
          <w:sz w:val="20"/>
        </w:rPr>
        <w:t>SIGNATURES</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Pursuant to the requirements of the Securities Act of 1933, as amended, the registrant has duly caused this Post-Effective Amendment No. 1 to the Registration Statement to be signed on its behalf by the undersigned, thereunto duly authorized, in the Town of Billerica, Commonwealth of Massachusetts, on the 10th day of June, 2026.</w:t>
      </w:r>
    </w:p>
    <w:tbl>
      <w:tblPr>
        <w:tblW w:w="6513" w:type="dxa"/>
        <w:jc w:val="left"/>
        <w:tblInd w:w="200" w:type="dxa"/>
        <w:tblLayout w:type="fixed"/>
        <w:tblCellMar>
          <w:top w:w="0" w:type="dxa"/>
          <w:left w:w="0" w:type="dxa"/>
          <w:bottom w:w="0" w:type="dxa"/>
          <w:right w:w="0" w:type="dxa"/>
        </w:tblCellMar>
      </w:tblPr>
      <w:tblGrid>
        <w:gridCol w:w="1741"/>
        <w:gridCol w:w="631"/>
        <w:gridCol w:w="4141"/>
      </w:tblGrid>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105535" cy="175260"/>
                      <wp:effectExtent l="0" t="0" r="0" b="0"/>
                      <wp:wrapNone/>
                      <wp:docPr id="451" name="Frame45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00685" cy="175260"/>
                      <wp:effectExtent l="0" t="0" r="0" b="0"/>
                      <wp:wrapNone/>
                      <wp:docPr id="452" name="Frame45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629535" cy="175260"/>
                      <wp:effectExtent l="0" t="0" r="0" b="0"/>
                      <wp:wrapNone/>
                      <wp:docPr id="453" name="Frame452"/>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10, 2026</w:t>
            </w:r>
          </w:p>
        </w:tc>
        <w:tc>
          <w:tcPr>
            <w:tcW w:w="47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FACTORIAL ENERGY INC.</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Siyu Huang</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Siyu Huang</w:t>
            </w:r>
          </w:p>
        </w:tc>
      </w:tr>
      <w:tr>
        <w:trPr/>
        <w:tc>
          <w:tcPr>
            <w:tcW w:w="17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Co-founder, Chief Executive Officer and Director</w:t>
            </w:r>
          </w:p>
        </w:tc>
      </w:tr>
    </w:tbl>
    <w:p>
      <w:pPr>
        <w:pStyle w:val="TextBody"/>
        <w:bidi w:val="0"/>
        <w:spacing w:before="0" w:after="0"/>
        <w:ind w:left="200" w:right="200" w:hanging="0"/>
        <w:jc w:val="left"/>
        <w:rPr/>
      </w:pPr>
      <w:r>
        <w:rPr/>
        <w:t>​</w:t>
      </w:r>
    </w:p>
    <w:p>
      <w:pPr>
        <w:pStyle w:val="TextBody"/>
        <w:bidi w:val="0"/>
        <w:spacing w:before="0" w:after="240"/>
        <w:ind w:left="200" w:right="200" w:hanging="0"/>
        <w:jc w:val="center"/>
        <w:rPr>
          <w:rFonts w:ascii="Times New Roman;Times;serif" w:hAnsi="Times New Roman;Times;serif"/>
          <w:b/>
          <w:sz w:val="20"/>
        </w:rPr>
      </w:pPr>
      <w:bookmarkStart w:id="536" w:name="POWEROFATTORNEY_383404"/>
      <w:bookmarkEnd w:id="536"/>
      <w:r>
        <w:rPr>
          <w:rFonts w:ascii="Times New Roman;Times;serif" w:hAnsi="Times New Roman;Times;serif"/>
          <w:b/>
          <w:sz w:val="20"/>
        </w:rPr>
        <w:t>POWER OF ATTORNEY</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KNOW ALL PERSONS BY THESE PRESENTS, that each person whose signature appears below constitutes and appoints Siyu Huang, Richard Wei and Jason Duva, and each or any of them, his true and lawful attorney-in-fact and agent, with full power of substitution and resubstitution, for him and in his name, place and stead, in any and all capacities, to sign any and all amendments to this registration statement,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substitutes or substitute, may lawfully do or cause to be done by virtue hereof.</w:t>
      </w:r>
    </w:p>
    <w:p>
      <w:pPr>
        <w:pStyle w:val="TextBody"/>
        <w:bidi w:val="0"/>
        <w:spacing w:before="0" w:after="240"/>
        <w:ind w:left="200" w:right="200" w:firstLine="360"/>
        <w:jc w:val="left"/>
        <w:rPr>
          <w:rFonts w:ascii="Times New Roman;Times;serif" w:hAnsi="Times New Roman;Times;serif"/>
          <w:sz w:val="20"/>
        </w:rPr>
      </w:pPr>
      <w:r>
        <w:rPr>
          <w:rFonts w:ascii="Times New Roman;Times;serif" w:hAnsi="Times New Roman;Times;serif"/>
          <w:sz w:val="20"/>
        </w:rPr>
        <w:t>Pursuant to the requirements of the Securities Act, this Post-Effective Amendment No. 1 to the Registration Statement has been signed below by the following persons on behalf of the Registrant and in the capacities and on the dates indicated.</w:t>
      </w:r>
    </w:p>
    <w:tbl>
      <w:tblPr>
        <w:tblW w:w="7406" w:type="dxa"/>
        <w:jc w:val="left"/>
        <w:tblInd w:w="200" w:type="dxa"/>
        <w:tblLayout w:type="fixed"/>
        <w:tblCellMar>
          <w:top w:w="0" w:type="dxa"/>
          <w:left w:w="0" w:type="dxa"/>
          <w:bottom w:w="0" w:type="dxa"/>
          <w:right w:w="0" w:type="dxa"/>
        </w:tblCellMar>
      </w:tblPr>
      <w:tblGrid>
        <w:gridCol w:w="1771"/>
        <w:gridCol w:w="109"/>
        <w:gridCol w:w="4126"/>
        <w:gridCol w:w="109"/>
        <w:gridCol w:w="1291"/>
      </w:tblGrid>
      <w:tr>
        <w:trPr/>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124585" cy="175260"/>
                      <wp:effectExtent l="0" t="0" r="0" b="0"/>
                      <wp:wrapNone/>
                      <wp:docPr id="454" name="Frame453"/>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620010" cy="175260"/>
                      <wp:effectExtent l="0" t="0" r="0" b="0"/>
                      <wp:wrapNone/>
                      <wp:docPr id="455" name="Frame454"/>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819785" cy="175260"/>
                      <wp:effectExtent l="0" t="0" r="0" b="0"/>
                      <wp:wrapNone/>
                      <wp:docPr id="456" name="Frame45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109" w:type="dxa"/>
            <w:tcBorders/>
            <w:vAlign w:val="center"/>
          </w:tcPr>
          <w:p>
            <w:pPr>
              <w:pStyle w:val="TableContents"/>
              <w:bidi w:val="0"/>
              <w:spacing w:before="0" w:after="0"/>
              <w:ind w:left="0" w:right="0" w:hanging="0"/>
              <w:jc w:val="left"/>
              <w:rPr/>
            </w:pPr>
            <w:r>
              <w:rPr/>
              <w:t>​</w:t>
            </w:r>
          </w:p>
        </w:tc>
        <w:tc>
          <w:tcPr>
            <w:tcW w:w="4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109"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Siyu Huang</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Co-founder, Chief Executive Officer and Director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Siyu Huang</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Wei</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Wei</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Scuteri</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VP, Finance</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Jay Scuteri</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Accounting Officer)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Alex Yu</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Co-Founder, Chief Technical Officer and Director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Alex Yu</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Joseph M. Taylor</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Executive Chairperson</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 M. Taylor</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Uwe Keller</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Uwe Keller</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Liad Meidar</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Liad Meidar</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Dieter Zetsche</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Dieter Zetsche</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Jon Nelson</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Jon Nelson</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200" w:right="200" w:hanging="0"/>
        <w:jc w:val="left"/>
        <w:rPr/>
      </w:pPr>
      <w:r>
        <w:rPr/>
        <w:t>​</w:t>
      </w:r>
    </w:p>
    <w:p>
      <w:pPr>
        <w:pStyle w:val="TextBody"/>
        <w:bidi w:val="0"/>
        <w:spacing w:before="0" w:after="0"/>
        <w:ind w:left="200" w:right="200" w:hanging="0"/>
        <w:jc w:val="left"/>
        <w:rPr/>
      </w:pPr>
      <w:r>
        <w:rPr/>
        <w:t>​</w:t>
      </w:r>
    </w:p>
    <w:p>
      <w:pPr>
        <w:pStyle w:val="TextBody"/>
        <w:bidi w:val="0"/>
        <w:spacing w:before="480" w:after="0"/>
        <w:ind w:left="200" w:right="200" w:hanging="0"/>
        <w:jc w:val="center"/>
        <w:rPr>
          <w:rFonts w:ascii="Times New Roman;Times;serif" w:hAnsi="Times New Roman;Times;serif"/>
          <w:sz w:val="20"/>
        </w:rPr>
      </w:pPr>
      <w:r>
        <w:rPr>
          <w:rFonts w:ascii="Times New Roman;Times;serif" w:hAnsi="Times New Roman;Times;serif"/>
          <w:sz w:val="20"/>
        </w:rPr>
        <w:t>II-5</w:t>
      </w:r>
    </w:p>
    <w:p>
      <w:pPr>
        <w:pStyle w:val="TextBody"/>
        <w:bidi w:val="0"/>
        <w:spacing w:before="0" w:after="0"/>
        <w:ind w:left="0" w:right="0" w:hanging="0"/>
        <w:jc w:val="right"/>
        <w:rPr>
          <w:rFonts w:ascii="Times New Roman;Times;serif" w:hAnsi="Times New Roman;Times;serif"/>
          <w:b/>
          <w:sz w:val="20"/>
        </w:rPr>
      </w:pPr>
      <w:bookmarkStart w:id="537" w:name="tmb-20260331xex5d1.htm"/>
      <w:bookmarkStart w:id="538" w:name="kstmb20260331xex5d1"/>
      <w:bookmarkEnd w:id="537"/>
      <w:bookmarkEnd w:id="538"/>
      <w:r>
        <w:rPr>
          <w:rFonts w:ascii="Times New Roman;Times;serif" w:hAnsi="Times New Roman;Times;serif"/>
          <w:b/>
          <w:sz w:val="20"/>
        </w:rPr>
        <w:t>Exhibit 5.1</w:t>
      </w:r>
      <w:r>
        <w:br w:type="page"/>
      </w:r>
    </w:p>
    <w:p>
      <w:pPr>
        <w:pStyle w:val="TextBody"/>
        <w:bidi w:val="0"/>
        <w:spacing w:before="0" w:after="0"/>
        <w:ind w:left="0" w:right="0" w:hanging="0"/>
        <w:jc w:val="left"/>
        <w:rPr/>
      </w:pPr>
      <w:r>
        <w:rPr/>
        <w:t>​</w:t>
      </w:r>
    </w:p>
    <w:tbl>
      <w:tblPr>
        <w:tblW w:w="5592" w:type="dxa"/>
        <w:jc w:val="left"/>
        <w:tblInd w:w="0" w:type="dxa"/>
        <w:tblLayout w:type="fixed"/>
        <w:tblCellMar>
          <w:top w:w="0" w:type="dxa"/>
          <w:left w:w="0" w:type="dxa"/>
          <w:bottom w:w="0" w:type="dxa"/>
          <w:right w:w="0" w:type="dxa"/>
        </w:tblCellMar>
      </w:tblPr>
      <w:tblGrid>
        <w:gridCol w:w="3161"/>
        <w:gridCol w:w="2431"/>
      </w:tblGrid>
      <w:tr>
        <w:trPr/>
        <w:tc>
          <w:tcPr>
            <w:tcW w:w="3161" w:type="dxa"/>
            <w:tcBorders/>
            <w:vAlign w:val="center"/>
          </w:tcPr>
          <w:p>
            <w:pPr>
              <w:pStyle w:val="TableContents"/>
              <w:bidi w:val="0"/>
              <w:spacing w:before="0" w:after="0"/>
              <w:ind w:left="0" w:right="0" w:hanging="0"/>
              <w:jc w:val="left"/>
              <w:rPr/>
            </w:pPr>
            <w:r>
              <w:rPr/>
              <w:drawing>
                <wp:inline distT="0" distB="0" distL="0" distR="0">
                  <wp:extent cx="1905000" cy="419100"/>
                  <wp:effectExtent l="0" t="0" r="0" b="0"/>
                  <wp:docPr id="4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2" descr=""/>
                          <pic:cNvPicPr>
                            <a:picLocks noChangeAspect="1" noChangeArrowheads="1"/>
                          </pic:cNvPicPr>
                        </pic:nvPicPr>
                        <pic:blipFill>
                          <a:blip r:embed="rId8"/>
                          <a:stretch>
                            <a:fillRect/>
                          </a:stretch>
                        </pic:blipFill>
                        <pic:spPr bwMode="auto">
                          <a:xfrm>
                            <a:off x="0" y="0"/>
                            <a:ext cx="1905000" cy="419100"/>
                          </a:xfrm>
                          <a:prstGeom prst="rect">
                            <a:avLst/>
                          </a:prstGeom>
                        </pic:spPr>
                      </pic:pic>
                    </a:graphicData>
                  </a:graphic>
                </wp:inline>
              </w:drawing>
            </w:r>
            <w:r>
              <w:rPr/>
              <w:t> </w:t>
            </w:r>
          </w:p>
        </w:tc>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Goodwin Procter LLP </w:t>
              <w:br/>
              <w:t>620 Eighth Avenue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New York 10018</w:t>
              <w:b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goodwinlaw.com </w:t>
              <w:br/>
              <w:t>+1 212 813 8800</w:t>
            </w:r>
          </w:p>
        </w:tc>
      </w:tr>
    </w:tbl>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June 10,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Factorial Energy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805 Middlesex Turnpike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Billerica, MA 01821</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Re:</w:t>
      </w:r>
      <w:r>
        <w:rPr>
          <w:rFonts w:ascii="Times New Roman;Times;serif" w:hAnsi="Times New Roman;Times;serif"/>
          <w:sz w:val="20"/>
          <w:u w:val="single"/>
        </w:rPr>
        <w:t>Securities Registered under Registration Statement on Form S-4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Reference is made to the Business Combination Agreement, dated December 17, 2025, as amended on March 26, 2026 and May 18, 2026 (the “</w:t>
      </w:r>
      <w:r>
        <w:rPr>
          <w:rFonts w:ascii="Times New Roman;Times;serif" w:hAnsi="Times New Roman;Times;serif"/>
          <w:sz w:val="20"/>
          <w:u w:val="single"/>
        </w:rPr>
        <w:t>Business Combination Agreement</w:t>
      </w:r>
      <w:r>
        <w:rPr>
          <w:rFonts w:ascii="Times New Roman;Times;serif" w:hAnsi="Times New Roman;Times;serif"/>
          <w:sz w:val="20"/>
        </w:rPr>
        <w:t>”), by and among Factorial Inc., a Delaware corporation (“</w:t>
      </w:r>
      <w:r>
        <w:rPr>
          <w:rFonts w:ascii="Times New Roman;Times;serif" w:hAnsi="Times New Roman;Times;serif"/>
          <w:sz w:val="20"/>
          <w:u w:val="single"/>
        </w:rPr>
        <w:t>Factorial</w:t>
      </w:r>
      <w:r>
        <w:rPr>
          <w:rFonts w:ascii="Times New Roman;Times;serif" w:hAnsi="Times New Roman;Times;serif"/>
          <w:sz w:val="20"/>
        </w:rPr>
        <w:t>”), Cartesian Growth Corporation III, which was initially a Cayman Islands exempted company that on June 4, 2026 changed its jurisdiction of incorporation by effecting a deregistration in the Cayman Islands and transfer by way of continuation out of the Cayman Islands and into the State of Delaware so as to migrate to and domesticate as a Delaware corporation named “Factorial Energy Inc.” (such Delaware corporation, the “</w:t>
      </w:r>
      <w:r>
        <w:rPr>
          <w:rFonts w:ascii="Times New Roman;Times;serif" w:hAnsi="Times New Roman;Times;serif"/>
          <w:sz w:val="20"/>
          <w:u w:val="single"/>
        </w:rPr>
        <w:t>Company</w:t>
      </w:r>
      <w:r>
        <w:rPr>
          <w:rFonts w:ascii="Times New Roman;Times;serif" w:hAnsi="Times New Roman;Times;serif"/>
          <w:sz w:val="20"/>
        </w:rPr>
        <w:t>”), and Fenway MS, Inc., a Delaware corporation. Capitalized terms used but not otherwise defined herein have the meanings ascribed to them in the Business Combination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acted as counsel to you in connection with your filing of a post-effective amendment (the “</w:t>
      </w:r>
      <w:r>
        <w:rPr>
          <w:rFonts w:ascii="Times New Roman;Times;serif" w:hAnsi="Times New Roman;Times;serif"/>
          <w:sz w:val="20"/>
          <w:u w:val="single"/>
        </w:rPr>
        <w:t>Amendment</w:t>
      </w:r>
      <w:r>
        <w:rPr>
          <w:rFonts w:ascii="Times New Roman;Times;serif" w:hAnsi="Times New Roman;Times;serif"/>
          <w:sz w:val="20"/>
        </w:rPr>
        <w:t>”) to the Registration Statement on Form S-4 (File No. 333-294663) (as amended, the “</w:t>
      </w:r>
      <w:r>
        <w:rPr>
          <w:rFonts w:ascii="Times New Roman;Times;serif" w:hAnsi="Times New Roman;Times;serif"/>
          <w:sz w:val="20"/>
          <w:u w:val="single"/>
        </w:rPr>
        <w:t>Registration Statement</w:t>
      </w:r>
      <w:r>
        <w:rPr>
          <w:rFonts w:ascii="Times New Roman;Times;serif" w:hAnsi="Times New Roman;Times;serif"/>
          <w:sz w:val="20"/>
        </w:rPr>
        <w:t>”) pursuant to the Securities Act of 1933, as amended (the “</w:t>
      </w:r>
      <w:r>
        <w:rPr>
          <w:rFonts w:ascii="Times New Roman;Times;serif" w:hAnsi="Times New Roman;Times;serif"/>
          <w:sz w:val="20"/>
          <w:u w:val="single"/>
        </w:rPr>
        <w:t>Securities Act</w:t>
      </w:r>
      <w:r>
        <w:rPr>
          <w:rFonts w:ascii="Times New Roman;Times;serif" w:hAnsi="Times New Roman;Times;serif"/>
          <w:sz w:val="20"/>
        </w:rPr>
        <w:t>”), relating to the registration of the offering by the Company of (i) 10,358,687 shares (the “</w:t>
      </w:r>
      <w:r>
        <w:rPr>
          <w:rFonts w:ascii="Times New Roman;Times;serif" w:hAnsi="Times New Roman;Times;serif"/>
          <w:sz w:val="20"/>
          <w:u w:val="single"/>
        </w:rPr>
        <w:t>Domestication Shares</w:t>
      </w:r>
      <w:r>
        <w:rPr>
          <w:rFonts w:ascii="Times New Roman;Times;serif" w:hAnsi="Times New Roman;Times;serif"/>
          <w:sz w:val="20"/>
        </w:rPr>
        <w:t>”) of the Company’s Series A common stock, par value $0.00001 per share (the “</w:t>
      </w:r>
      <w:r>
        <w:rPr>
          <w:rFonts w:ascii="Times New Roman;Times;serif" w:hAnsi="Times New Roman;Times;serif"/>
          <w:sz w:val="20"/>
          <w:u w:val="single"/>
        </w:rPr>
        <w:t>Common Stock</w:t>
      </w:r>
      <w:r>
        <w:rPr>
          <w:rFonts w:ascii="Times New Roman;Times;serif" w:hAnsi="Times New Roman;Times;serif"/>
          <w:sz w:val="20"/>
        </w:rPr>
        <w:t>”), issued at the effective time of the Domestication upon the reclassification of 10,358,687 CGC Class A Shares, (ii) 89,083,036 shares of Common Stock issued or to be issued to the former stockholders of Factorial pursuant to the Business Combination Agreement (the “</w:t>
      </w:r>
      <w:r>
        <w:rPr>
          <w:rFonts w:ascii="Times New Roman;Times;serif" w:hAnsi="Times New Roman;Times;serif"/>
          <w:sz w:val="20"/>
          <w:u w:val="single"/>
        </w:rPr>
        <w:t>Merger Shares</w:t>
      </w:r>
      <w:r>
        <w:rPr>
          <w:rFonts w:ascii="Times New Roman;Times;serif" w:hAnsi="Times New Roman;Times;serif"/>
          <w:sz w:val="20"/>
        </w:rPr>
        <w:t>”), (iii) 15,512,744 shares of Common Stock issuable upon the conversion of the shares of the Company’s Series B common stock, par value $0.00001 per share (the “</w:t>
      </w:r>
      <w:r>
        <w:rPr>
          <w:rFonts w:ascii="Times New Roman;Times;serif" w:hAnsi="Times New Roman;Times;serif"/>
          <w:sz w:val="20"/>
          <w:u w:val="single"/>
        </w:rPr>
        <w:t>Series B Common Stock</w:t>
      </w:r>
      <w:r>
        <w:rPr>
          <w:rFonts w:ascii="Times New Roman;Times;serif" w:hAnsi="Times New Roman;Times;serif"/>
          <w:sz w:val="20"/>
        </w:rPr>
        <w:t>”), issued to the founders of Factorial pursuant to the Business Combination Agreement, (iv) 16,200,000 warrants to purchase shares of Common Stock (the “</w:t>
      </w:r>
      <w:r>
        <w:rPr>
          <w:rFonts w:ascii="Times New Roman;Times;serif" w:hAnsi="Times New Roman;Times;serif"/>
          <w:sz w:val="20"/>
          <w:u w:val="single"/>
        </w:rPr>
        <w:t>Warrants</w:t>
      </w:r>
      <w:r>
        <w:rPr>
          <w:rFonts w:ascii="Times New Roman;Times;serif" w:hAnsi="Times New Roman;Times;serif"/>
          <w:sz w:val="20"/>
        </w:rPr>
        <w:t>”) and (v) 16,200,000 shares of Common Stock issuable upon exercise of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a certificate of an officer of the Company.</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Factorial Energy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10,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Page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purpose of rendering our opinions set forth below, we have assumed that: (a) before effecting the Domestication, CGC’s board of directors and shareholders approved among other things (i) the Business Combination Agreement and all of the transactions contemplated thereunder, including the Domestication, the automatic conversion at the effective time of the Domestication of the then issued and outstanding CGC Class A Shares into the Domestication Shares and the issuance of the Domestication Shares upon such automatic conversion, (ii) the issuance of the Merger Shares and the shares of Series B Common Stock at the effective time of the Merger, (iii) the Certificate of Domestication, (iv) the Plan of Domestication, (v) the CGC Certificate of Incorporation, (vi) the CGC Bylaws and (vii) the Amended and Restated Warrant Agreement, dated June 5, 2026, by and between the Company and Continental Stock Transfer &amp; Trust Company (the “</w:t>
      </w:r>
      <w:r>
        <w:rPr>
          <w:rFonts w:ascii="Times New Roman;Times;serif" w:hAnsi="Times New Roman;Times;serif"/>
          <w:sz w:val="20"/>
          <w:u w:val="single"/>
        </w:rPr>
        <w:t>Warrant Agreement</w:t>
      </w:r>
      <w:r>
        <w:rPr>
          <w:rFonts w:ascii="Times New Roman;Times;serif" w:hAnsi="Times New Roman;Times;serif"/>
          <w:sz w:val="20"/>
        </w:rPr>
        <w:t>”), including the issuance of the shares of Common Stock issuable upon exercise of the Warrants, in each case in compliance with the applicable laws of the Cayman Islands and in accordance with CGC’s organizational documents; and (b) all other necessary action was taken under the applicable laws of the Cayman Islands to authorize and permit the Domestication, and any and all consents, approvals and authorizations from applicable Cayman Islands governmental and regulatory authorities required to authorize and permit the Domestication were obtained.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purposes of the opinions set forth below, we have assumed that after the issuance of any securities offered pursuant to the Registration Statement, the total number of issued shares of Common Stock, together with the total number of shares of such stock issuable upon the exercise, exchange, conversion or settlement, as the case may be, of any exercisable, exchangeable or convertible security (including without limitation any Warrant and Series B Common Stock), as the case may be, then outstanding, will not exceed the total number of authorized shares of Common Stock then available for issuance under the Company’s certificate of incorporation as then in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opinions set forth below are limited to the Delaware General Corporation Law and, solely for purposes of paragraph 4, the internal laws of the State of New York.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the foregoing, we are of the opinion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Domestication Shares have been duly authorized and validly issued and are fully paid and nonassessable.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Merger Shares have been duly authorized and, when delivered in accordance with the Business Combination Agreement, will be validly issued, fully paid and nonassessable.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shares of Common Stock issuable upon the conversion of the Series B Common Stock have been duly authorized and, upon the conversion thereof in accordance with the CGC Certificate of Incorporation, will be validly issued, fully paid and nonassessable.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Each Warrant constitutes a valid and binding obligation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Assuming the shares of Common Stock issuable upon exercise of the Warrants were issued today in accordance with the terms of the Warrant Agreement, they would be validly issued, fully paid and nonassessable.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opinions expressed above are subject to bankruptcy, insolvency, fraudulent transfer, reorganization, moratorium and other similar laws of general application affecting the rights and remedies of creditors and to general principles of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This opinion letter and the opinions it contains shall be interpreted in accordance with the Core Opinion Principles as published in 74 </w:t>
      </w:r>
      <w:r>
        <w:rPr>
          <w:rFonts w:ascii="Times New Roman;Times;serif" w:hAnsi="Times New Roman;Times;serif"/>
          <w:i/>
          <w:sz w:val="20"/>
        </w:rPr>
        <w:t>Business Lawyer</w:t>
      </w:r>
      <w:r>
        <w:rPr>
          <w:rFonts w:ascii="Times New Roman;Times;serif" w:hAnsi="Times New Roman;Times;serif"/>
          <w:sz w:val="20"/>
        </w:rPr>
        <w:t xml:space="preserve"> 815 (Summer 2019).</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hereby consent to the inclusion of this opinion as Exhibit 5.1 to the Registration Statement, as amended by the Amendment. In giving our consent, we do not admit that we are in the category of persons whose consent is required under Section 7 of the Securities Act or the rules and regulations thereunder.</w:t>
      </w:r>
    </w:p>
    <w:tbl>
      <w:tblPr>
        <w:tblW w:w="2510" w:type="dxa"/>
        <w:jc w:val="left"/>
        <w:tblInd w:w="0" w:type="dxa"/>
        <w:tblLayout w:type="fixed"/>
        <w:tblCellMar>
          <w:top w:w="0" w:type="dxa"/>
          <w:left w:w="0" w:type="dxa"/>
          <w:bottom w:w="0" w:type="dxa"/>
          <w:right w:w="0" w:type="dxa"/>
        </w:tblCellMar>
      </w:tblPr>
      <w:tblGrid>
        <w:gridCol w:w="2356"/>
        <w:gridCol w:w="154"/>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c>
          <w:tcPr>
            <w:tcW w:w="154" w:type="dxa"/>
            <w:tcBorders/>
            <w:vAlign w:val="center"/>
          </w:tcPr>
          <w:p>
            <w:pPr>
              <w:pStyle w:val="TableContents"/>
              <w:bidi w:val="0"/>
              <w:spacing w:before="0" w:after="0"/>
              <w:ind w:left="0" w:right="0" w:hanging="0"/>
              <w:jc w:val="left"/>
              <w:rPr/>
            </w:pPr>
            <w:r>
              <w:rPr/>
              <w:t>​</w:t>
            </w:r>
          </w:p>
        </w:tc>
      </w:tr>
      <w:tr>
        <w:trPr/>
        <w:tc>
          <w:tcPr>
            <w:tcW w:w="235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Goodwin Procter LLP</w:t>
            </w:r>
          </w:p>
        </w:tc>
        <w:tc>
          <w:tcPr>
            <w:tcW w:w="154" w:type="dxa"/>
            <w:tcBorders/>
            <w:vAlign w:val="center"/>
          </w:tcPr>
          <w:p>
            <w:pPr>
              <w:pStyle w:val="TableContents"/>
              <w:bidi w:val="0"/>
              <w:spacing w:before="0" w:after="0"/>
              <w:ind w:left="0" w:right="0" w:hanging="0"/>
              <w:jc w:val="left"/>
              <w:rPr/>
            </w:pPr>
            <w:r>
              <w:rPr/>
              <w:t>​</w:t>
            </w:r>
          </w:p>
        </w:tc>
      </w:tr>
      <w:tr>
        <w:trPr/>
        <w:tc>
          <w:tcPr>
            <w:tcW w:w="23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GOODWIN PROCTER LLP</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39" w:name="tmb-20260331xex23d1.htm"/>
      <w:bookmarkStart w:id="540" w:name="kstmb20260331xex23d1"/>
      <w:bookmarkEnd w:id="539"/>
      <w:bookmarkEnd w:id="540"/>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CONSENT OF INDEPENDENT REGISTERED PUBLIC ACCOUNTING FIRM</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We consent to the incorporation by reference in this Post-Effective Amendment No. 1 to the Registration Statement on Form S-4 of our report dated March 20, 2026 with respect to the financial statements of Cartesian Growth Corporation III for the year ended December 31, 2025 included in the Annual Report on Form 10-K. We also consent to the reference to us under the heading “Experts” in such Registration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2"/>
        </w:rPr>
        <w:t xml:space="preserve">/s/ </w:t>
      </w:r>
      <w:r>
        <w:rPr>
          <w:rFonts w:ascii="Times New Roman;Times;serif" w:hAnsi="Times New Roman;Times;serif"/>
          <w:smallCaps/>
          <w:sz w:val="22"/>
        </w:rPr>
        <w:t>CBIZ CPAs P.C.</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Houston, Texas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June 10,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541" w:name="tmb-20260331xex23d2.htm"/>
      <w:bookmarkStart w:id="542" w:name="kstmb20260331xex23d2"/>
      <w:bookmarkEnd w:id="541"/>
      <w:bookmarkEnd w:id="542"/>
      <w:r>
        <w:rPr>
          <w:rFonts w:ascii="Times New Roman;Times;serif" w:hAnsi="Times New Roman;Times;serif"/>
          <w:b/>
          <w:sz w:val="20"/>
        </w:rPr>
        <w:t>Exhibit 23.2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this post-effective amendment No. 1 to the registration statement (No. 333-294663) on Form S-4 (“Registration Statement”) of our report dated March 26, 2026, relating to the consolidated financial statements of Factorial Inc., appearing in the proxy statement/prospectus, which is a part of this Registration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consent to the reference to our firm under the heading “Experts” in such proxy statement/prospectus.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RSM US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RSM US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Boston, Massachusetts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June 10,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49662/000110465926032882/tmb-20251231x10k.htm" TargetMode="External"/><Relationship Id="rId3" Type="http://schemas.openxmlformats.org/officeDocument/2006/relationships/hyperlink" Target="https://www.sec.gov/ix?doc=/Archives/edgar/data/2049662/000110465926062778/tmb-20260331x10q.htm" TargetMode="External"/><Relationship Id="rId4" Type="http://schemas.openxmlformats.org/officeDocument/2006/relationships/hyperlink" Target="https://www.sec.gov/ix?doc=/Archives/edgar/data/2049662/000110465926032882/tmb-20251231x10k.htm" TargetMode="External"/><Relationship Id="rId5" Type="http://schemas.openxmlformats.org/officeDocument/2006/relationships/image" Target="media/image1.jpeg"/><Relationship Id="rId6" Type="http://schemas.openxmlformats.org/officeDocument/2006/relationships/hyperlink" Target="https://www.sec.gov/Archives/edgar/data/2049662/000110465926072433/tm2617149d1_ex3-1.htm" TargetMode="External"/><Relationship Id="rId7" Type="http://schemas.openxmlformats.org/officeDocument/2006/relationships/hyperlink" Target="https://www.sec.gov/Archives/edgar/data/2049662/000110465926072433/tm2617149d1_ex3-2.htm" TargetMode="External"/><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43366</Words>
  <Characters>240389</Characters>
  <CharactersWithSpaces>286790</CharactersWithSpaces>
  <Paragraphs>8514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