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538-4_3seq1.xml.htm"/>
      <w:bookmarkStart w:id="1" w:name="kstm26175384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Taylor Joseph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FACTORIAL ENERGY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805 MIDDLESEX TURNPIKE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BILLERICA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06/05/2026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Factorial Energy Inc.</w:t>
              </w:r>
            </w:hyperlink>
            <w:r>
              <w:rPr/>
              <w:t xml:space="preserve"> [ </w:t>
            </w:r>
            <w:r>
              <w:rPr>
                <w:rFonts w:ascii="Times;serif" w:hAnsi="Times;serif"/>
                <w:color w:val="0000FF"/>
                <w:sz w:val="24"/>
                <w:shd w:fill="FFFFFF" w:val="clear"/>
              </w:rPr>
              <w:t>FAC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23,041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590"/>
        <w:gridCol w:w="1222"/>
        <w:gridCol w:w="1125"/>
        <w:gridCol w:w="1302"/>
        <w:gridCol w:w="1141"/>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5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02/14/2030</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Series A 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414,776</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01/23/2035</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Series A 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108,471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06/20/2031</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Series A 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506,948</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09/20/2031</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Series A 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498,760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04/09/2032</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Series A 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1,778,378</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08/24/2032</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Series A 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412,145</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03/12/2035</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Series A 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135,221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10/07/2035</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Series A Common Stock</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183,420</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25% of the shares underlying this option vested on August 25, 2023, with the remainder vesting in thirty-six equal monthly installments thereafter, subject to the Reporting Person's continued service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shares underlying this option shall vest on September 4, 2026, with the remainder vesting in thirty-six equal monthly installments thereafter,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Wei,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17538d4_ex24.htm"/>
      <w:bookmarkStart w:id="3" w:name="kstm2617538d4_ex24"/>
      <w:bookmarkEnd w:id="2"/>
      <w:bookmarkEnd w:id="3"/>
      <w:r>
        <w:rPr/>
        <w:t> </w:t>
      </w:r>
      <w:r>
        <w:br w:type="page"/>
      </w:r>
    </w:p>
    <w:p>
      <w:pPr>
        <w:pStyle w:val="TextBody"/>
        <w:bidi w:val="0"/>
        <w:jc w:val="right"/>
        <w:rPr>
          <w:b/>
        </w:rPr>
      </w:pPr>
      <w:r>
        <w:rPr>
          <w:b/>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constitutes and appoints each of Siyu Huang, Richard Wei and Jason Duva, signing singly, and with full power of substitution,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execute for and on behalf of the undersigned, in the undersigned’s capacity as an officer, director, and/or securityholder of </w:t>
      </w:r>
      <w:r>
        <w:rPr>
          <w:rFonts w:ascii="Times New Roman;Times;Serif" w:hAnsi="Times New Roman;Times;Serif"/>
          <w:b w:val="false"/>
          <w:i w:val="false"/>
          <w:caps w:val="false"/>
          <w:smallCaps w:val="false"/>
          <w:sz w:val="20"/>
          <w:shd w:fill="FFFFFF" w:val="clear"/>
        </w:rPr>
        <w:t>Factorial Energy Inc.</w:t>
      </w:r>
      <w:r>
        <w:rPr>
          <w:rFonts w:ascii="Times New Roman;Times;Serif" w:hAnsi="Times New Roman;Times;Serif"/>
          <w:b w:val="false"/>
          <w:i w:val="false"/>
          <w:caps w:val="false"/>
          <w:smallCaps w:val="false"/>
          <w:sz w:val="20"/>
        </w:rPr>
        <w:t>,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shall expire as to any individual attorney-in-fact if such attorney-in-fact ceases to be an employee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May 15, 2026.</w:t>
      </w:r>
    </w:p>
    <w:p>
      <w:pPr>
        <w:pStyle w:val="TextBody"/>
        <w:bidi w:val="0"/>
        <w:spacing w:before="0" w:after="0"/>
        <w:ind w:left="0" w:right="0" w:hanging="0"/>
        <w:jc w:val="both"/>
        <w:rPr>
          <w:caps w:val="false"/>
          <w:smallCaps w:val="false"/>
        </w:rPr>
      </w:pPr>
      <w:r>
        <w:rPr>
          <w:caps w:val="false"/>
          <w:smallCaps w:val="false"/>
        </w:rPr>
        <w:t> </w:t>
      </w:r>
    </w:p>
    <w:tbl>
      <w:tblPr>
        <w:tblW w:w="1760" w:type="dxa"/>
        <w:jc w:val="left"/>
        <w:tblInd w:w="0" w:type="dxa"/>
        <w:tblLayout w:type="fixed"/>
        <w:tblCellMar>
          <w:top w:w="0" w:type="dxa"/>
          <w:left w:w="0" w:type="dxa"/>
          <w:bottom w:w="0" w:type="dxa"/>
          <w:right w:w="0" w:type="dxa"/>
        </w:tblCellMar>
      </w:tblPr>
      <w:tblGrid>
        <w:gridCol w:w="75"/>
        <w:gridCol w:w="1685"/>
      </w:tblGrid>
      <w:tr>
        <w:trPr/>
        <w:tc>
          <w:tcPr>
            <w:tcW w:w="75" w:type="dxa"/>
            <w:tcBorders/>
            <w:vAlign w:val="center"/>
          </w:tcPr>
          <w:p>
            <w:pPr>
              <w:pStyle w:val="TableContents"/>
              <w:bidi w:val="0"/>
              <w:spacing w:before="0" w:after="283"/>
              <w:jc w:val="left"/>
              <w:rPr/>
            </w:pPr>
            <w:r>
              <w:rPr/>
              <w:t> </w:t>
            </w:r>
          </w:p>
        </w:tc>
        <w:tc>
          <w:tcPr>
            <w:tcW w:w="16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M. Taylor</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M. Taylor</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36111" TargetMode="External"/><Relationship Id="rId3" Type="http://schemas.openxmlformats.org/officeDocument/2006/relationships/hyperlink" Target="http://www.sec.gov/cgi-bin/browse-edgar?action=getcompany&amp;CIK=00020496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1183</Words>
  <Characters>6382</Characters>
  <CharactersWithSpaces>7497</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