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3" w:lineRule="exact"/>
        <w:rPr>
          <w:sz w:val="24"/>
          <w:szCs w:val="24"/>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Factorial Names Dr. Dieter Zetsche to Board of Directors, Bringing World-Class Leadership to Its Commercial Scale and Public Market Journey</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Board appointment will add deep mobility and public company expertise to guide execution at scale</w:t>
      </w:r>
    </w:p>
    <w:p>
      <w:pPr>
        <w:spacing w:after="0" w:line="223"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Boston, MASS. – April 23,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Factorial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(“Factorial”), a leader in solid-state battery technology, today announced that, upon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announced business combination with Cartesian Growth Corporation III, Dr. Dieter Zetsche will be appointed to the Board of Directors of the combined company (the “Board”). Having served as an early investor and trusted advisor to the company since 2021, Dr. Zetsche's transition to the Board marks a natural and significant step in the company's progression toward public company readiness. It further reinforces Factorial's focus on strong governance and operational discipline as it continues to scale.</w:t>
      </w:r>
    </w:p>
    <w:p>
      <w:pPr>
        <w:spacing w:after="0" w:line="183"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"Working alongside Dr. Zetsche as an early investor and advisor has been one of the most valuable experiences in Factorial's journey. His vision for what Factorial can become has always pushed us to think bigger," said Siyu Huang, CEO of Factorial. "His extraordinary product vision and business acumen have shaped how we think about building a company that endures. His decision to join our Board, as we transition from technical milestones to disciplined commercial execution, reflects our shared commitment to bringing solid-state battery technology to the world.”</w:t>
      </w:r>
    </w:p>
    <w:p>
      <w:pPr>
        <w:spacing w:after="0" w:line="180"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Dr. Zetsche led Mercedes-Benz to the pinnacle of global industry - building a legacy defined by trust, innovation, and an uncompromising standard of excellence. Dr. Zetsche has witnessed firsthand how thoughtfully developed technology, built with patience and precision, can truly transform the way the world moves. Joining the Board, he brings that same proven playbook for scaling world-class technology into a global business at a pivotal moment in the company’s evolution.</w:t>
      </w:r>
    </w:p>
    <w:p>
      <w:pPr>
        <w:spacing w:after="0" w:line="180"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"What has always set Factorial apart, and what continues to energize me, is the team's exceptional combination of scientific rigor and commercial discipline,” said Dr. Zetsche. "The breadth of applications ahead, spanning mobility, drones, and industrial markets, only adds to my conviction. I am truly delighted to join the Board, and I believe the best chapters of this story are still to be written.”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140"/>
        <w:spacing w:after="0" w:line="256" w:lineRule="auto"/>
        <w:rPr>
          <w:sz w:val="20"/>
          <w:szCs w:val="20"/>
          <w:color w:val="auto"/>
        </w:rPr>
      </w:pPr>
      <w:r>
        <w:rPr>
          <w:rFonts w:ascii="Times New Roman" w:cs="Times New Roman" w:eastAsia="Times New Roman" w:hAnsi="Times New Roman"/>
          <w:sz w:val="18"/>
          <w:szCs w:val="18"/>
          <w:color w:val="auto"/>
        </w:rPr>
        <w:t>Dr. Dieter Zetsche served as Chairman of the Board of Management of Daimler AG from 2006 to 2019, leading Mercedes-Benz through a period of substantial global growth and strategic transformation. During his tenure, he strengthened Mercedes-Benz’s position as a leading premium automotive brand, expanded global production and international market presence, initiated early investments in electrification, autonomous driving, and digital mobility and drove sustained revenue growth and improved operational performance. Previously, Dr. Zetsche served as President and CEO of Chrysler Group, where he led a successful restructuring and operational turnaround. Dr. Zetsche holds a doctorate in electrical engineering from the University of Karlsruhe.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Factorial</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Founded and headquartered in the greater Boston area, Factorial operates at the forefront of solid-state battery development. Its proprietary FEST® and Solstice™ platforms deliver industry leading performance with scalable manufacturing, developed in close collaborations with strategic customers.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Factorial’s commercial partnerships include global automotive leaders such as Mercedes-Benz, Stellantis, Hyundai Motor Company, and Kia Corporation. For more information, visit </w:t>
      </w:r>
      <w:r>
        <w:rPr>
          <w:rFonts w:ascii="Times New Roman" w:cs="Times New Roman" w:eastAsia="Times New Roman" w:hAnsi="Times New Roman"/>
          <w:sz w:val="18"/>
          <w:szCs w:val="18"/>
          <w:u w:val="single" w:color="auto"/>
          <w:color w:val="auto"/>
        </w:rPr>
        <w:t>www.factorialenergy.com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consummation of the business combination,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Cartesian Growth Corporation III, a Cayman Islands exempted company (“Cartesian III”) and Factorial (“Business Combination”)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includes and will include a preliminary and definitive proxy statement to be distributed to Cartesian III’s shareholders in connection with Cartesian III’s solicitations of proxies from its shareholders with respect to the proposed business combination and other matters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8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2026-04-23T08:17:54Z</dcterms:created>
  <dcterms:modified xsi:type="dcterms:W3CDTF">2026-04-23T08:17:54Z</dcterms:modified>
</cp:coreProperties>
</file>