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2006-1_4seq1.xml.htm"/>
      <w:bookmarkStart w:id="1" w:name="kstm261200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CGC III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FIFTH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Cartesian Growth Corp III</w:t>
              </w:r>
            </w:hyperlink>
            <w:r>
              <w:rPr/>
              <w:t xml:space="preserve"> [ </w:t>
            </w:r>
            <w:r>
              <w:rPr>
                <w:rFonts w:ascii="Times;serif" w:hAnsi="Times;serif"/>
                <w:color w:val="0000FF"/>
                <w:sz w:val="24"/>
                <w:shd w:fill="FFFFFF" w:val="clear"/>
              </w:rPr>
              <w:t>CGCT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6"/>
        <w:gridCol w:w="902"/>
        <w:gridCol w:w="774"/>
        <w:gridCol w:w="572"/>
        <w:gridCol w:w="368"/>
        <w:gridCol w:w="1001"/>
        <w:gridCol w:w="432"/>
        <w:gridCol w:w="834"/>
        <w:gridCol w:w="1250"/>
        <w:gridCol w:w="970"/>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10.324</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1,371,000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10.327</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1,471,000</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2524"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816"/>
        <w:gridCol w:w="276"/>
        <w:gridCol w:w="906"/>
        <w:gridCol w:w="801"/>
        <w:gridCol w:w="831"/>
        <w:gridCol w:w="1101"/>
        <w:gridCol w:w="801"/>
        <w:gridCol w:w="966"/>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(5)</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34,963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143,498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r>
              <w:rPr/>
              <w:t xml:space="preserve"> </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0.86</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295,598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CGC III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FIFTH AVENUE, 15TH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Yu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FIFTH AVENUE, 15TH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Pangaea Three-B,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FIFTH AVENUE, 15TH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Class A ordinary shares of Cartesian Growth Corporation III (the "Issuer") held directly by Pangaea Three-B, LP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Class B ordinary shares of the Issuer have no expiration date and will automatically convert into Class A ordinary shares concurrently with or immediately following the consummation of the Issuer's initial business combination, or earlier at the option of the holder, on a one-for-one basis, subject to adjustment, as described in the Registration Statement on Form S-1 (File No. 333-284565) (the "Registration Statement") related to the Issuer's initial public offering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6,800,000 Class B ordinary shares held directly by the Sponsor and 100,000 Class B ordinary shares held directly by CGC III Sponsor DirectorCo LLC ("DirectorCo") (of which 90,000 shares are held by DirectorCo for the benefit of the Issuer's independent directors). The Sponsor is the sole managing member of DirectorCo. Pangaea is the sole member of the Sponsor and is controlled by Peter Yu. Consequently, each of Pangaea and Mr. Yu may be deemed to share voting and dispositive control over the securities held by the Sponsor and DirectorCo, and thus to share beneficial ownership of such securities. Each of Pangaea and Mr. Yu disclaims beneficial ownership of such securities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warrant becomes exercisable on the later of one year after the closing of the Issuer's initial public offering or 30 days after the completion of an initial business combination, as described in the Issuer's prospectus filed with the SEC. The warrants expire five years after the completion of an initial business combination, or earlier upon redemption or liquidation, as described in the Issuer's prospectus filed with the SEC.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4,400,000 private placement warrants held directly by the Sponsor. Pangaea is the sole member of the Sponsor and is controlled by Peter Yu. Consequently, each of Pangaea and Mr. Yu may be deemed to share voting and dispositive control over the securities held by the Sponsor, and thus to share beneficial ownership of such securities. Each of Pangaea and Mr. Yu disclaims beneficial ownership of such securities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108,535 warrants held directly by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Martin,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612" TargetMode="External"/><Relationship Id="rId5" Type="http://schemas.openxmlformats.org/officeDocument/2006/relationships/hyperlink" Target="http://www.sec.gov/cgi-bin/browse-edgar?action=getcompany&amp;CIK=0002049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49612" TargetMode="External"/><Relationship Id="rId9" Type="http://schemas.openxmlformats.org/officeDocument/2006/relationships/hyperlink" Target="http://www.sec.gov/cgi-bin/browse-edgar?action=getcompany&amp;CIK=0001426890" TargetMode="External"/><Relationship Id="rId10" Type="http://schemas.openxmlformats.org/officeDocument/2006/relationships/hyperlink" Target="http://www.sec.gov/cgi-bin/browse-edgar?action=getcompany&amp;CIK=0001754782"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6556</Characters>
  <CharactersWithSpaces>7635</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