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May 11, 2026</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725"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7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11, 2026, Cartesian Growth Corporation III (“Cartesian III”) and Factorial Inc. (“Factorial”), a U.S.-based leader in solid-state battery technology, announced that their joint registration statement on Form S-4, filed with the Securities and Exchange Commission in connection with the previously announced business combination between Factorial and Cartesian III, was declared effective by the SEC on May 6, 2026 and the extraordinary general meeting of shareholders of Cartesian III in connection with such business combination will be held at 10:00 a.m., Eastern Time on May 27, 2026.</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effectiveness of the joint registration statement and the extraordinary general meeting of shareholders of Cartesian III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Factorial’s and Cartesian III’s expectations regarding consummation of the business combination and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solicitations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11, 2026.</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891"/>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Yu</w:t>
            </w:r>
          </w:p>
        </w:tc>
      </w:tr>
      <w:tr>
        <w:trPr>
          <w:trHeight w:val="191"/>
        </w:trPr>
        <w:tc>
          <w:tcPr>
            <w:tcW w:w="66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Yu</w:t>
            </w: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Factorial and Cartesian III Registration Statement Declared Effective by SEC in Connection with Proposed Business Combination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Extraordinary General Meeting of Shareholders to Approve Business Combination Scheduled for May 27, 2026</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BOSTON and NEW YORK— May 11, 2026 — Factorial Inc. (“Factorial” or the “Company”), a leader in solid-state battery technology, and Cartesian Growth Corporation III (“Cartesian III”) (NASDAQ: CGCT) today announced that their joint registration statement on Form S-4, filed with the SEC in connection with the previously announced business combination between Factorial and Cartesian III (“Business Combination”), was declared effective by the SEC on May 6, 2026.</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of shareholders of Cartesian III in connection with the Business Combination will be held at 10:00 a.m., Eastern Time on May 27, 2026. The proxy statement/prospectus relating to the Extraordinary General Meeting was first mailed on or about May 6, 2026 to Cartesian III shareholders as of the close of business on the record date of May 1, 2026.</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Cartesian III currently holds approximately $287 million in cash in trust (subject to redemption). Assuming no redemptions, the proposed business combination is expected to result in a pro forma equity value of approximately $1.5 billion, which also includes an expected $100 million common equity PIPE investment from an institutional investor and a Cartesian III affiliate, positioning the combined company to accelerate commercialization and scale manufacturing.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announcing the proposed business combination, Factorial has announced the following milestones in 2026:</w:t>
      </w:r>
    </w:p>
    <w:p>
      <w:pPr>
        <w:spacing w:after="0" w:line="221" w:lineRule="exact"/>
        <w:rPr>
          <w:sz w:val="20"/>
          <w:szCs w:val="20"/>
          <w:color w:val="auto"/>
        </w:rPr>
      </w:pPr>
    </w:p>
    <w:p>
      <w:pPr>
        <w:jc w:val="both"/>
        <w:ind w:left="660" w:right="560" w:hanging="328"/>
        <w:spacing w:after="0" w:line="316" w:lineRule="auto"/>
        <w:tabs>
          <w:tab w:leader="none" w:pos="66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 xml:space="preserve">Strategic Investment by IQT: </w:t>
      </w:r>
      <w:r>
        <w:rPr>
          <w:rFonts w:ascii="Times New Roman" w:cs="Times New Roman" w:eastAsia="Times New Roman" w:hAnsi="Times New Roman"/>
          <w:sz w:val="17"/>
          <w:szCs w:val="17"/>
          <w:u w:val="single" w:color="auto"/>
          <w:color w:val="auto"/>
        </w:rPr>
        <w:t>The investment from IQT</w:t>
      </w:r>
      <w:r>
        <w:rPr>
          <w:rFonts w:ascii="Times New Roman" w:cs="Times New Roman" w:eastAsia="Times New Roman" w:hAnsi="Times New Roman"/>
          <w:sz w:val="17"/>
          <w:szCs w:val="17"/>
          <w:color w:val="auto"/>
        </w:rPr>
        <w:t>, the not-for-profit strategic investor for the U.S. national security community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America’s allies, and other strategic partners will extend Factorial’s platform in high-performance applications such as drones and robotics.</w:t>
      </w:r>
    </w:p>
    <w:p>
      <w:pPr>
        <w:spacing w:after="0" w:line="132" w:lineRule="exact"/>
        <w:rPr>
          <w:rFonts w:ascii="Arial" w:cs="Arial" w:eastAsia="Arial" w:hAnsi="Arial"/>
          <w:sz w:val="17"/>
          <w:szCs w:val="17"/>
          <w:b w:val="1"/>
          <w:bCs w:val="1"/>
          <w:color w:val="auto"/>
        </w:rPr>
      </w:pPr>
    </w:p>
    <w:p>
      <w:pPr>
        <w:ind w:left="660" w:right="4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First U.S. Solid-State Production Program for Passenger Vehicles: </w:t>
      </w:r>
      <w:r>
        <w:rPr>
          <w:rFonts w:ascii="Times New Roman" w:cs="Times New Roman" w:eastAsia="Times New Roman" w:hAnsi="Times New Roman"/>
          <w:sz w:val="18"/>
          <w:szCs w:val="18"/>
          <w:color w:val="auto"/>
        </w:rPr>
        <w:t>A partnership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Karma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launch the first solid-state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program in the United States for passenger vehicles</w:t>
      </w:r>
    </w:p>
    <w:p>
      <w:pPr>
        <w:spacing w:after="0" w:line="155" w:lineRule="exact"/>
        <w:rPr>
          <w:rFonts w:ascii="Arial" w:cs="Arial" w:eastAsia="Arial" w:hAnsi="Arial"/>
          <w:sz w:val="18"/>
          <w:szCs w:val="18"/>
          <w:b w:val="1"/>
          <w:bCs w:val="1"/>
          <w:color w:val="auto"/>
        </w:rPr>
      </w:pPr>
    </w:p>
    <w:p>
      <w:pPr>
        <w:ind w:left="660" w:right="54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Strengthened Global Supply Chain: </w:t>
      </w:r>
      <w:r>
        <w:rPr>
          <w:rFonts w:ascii="Times New Roman" w:cs="Times New Roman" w:eastAsia="Times New Roman" w:hAnsi="Times New Roman"/>
          <w:sz w:val="18"/>
          <w:szCs w:val="18"/>
          <w:color w:val="auto"/>
        </w:rPr>
        <w:t>The investment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POSCO Future M</w:t>
      </w:r>
      <w:r>
        <w:rPr>
          <w:rFonts w:ascii="Times New Roman" w:cs="Times New Roman" w:eastAsia="Times New Roman" w:hAnsi="Times New Roman"/>
          <w:sz w:val="18"/>
          <w:szCs w:val="18"/>
          <w:color w:val="auto"/>
        </w:rPr>
        <w:t>, a leading Korean battery materials supplier, and entry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Memorandum of Understanding regarding a strategic manufacturing partnership with </w:t>
      </w:r>
      <w:r>
        <w:rPr>
          <w:rFonts w:ascii="Times New Roman" w:cs="Times New Roman" w:eastAsia="Times New Roman" w:hAnsi="Times New Roman"/>
          <w:sz w:val="18"/>
          <w:szCs w:val="18"/>
          <w:u w:val="single" w:color="auto"/>
          <w:color w:val="auto"/>
        </w:rPr>
        <w:t>Philenergy</w:t>
      </w:r>
      <w:r>
        <w:rPr>
          <w:rFonts w:ascii="Times New Roman" w:cs="Times New Roman" w:eastAsia="Times New Roman" w:hAnsi="Times New Roman"/>
          <w:sz w:val="18"/>
          <w:szCs w:val="18"/>
          <w:color w:val="auto"/>
        </w:rPr>
        <w:t>, a leading Korean battery equipment and infrastructure provider to accelerate all-solid-state battery manufacturing, strengthening the Company’s global supply chain.</w:t>
      </w:r>
    </w:p>
    <w:p>
      <w:pPr>
        <w:spacing w:after="0" w:line="169" w:lineRule="exact"/>
        <w:rPr>
          <w:rFonts w:ascii="Arial" w:cs="Arial" w:eastAsia="Arial" w:hAnsi="Arial"/>
          <w:sz w:val="18"/>
          <w:szCs w:val="18"/>
          <w:b w:val="1"/>
          <w:bCs w:val="1"/>
          <w:color w:val="auto"/>
        </w:rPr>
      </w:pPr>
    </w:p>
    <w:p>
      <w:pPr>
        <w:ind w:left="660" w:right="8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World-Class Leadership. </w:t>
      </w:r>
      <w:r>
        <w:rPr>
          <w:rFonts w:ascii="Times New Roman" w:cs="Times New Roman" w:eastAsia="Times New Roman" w:hAnsi="Times New Roman"/>
          <w:sz w:val="18"/>
          <w:szCs w:val="18"/>
          <w:color w:val="auto"/>
        </w:rPr>
        <w:t>The upcoming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Dr. Dieter Zetsche</w:t>
      </w:r>
      <w:r>
        <w:rPr>
          <w:rFonts w:ascii="Times New Roman" w:cs="Times New Roman" w:eastAsia="Times New Roman" w:hAnsi="Times New Roman"/>
          <w:sz w:val="18"/>
          <w:szCs w:val="18"/>
          <w:color w:val="auto"/>
        </w:rPr>
        <w:t>, former Chairman of Daimler AG and Head of Mercedes-Benz Cars,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Board of Directors</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developments reflect continued execution of Factorial’s core priorities, including advancing commercialization, supply chain development, and strengthening its leadership team.</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parties anticipate that the Business Combination will close in June 2026 subject to satisfaction of the conditions to the closing of the Business Combination, including the approval of the Business Combination by Cartesian III shareholders. Following completion of the transaction, the combined company’s shares and public warrants are expected to trade on the Nasdaq Capital Market under the ticker symbols “FAC” and “FACWW,” respectively, subject to final listing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Factorial Energy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Founded and headquartered in the greater Boston area, Factorial operates at the forefront of solid-state battery development. Its proprietary FEST® and Solstice™ platforms deliver industry leading performance with scalable manufacturing, developed in close collaborations with strategic customers.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Factorial’s commercial partnerships include global automotive leaders such as Mercedes-Benz, Stellantis, Hyundai Motor Company, and Kia Corporation. For more information, visit </w:t>
      </w:r>
      <w:r>
        <w:rPr>
          <w:rFonts w:ascii="Times New Roman" w:cs="Times New Roman" w:eastAsia="Times New Roman" w:hAnsi="Times New Roman"/>
          <w:sz w:val="18"/>
          <w:szCs w:val="18"/>
          <w:u w:val="single" w:color="auto"/>
          <w:color w:val="auto"/>
        </w:rPr>
        <w:t>www.factorialenergy.com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Growth Corporation III</w:t>
      </w:r>
    </w:p>
    <w:p>
      <w:pPr>
        <w:spacing w:after="0" w:line="22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 xml:space="preserve">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 For more information about Cartesian III, please visit </w:t>
      </w:r>
      <w:r>
        <w:rPr>
          <w:rFonts w:ascii="Times New Roman" w:cs="Times New Roman" w:eastAsia="Times New Roman" w:hAnsi="Times New Roman"/>
          <w:sz w:val="18"/>
          <w:szCs w:val="18"/>
          <w:u w:val="single" w:color="auto"/>
          <w:color w:val="auto"/>
        </w:rPr>
        <w:t>www.cartesiangrowth.com/cgc3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communication relates to the proposed Business Combination between Cartesian III and Factorial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solicitations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Factorial IR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IR@factorialenergy.com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III IR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contact3@cartesiangrowth.com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2026-05-11T08:16:14Z</dcterms:created>
  <dcterms:modified xsi:type="dcterms:W3CDTF">2026-05-11T08:16:14Z</dcterms:modified>
</cp:coreProperties>
</file>