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5" w:right="339" w:bottom="1440"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80" w:space="720"/>
            <w:col w:w="2400"/>
          </w:cols>
          <w:pgMar w:left="320" w:top="725" w:right="339" w:bottom="1440"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220" w:space="720"/>
            <w:col w:w="3300"/>
          </w:cols>
          <w:pgMar w:left="320" w:top="7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provided in Item 2.03 of this Current Report on Form 8-K is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May 18, 2026, Cartesian Growth Corporation III (the “Company”) issued an unsecured promissory note (the “Note”) in the principal amount of $150,000 to CGC III Sponsor LLC (the “Sponsor”). The Note does not bear interest and the principal balance will be payable on the earlier to occur of (i) the date on which the Company consummates its initial business combination and (ii) the date that the winding up of the Company is effective (such earlier date, the “Maturity Date”). In the event the Company consummates its initial business combination, the Sponsor has the option on the Maturity Date to convert all or any portion of the principal outstanding under the Note into that number of warrants (“Working Capital Warrants”) equal to the portion of the principal amount of the Note being converted divided by $1.00, rounded up to the nearest whole number. The terms of the Working Capital Warrants, if any, would be identical to the terms of the private placement warrants issued by the Company at the time of its initial public offering (the “IPO”), as described in the prospectus for the IPO dated May 5, 2025 and filed with the U.S. Securities and Exchange Commission, including the transfer restrictions applicable thereto. The Note is subject to customary events of default, the occurrence of certain of which automatically triggers the unpaid principal balance of the Note and all other sums payable with regard to the Note becoming immediately due and payable.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issuance of the Note was made pursuant to the exemption from registration contained in Section 4(a)(2) of the Securities Act of 1933, as amended.</w:t>
      </w:r>
    </w:p>
    <w:p>
      <w:pPr>
        <w:spacing w:after="0" w:line="23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Note is qualified in its entirety by reference to the full text of the Note, a copy of which is filed as Exhibit 10.1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Promissory Note issued in favor of CGC III Sponsor LLC, dated May 18, 2026</w:t>
      </w:r>
    </w:p>
    <w:p>
      <w:pPr>
        <w:spacing w:after="0" w:line="27" w:lineRule="exact"/>
        <w:rPr>
          <w:sz w:val="20"/>
          <w:szCs w:val="20"/>
          <w:color w:val="auto"/>
        </w:rPr>
      </w:pPr>
    </w:p>
    <w:p>
      <w:pPr>
        <w:ind w:left="5580" w:right="4080" w:hanging="5572"/>
        <w:spacing w:after="0" w:line="761" w:lineRule="auto"/>
        <w:tabs>
          <w:tab w:leader="none" w:pos="13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Yu</w:t>
            </w:r>
          </w:p>
        </w:tc>
        <w:tc>
          <w:tcPr>
            <w:tcW w:w="562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Yu</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May 18, 2026</w:t>
            </w:r>
          </w:p>
        </w:tc>
        <w:tc>
          <w:tcPr>
            <w:tcW w:w="5620" w:type="dxa"/>
            <w:vAlign w:val="bottom"/>
          </w:tcPr>
          <w:p>
            <w:pPr>
              <w:spacing w:after="0"/>
              <w:rPr>
                <w:sz w:val="24"/>
                <w:szCs w:val="24"/>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b w:val="1"/>
          <w:bCs w:val="1"/>
          <w:color w:val="auto"/>
        </w:rPr>
        <w:t>THIS PROMISSORY NOTE (THIS “NOTE”) AND THE SECURITIES INTO WHICH THE NOTE MAY BE CONVERTED HAVE NOT BEEN REGISTERED UNDER THE SECURITIES ACT OF 1933, AS AMENDED (THE “SECURITIES ACT”), OR UNDER THE SECURITIES LAWS OF ANY STATE. THIS NOTE HAS BEEN ACQUIRED FOR INVESTMENT ONLY AND THIS NOTE AND THE SECURITIES INTO WHICH THIS NOTE MAY BE CONVERTED MAY NOT BE SOLD, TRANSFERRED OR ASSIGNED IN THE ABSENCE OF REGISTRATION OF THE RESALE THEREOF UNDER THE SECURITIES ACT OR AN OPINION OF COUNSEL REASONABLY SATISFACTORY IN FORM, SCOPE AND SUBSTANCE TO THE MAKER THAT SUCH REGISTRATION IS NOT REQUIRED.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8"/>
          <w:szCs w:val="18"/>
          <w:color w:val="auto"/>
        </w:rPr>
        <w:t>Principal Amount: $150,000</w:t>
      </w:r>
      <w:r>
        <w:rPr>
          <w:sz w:val="20"/>
          <w:szCs w:val="20"/>
          <w:color w:val="auto"/>
        </w:rPr>
        <w:tab/>
      </w:r>
      <w:r>
        <w:rPr>
          <w:rFonts w:ascii="Times New Roman" w:cs="Times New Roman" w:eastAsia="Times New Roman" w:hAnsi="Times New Roman"/>
          <w:sz w:val="17"/>
          <w:szCs w:val="17"/>
          <w:color w:val="auto"/>
        </w:rPr>
        <w:t>Dated as of May 18, 2026</w:t>
      </w:r>
    </w:p>
    <w:p>
      <w:pPr>
        <w:spacing w:after="0" w:line="22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Cartesian Growth Corporation III, a Cayman Islands exempted company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 the order of CGC III Sponsor LLC, a Cayman Islands limited liability company, or its registered assigns or successors in interest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the principal sum of One Hundred Fifty Thousand Dollars ($150,000) in lawful money of the United States of America, on the terms and conditions described below. All payments on this Note shall be made by check or wire transfer of immediately available funds or as otherwise determined by Maker to such account as Payee may from time to time designate by written notice in accordance with the provisions of this Note.</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       Principal. </w:t>
      </w:r>
      <w:r>
        <w:rPr>
          <w:rFonts w:ascii="Times New Roman" w:cs="Times New Roman" w:eastAsia="Times New Roman" w:hAnsi="Times New Roman"/>
          <w:sz w:val="18"/>
          <w:szCs w:val="18"/>
          <w:color w:val="auto"/>
        </w:rPr>
        <w:t>The principal balance of this Note shall be payable on the earliest to occur of (i) the date on which Maker consummates its initial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and (ii) the date that the winding up of Maker is effective (such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principal balance may be prepaid at any time. Under no circumstances shall any individual, including but not limited to any officer, director, employee or shareholder of Maker, be obligated personally for any obligations or liabilities of Maker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Interest. </w:t>
      </w:r>
      <w:r>
        <w:rPr>
          <w:rFonts w:ascii="Times New Roman" w:cs="Times New Roman" w:eastAsia="Times New Roman" w:hAnsi="Times New Roman"/>
          <w:sz w:val="18"/>
          <w:szCs w:val="18"/>
          <w:color w:val="auto"/>
        </w:rPr>
        <w:t>No interest shall accrue on the unpaid principal balance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Drawdown. </w:t>
      </w:r>
      <w:r>
        <w:rPr>
          <w:rFonts w:ascii="Times New Roman" w:cs="Times New Roman" w:eastAsia="Times New Roman" w:hAnsi="Times New Roman"/>
          <w:sz w:val="18"/>
          <w:szCs w:val="18"/>
          <w:color w:val="auto"/>
        </w:rPr>
        <w:t>Upon execution of this Note, Payee shall fund One Hundred Fifty Thousand Dollars ($150,000).</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       Application of Payments. </w:t>
      </w:r>
      <w:r>
        <w:rPr>
          <w:rFonts w:ascii="Times New Roman" w:cs="Times New Roman" w:eastAsia="Times New Roman" w:hAnsi="Times New Roman"/>
          <w:sz w:val="18"/>
          <w:szCs w:val="18"/>
          <w:color w:val="auto"/>
        </w:rPr>
        <w:t>All payments shall first be applied to the payment in full of any costs incurred in connection with the collection of any sum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under this Note, including (without limitation) reasonable attorney’s fees, then to the payment in full of any late charges and finally to the reduction of the unpaid principal balance of this Note.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Conversion.</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           At Payee’s option, on the Maturity Date in the event Maker consummates its initial business combination, Payee may elect to convert all or any portion of the principal outstanding under this Note into that number of warrants (“</w:t>
      </w:r>
      <w:r>
        <w:rPr>
          <w:rFonts w:ascii="Times New Roman" w:cs="Times New Roman" w:eastAsia="Times New Roman" w:hAnsi="Times New Roman"/>
          <w:sz w:val="18"/>
          <w:szCs w:val="18"/>
          <w:b w:val="1"/>
          <w:bCs w:val="1"/>
          <w:color w:val="auto"/>
        </w:rPr>
        <w:t>Working Capital Warrants</w:t>
      </w:r>
      <w:r>
        <w:rPr>
          <w:rFonts w:ascii="Times New Roman" w:cs="Times New Roman" w:eastAsia="Times New Roman" w:hAnsi="Times New Roman"/>
          <w:sz w:val="18"/>
          <w:szCs w:val="18"/>
          <w:color w:val="auto"/>
        </w:rPr>
        <w:t>”) equal to: (i) the portion of the principal amount of this Note being converted pursuant to this Section 5, divided by (ii) $1.00, rounded up to the nearest whole number. Each Working Capital Warrant shall have the same terms and conditions as the warrants issued by Maker pursuant to a private placement to Payee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as described in the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Maker’s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dated May 5, 2025 and filed with the U.S. Securities and Exchange Commission, including the transfer restrictions applicable thereto. The Working Capital Warrants and the Class A ordinary shares underlying such warrants, and any other equity security of Maker issued or issuable with respect to the foregoing by way of a share dividend or share split or in connection with a combination of shares, recapitalization, merger, consolidation or reorganization, shall be entitled to the registration rights set forth in that certain registration rights agreement among Maker, Payee and the other parties thereto, dated as of May 5, 2025.</w:t>
      </w:r>
    </w:p>
    <w:p>
      <w:pPr>
        <w:spacing w:after="0" w:line="18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(b)           Upon any complete or partial conversion of the principal amount of this Note, (i) such principal amount shall be so converted and such converted portion of this Note shall become fully paid and satisfied, (ii) Payee shall surrender and deliver this Note, duly endorsed, to Maker or such other address which Maker shall designate against delivery of the Working Capital Warrants, (iii) Maker shall promptly deliver a new duly executed Note to Payee in the principal amount that remains outstanding, if any, after any such conversion and (iv) in exchange for all or any portion of the surrendered Note, Maker shall, within five (5) business days following receipt by Maker of Payee’s election to convert this Note pursuant to this Section 5, deliver to Payee the Working Capital Warrants, which shall bear such legends as are required in the opinion of counsel to Maker or by any other agreement between Maker and Payee and applicable state and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Payee shall pay any and all issue and other taxes that may be payable with respect to any issue or delivery of the Working Capital Warrants upon conversion of this Note pursuant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Payee shall not be obligated to pay any transfer taxes resulting from any transfer requested by Payee in connection with any such conversion.</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(d)            The Working Capital Warrants shall not be issued upon conversion of this Note unless such issuance and such conversion comply with all applicable provisions of law. No fractional warrants shall be issued upon conversion of this Note. For the avoidance of doubt, in the event that all principal on this Note has been paid in full on or prior to the Maturity Date, then Payee shall not be entitled to convert any portion of this Note into Working Capital Warrants. Upon conversion of this Note in full, this Note shall be cancelled and void without further action of Maker or Payee, and Maker shall be forever released from all its obligations and liabilities under this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Events of Default. </w:t>
      </w:r>
      <w:r>
        <w:rPr>
          <w:rFonts w:ascii="Times New Roman" w:cs="Times New Roman" w:eastAsia="Times New Roman" w:hAnsi="Times New Roman"/>
          <w:sz w:val="18"/>
          <w:szCs w:val="18"/>
          <w:color w:val="auto"/>
        </w:rPr>
        <w:t>The following shall constitute an event of default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Maker to pay the principal amount due pursuant to this Note within five (5) business days of the date specified in Section 1 above.</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Remedies. </w:t>
      </w:r>
      <w:r>
        <w:rPr>
          <w:rFonts w:ascii="Times New Roman" w:cs="Times New Roman" w:eastAsia="Times New Roman" w:hAnsi="Times New Roman"/>
          <w:sz w:val="18"/>
          <w:szCs w:val="18"/>
          <w:color w:val="auto"/>
        </w:rPr>
        <w:t>Subject to Section 13 below:</w:t>
      </w:r>
    </w:p>
    <w:p>
      <w:pPr>
        <w:spacing w:after="0" w:line="22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            Upon the occurrence of an Event of Default specified in Section 6(a)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            Upon the occurrence of an Event of Default specified in Sections 6(b) or 6(c), the unpaid principal balance of this Note, and all other sums payable with regard to this Note, shall automatically and immediately become due and payable, in all cases without any action on the part of Payee.</w:t>
      </w:r>
    </w:p>
    <w:p>
      <w:pPr>
        <w:spacing w:after="0" w:line="1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       Waivers. </w:t>
      </w:r>
      <w:r>
        <w:rPr>
          <w:rFonts w:ascii="Times New Roman" w:cs="Times New Roman" w:eastAsia="Times New Roman" w:hAnsi="Times New Roman"/>
          <w:sz w:val="18"/>
          <w:szCs w:val="18"/>
          <w:color w:val="auto"/>
        </w:rPr>
        <w:t>Maker and all endorsers and guarantors of, and sureties for, this Note waive presentment for payment, demand, notice of dishonor, protest,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notice of protest with regard to this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       Unconditional Liability. </w:t>
      </w:r>
      <w:r>
        <w:rPr>
          <w:rFonts w:ascii="Times New Roman" w:cs="Times New Roman" w:eastAsia="Times New Roman" w:hAnsi="Times New Roman"/>
          <w:sz w:val="18"/>
          <w:szCs w:val="18"/>
          <w:color w:val="auto"/>
        </w:rPr>
        <w:t>Maker hereby waives all notices in connection with the delivery, acceptance, performance, default, or enforcement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     Notices. </w:t>
      </w:r>
      <w:r>
        <w:rPr>
          <w:rFonts w:ascii="Times New Roman" w:cs="Times New Roman" w:eastAsia="Times New Roman" w:hAnsi="Times New Roman"/>
          <w:sz w:val="18"/>
          <w:szCs w:val="18"/>
          <w:color w:val="auto"/>
        </w:rPr>
        <w:t>All notices, statements or other documents which are required or contemplated by this Note shall be in writing and delivered: (i) personally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 by first class registered or certified mail, overnight courier service to the address designated in writing by such party,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mail, one (1) business day after delivery to an overnight courier service or five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days after mailing if sent by mail.</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Construction and Governing Law. </w:t>
      </w:r>
      <w:r>
        <w:rPr>
          <w:rFonts w:ascii="Times New Roman" w:cs="Times New Roman" w:eastAsia="Times New Roman" w:hAnsi="Times New Roman"/>
          <w:sz w:val="18"/>
          <w:szCs w:val="18"/>
          <w:color w:val="auto"/>
        </w:rPr>
        <w:t>THIS NOTE SHALL BE CONSTRUED AND ENFORCED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 WITHOUT REGARD TO CONFLICT OF LAW PROVISIONS THEREOF.</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     Severability. </w:t>
      </w:r>
      <w:r>
        <w:rPr>
          <w:rFonts w:ascii="Times New Roman" w:cs="Times New Roman" w:eastAsia="Times New Roman" w:hAnsi="Times New Roman"/>
          <w:sz w:val="18"/>
          <w:szCs w:val="18"/>
          <w:color w:val="auto"/>
        </w:rPr>
        <w:t>Any provision contained in this Note which is prohibited or unenforceable in any jurisdiction shall, as to such jurisdiction, be ineffective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    Trust Waiver. </w:t>
      </w:r>
      <w:r>
        <w:rPr>
          <w:rFonts w:ascii="Times New Roman" w:cs="Times New Roman" w:eastAsia="Times New Roman" w:hAnsi="Times New Roman"/>
          <w:sz w:val="18"/>
          <w:szCs w:val="18"/>
          <w:color w:val="auto"/>
        </w:rPr>
        <w:t>Notwithstanding anything herein to the contrary, Payee hereby waives any and all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to any distribution of or from the trust account in which a portion of the proceeds of the IPO and the Private Placement were deposited, as described in greater detail in the Prospectus, and hereby agrees not to seek recourse, reimbursement, payment or satisfaction for any Claim against the trust account for any reason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the consummation of the initial business combination, Maker shall repay the principal balance of this Note out of the proceeds released to Maker from the trust account.</w:t>
      </w:r>
    </w:p>
    <w:p>
      <w:pPr>
        <w:spacing w:after="0" w:line="179" w:lineRule="exact"/>
        <w:rPr>
          <w:sz w:val="20"/>
          <w:szCs w:val="20"/>
          <w:color w:val="auto"/>
        </w:rPr>
      </w:pPr>
    </w:p>
    <w:p>
      <w:pPr>
        <w:ind w:right="100" w:firstLine="8"/>
        <w:spacing w:after="0" w:line="286" w:lineRule="auto"/>
        <w:tabs>
          <w:tab w:leader="none" w:pos="27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Amendment; Waiver. </w:t>
      </w:r>
      <w:r>
        <w:rPr>
          <w:rFonts w:ascii="Times New Roman" w:cs="Times New Roman" w:eastAsia="Times New Roman" w:hAnsi="Times New Roman"/>
          <w:sz w:val="18"/>
          <w:szCs w:val="18"/>
          <w:color w:val="auto"/>
        </w:rPr>
        <w:t>Any amendment hereto or waiver of any provision hereof may be made with, and only with, the written consent of Maker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Payee, except to the extent deemed given by Maker pursuant to Section 8 and 9 above.</w:t>
      </w:r>
    </w:p>
    <w:p>
      <w:pPr>
        <w:spacing w:after="0" w:line="15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     Assignment. </w:t>
      </w:r>
      <w:r>
        <w:rPr>
          <w:rFonts w:ascii="Times New Roman" w:cs="Times New Roman" w:eastAsia="Times New Roman" w:hAnsi="Times New Roman"/>
          <w:sz w:val="18"/>
          <w:szCs w:val="18"/>
          <w:color w:val="auto"/>
        </w:rPr>
        <w:t>No assignment or transfer of this Note or any rights or obligations hereunder may be made by any party hereto (by operation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without the prior written consent of the other party hereto and any attempted assignment without the required consent shall be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apply to an affiliate of Payee who agrees to be bound by the terms of this Note.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Maker and Payee, intending to be legally bound hereby, have caused this Note to be duly executed by the undersigned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day and year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CGC III SPONSOR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Rafael de Luque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Rafael de Luque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 and Vice President</w:t>
            </w: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80"/>
      </w:cols>
      <w:pgMar w:left="320" w:top="90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2026-05-18T16:28:27Z</dcterms:created>
  <dcterms:modified xsi:type="dcterms:W3CDTF">2026-05-18T16:28:27Z</dcterms:modified>
</cp:coreProperties>
</file>