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349885</wp:posOffset>
            </wp:positionV>
            <wp:extent cx="5401945" cy="6985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U.S. Securities and Exchange Commission on June 30, 2026.</w:t>
      </w:r>
    </w:p>
    <w:p>
      <w:pPr>
        <w:spacing w:after="0" w:line="27" w:lineRule="exact"/>
        <w:rPr>
          <w:sz w:val="24"/>
          <w:szCs w:val="24"/>
          <w:color w:val="auto"/>
        </w:rPr>
      </w:pPr>
    </w:p>
    <w:p>
      <w:pPr>
        <w:jc w:val="right"/>
        <w:ind w:right="779"/>
        <w:spacing w:after="0"/>
        <w:rPr>
          <w:sz w:val="20"/>
          <w:szCs w:val="20"/>
          <w:color w:val="auto"/>
        </w:rPr>
      </w:pPr>
      <w:r>
        <w:rPr>
          <w:rFonts w:ascii="Times New Roman" w:cs="Times New Roman" w:eastAsia="Times New Roman" w:hAnsi="Times New Roman"/>
          <w:sz w:val="12"/>
          <w:szCs w:val="12"/>
          <w:b w:val="1"/>
          <w:bCs w:val="1"/>
          <w:color w:val="auto"/>
        </w:rPr>
        <w:t>Registration No. 333-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FACTORIAL ENERGY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Certificate of Incorporation)</w:t>
      </w:r>
    </w:p>
    <w:p>
      <w:pPr>
        <w:spacing w:after="0" w:line="191" w:lineRule="exact"/>
        <w:rPr>
          <w:sz w:val="24"/>
          <w:szCs w:val="24"/>
          <w:color w:val="auto"/>
        </w:rPr>
      </w:pPr>
    </w:p>
    <w:tbl>
      <w:tblPr>
        <w:tblLayout w:type="fixed"/>
        <w:tblInd w:w="1360" w:type="dxa"/>
        <w:tblCellMar>
          <w:top w:w="0" w:type="dxa"/>
          <w:left w:w="0" w:type="dxa"/>
          <w:bottom w:w="0" w:type="dxa"/>
          <w:right w:w="0" w:type="dxa"/>
        </w:tblCellMar>
      </w:tblPr>
      <w:tr>
        <w:trPr>
          <w:trHeight w:val="126"/>
        </w:trPr>
        <w:tc>
          <w:tcPr>
            <w:tcW w:w="1920" w:type="dxa"/>
            <w:vAlign w:val="bottom"/>
          </w:tcPr>
          <w:p>
            <w:pPr>
              <w:jc w:val="center"/>
              <w:ind w:right="552"/>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25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89"/>
              </w:rPr>
              <w:t>3690</w:t>
            </w:r>
          </w:p>
        </w:tc>
        <w:tc>
          <w:tcPr>
            <w:tcW w:w="1660" w:type="dxa"/>
            <w:vAlign w:val="bottom"/>
          </w:tcPr>
          <w:p>
            <w:pPr>
              <w:jc w:val="center"/>
              <w:ind w:left="652"/>
              <w:spacing w:after="0"/>
              <w:rPr>
                <w:sz w:val="20"/>
                <w:szCs w:val="20"/>
                <w:color w:val="auto"/>
              </w:rPr>
            </w:pPr>
            <w:r>
              <w:rPr>
                <w:rFonts w:ascii="Times New Roman" w:cs="Times New Roman" w:eastAsia="Times New Roman" w:hAnsi="Times New Roman"/>
                <w:sz w:val="10"/>
                <w:szCs w:val="10"/>
                <w:b w:val="1"/>
                <w:bCs w:val="1"/>
                <w:color w:val="auto"/>
                <w:w w:val="99"/>
              </w:rPr>
              <w:t>42-2967285</w:t>
            </w:r>
          </w:p>
        </w:tc>
      </w:tr>
      <w:tr>
        <w:trPr>
          <w:trHeight w:val="206"/>
        </w:trPr>
        <w:tc>
          <w:tcPr>
            <w:tcW w:w="1920" w:type="dxa"/>
            <w:vAlign w:val="bottom"/>
          </w:tcPr>
          <w:p>
            <w:pPr>
              <w:jc w:val="center"/>
              <w:ind w:right="572"/>
              <w:spacing w:after="0"/>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25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7"/>
              </w:rPr>
              <w:t>(Primary Standard Industrial</w:t>
            </w:r>
          </w:p>
        </w:tc>
        <w:tc>
          <w:tcPr>
            <w:tcW w:w="1660" w:type="dxa"/>
            <w:vAlign w:val="bottom"/>
          </w:tcPr>
          <w:p>
            <w:pPr>
              <w:jc w:val="center"/>
              <w:ind w:left="632"/>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6"/>
        </w:trPr>
        <w:tc>
          <w:tcPr>
            <w:tcW w:w="1920" w:type="dxa"/>
            <w:vAlign w:val="bottom"/>
          </w:tcPr>
          <w:p>
            <w:pPr>
              <w:jc w:val="center"/>
              <w:ind w:right="572"/>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5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Classification Code Number)</w:t>
            </w:r>
          </w:p>
        </w:tc>
        <w:tc>
          <w:tcPr>
            <w:tcW w:w="1660" w:type="dxa"/>
            <w:vAlign w:val="bottom"/>
          </w:tcPr>
          <w:p>
            <w:pPr>
              <w:jc w:val="center"/>
              <w:ind w:left="652"/>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805 Middlesex Turnpike</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Billerica, MA 01821</w:t>
      </w:r>
    </w:p>
    <w:p>
      <w:pPr>
        <w:jc w:val="center"/>
        <w:ind w:right="19"/>
        <w:spacing w:after="0" w:line="229" w:lineRule="auto"/>
        <w:rPr>
          <w:sz w:val="20"/>
          <w:szCs w:val="20"/>
          <w:color w:val="auto"/>
        </w:rPr>
      </w:pPr>
      <w:r>
        <w:rPr>
          <w:rFonts w:ascii="Times New Roman" w:cs="Times New Roman" w:eastAsia="Times New Roman" w:hAnsi="Times New Roman"/>
          <w:sz w:val="10"/>
          <w:szCs w:val="10"/>
          <w:b w:val="1"/>
          <w:bCs w:val="1"/>
          <w:color w:val="auto"/>
        </w:rPr>
        <w:t>(617) 315-9733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10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0"/>
          <w:szCs w:val="10"/>
          <w:b w:val="1"/>
          <w:bCs w:val="1"/>
          <w:color w:val="auto"/>
        </w:rPr>
        <w:t>Siyu Huang</w:t>
      </w:r>
    </w:p>
    <w:p>
      <w:pPr>
        <w:spacing w:after="0" w:line="2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0"/>
          <w:szCs w:val="10"/>
          <w:b w:val="1"/>
          <w:bCs w:val="1"/>
          <w:color w:val="auto"/>
        </w:rPr>
        <w:t>Chief Executive Officer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805 Middlesex Turnpike</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Billerica, MA 01821</w:t>
      </w:r>
    </w:p>
    <w:p>
      <w:pPr>
        <w:ind w:left="2360" w:hanging="259"/>
        <w:spacing w:after="0"/>
        <w:tabs>
          <w:tab w:leader="none" w:pos="236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315-9733 </w:t>
      </w: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i w:val="1"/>
          <w:iCs w:val="1"/>
          <w:color w:val="auto"/>
        </w:rPr>
        <w:t>Copies to:</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Jocelyn M. Arel</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Jeffrey A. Letalien</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Goodwin Procter LLP</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620 Eighth Avenue</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New York, NY 10018</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(212) 813-8800</w:t>
      </w:r>
    </w:p>
    <w:p>
      <w:pPr>
        <w:spacing w:after="0" w:line="97"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From time to time after the effective date of this Registration Statement</w:t>
      </w:r>
    </w:p>
    <w:p>
      <w:pPr>
        <w:spacing w:after="0" w:line="43" w:lineRule="exact"/>
        <w:rPr>
          <w:sz w:val="24"/>
          <w:szCs w:val="24"/>
          <w:color w:val="auto"/>
        </w:rPr>
      </w:pPr>
    </w:p>
    <w:p>
      <w:pPr>
        <w:ind w:left="760" w:right="779" w:firstLine="249"/>
        <w:spacing w:after="0" w:line="127" w:lineRule="exact"/>
        <w:rPr>
          <w:sz w:val="20"/>
          <w:szCs w:val="20"/>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0"/>
          <w:szCs w:val="10"/>
          <w:color w:val="auto"/>
        </w:rPr>
        <w:t>☒</w:t>
      </w:r>
    </w:p>
    <w:p>
      <w:pPr>
        <w:spacing w:after="0" w:line="16" w:lineRule="exact"/>
        <w:rPr>
          <w:sz w:val="24"/>
          <w:szCs w:val="24"/>
          <w:color w:val="auto"/>
        </w:rPr>
      </w:pPr>
    </w:p>
    <w:p>
      <w:pPr>
        <w:ind w:left="760" w:right="799" w:firstLine="249"/>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7" w:lineRule="exact"/>
        <w:rPr>
          <w:sz w:val="24"/>
          <w:szCs w:val="24"/>
          <w:color w:val="auto"/>
        </w:rPr>
      </w:pPr>
    </w:p>
    <w:p>
      <w:pPr>
        <w:ind w:left="760" w:right="819" w:firstLine="249"/>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6" w:lineRule="exact"/>
        <w:rPr>
          <w:sz w:val="24"/>
          <w:szCs w:val="24"/>
          <w:color w:val="auto"/>
        </w:rPr>
      </w:pPr>
    </w:p>
    <w:p>
      <w:pPr>
        <w:ind w:left="760" w:right="819" w:firstLine="249"/>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6" w:lineRule="exact"/>
        <w:rPr>
          <w:sz w:val="24"/>
          <w:szCs w:val="24"/>
          <w:color w:val="auto"/>
        </w:rPr>
      </w:pPr>
    </w:p>
    <w:p>
      <w:pPr>
        <w:ind w:left="760" w:right="879" w:firstLine="249"/>
        <w:spacing w:after="0" w:line="238"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7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420" w:type="dxa"/>
            <w:vAlign w:val="bottom"/>
          </w:tcPr>
          <w:p>
            <w:pPr>
              <w:ind w:left="1260"/>
              <w:spacing w:after="0" w:line="111" w:lineRule="exact"/>
              <w:rPr>
                <w:sz w:val="20"/>
                <w:szCs w:val="20"/>
                <w:color w:val="auto"/>
              </w:rPr>
            </w:pPr>
            <w:r>
              <w:rPr>
                <w:rFonts w:ascii="MS PGothic" w:cs="MS PGothic" w:eastAsia="MS PGothic" w:hAnsi="MS PGothic"/>
                <w:sz w:val="11"/>
                <w:szCs w:val="11"/>
                <w:color w:val="auto"/>
              </w:rPr>
              <w:t>☐</w:t>
            </w:r>
          </w:p>
        </w:tc>
        <w:tc>
          <w:tcPr>
            <w:tcW w:w="2520" w:type="dxa"/>
            <w:vAlign w:val="bottom"/>
          </w:tcPr>
          <w:p>
            <w:pPr>
              <w:ind w:left="60"/>
              <w:spacing w:after="0"/>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1"/>
                <w:szCs w:val="11"/>
                <w:color w:val="auto"/>
              </w:rPr>
              <w:t>Accelerated filer</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5"/>
        </w:trPr>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420" w:type="dxa"/>
            <w:vAlign w:val="bottom"/>
          </w:tcPr>
          <w:p>
            <w:pPr>
              <w:ind w:left="1260"/>
              <w:spacing w:after="0" w:line="111" w:lineRule="exact"/>
              <w:rPr>
                <w:sz w:val="20"/>
                <w:szCs w:val="20"/>
                <w:color w:val="auto"/>
              </w:rPr>
            </w:pPr>
            <w:r>
              <w:rPr>
                <w:rFonts w:ascii="MS PGothic" w:cs="MS PGothic" w:eastAsia="MS PGothic" w:hAnsi="MS PGothic"/>
                <w:sz w:val="11"/>
                <w:szCs w:val="11"/>
                <w:color w:val="auto"/>
              </w:rPr>
              <w:t>☒</w:t>
            </w:r>
          </w:p>
        </w:tc>
        <w:tc>
          <w:tcPr>
            <w:tcW w:w="2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2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Emerging growth company</w:t>
            </w:r>
          </w:p>
        </w:tc>
        <w:tc>
          <w:tcPr>
            <w:tcW w:w="1280" w:type="dxa"/>
            <w:vAlign w:val="bottom"/>
          </w:tcPr>
          <w:p>
            <w:pPr>
              <w:ind w:left="11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1" w:lineRule="exact"/>
        <w:rPr>
          <w:sz w:val="24"/>
          <w:szCs w:val="24"/>
          <w:color w:val="auto"/>
        </w:rPr>
      </w:pPr>
    </w:p>
    <w:p>
      <w:pPr>
        <w:ind w:left="760" w:right="1079"/>
        <w:spacing w:after="0" w:line="127"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5" w:lineRule="exact"/>
        <w:rPr>
          <w:sz w:val="24"/>
          <w:szCs w:val="24"/>
          <w:color w:val="auto"/>
        </w:rPr>
      </w:pPr>
    </w:p>
    <w:p>
      <w:pPr>
        <w:ind w:left="760" w:right="879"/>
        <w:spacing w:after="0" w:line="292" w:lineRule="auto"/>
        <w:rPr>
          <w:sz w:val="20"/>
          <w:szCs w:val="20"/>
          <w:color w:val="auto"/>
        </w:rPr>
      </w:pPr>
      <w:r>
        <w:rPr>
          <w:rFonts w:ascii="Times New Roman" w:cs="Times New Roman" w:eastAsia="Times New Roman" w:hAnsi="Times New Roman"/>
          <w:sz w:val="8"/>
          <w:szCs w:val="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w:t>
      </w:r>
    </w:p>
    <w:p>
      <w:pPr>
        <w:ind w:left="760"/>
        <w:spacing w:after="0"/>
        <w:rPr>
          <w:sz w:val="20"/>
          <w:szCs w:val="20"/>
          <w:color w:val="auto"/>
        </w:rPr>
      </w:pPr>
      <w:r>
        <w:rPr>
          <w:rFonts w:ascii="Times New Roman" w:cs="Times New Roman" w:eastAsia="Times New Roman" w:hAnsi="Times New Roman"/>
          <w:sz w:val="10"/>
          <w:szCs w:val="10"/>
          <w:b w:val="1"/>
          <w:bCs w:val="1"/>
          <w:color w:val="auto"/>
        </w:rPr>
        <w:t>shall become effective on such date as the SEC, acting pursuant to said Section 8(a), may determine.</w:t>
      </w:r>
    </w:p>
    <w:p>
      <w:pPr>
        <w:sectPr>
          <w:pgSz w:w="11900" w:h="16838" w:orient="portrait"/>
          <w:cols w:equalWidth="0" w:num="1">
            <w:col w:w="9019"/>
          </w:cols>
          <w:pgMar w:left="1440" w:top="852" w:right="1440" w:bottom="1440" w:gutter="0" w:footer="0" w:header="0"/>
        </w:sectPr>
      </w:pPr>
    </w:p>
    <w:bookmarkStart w:id="1" w:name="page2"/>
    <w:bookmarkEnd w:id="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336"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4"/>
          <w:szCs w:val="14"/>
          <w:b w:val="1"/>
          <w:bCs w:val="1"/>
          <w:color w:val="FF0000"/>
        </w:rPr>
        <w:t>SUBJECT TO COMPLETION DATED JUNE 30, 2026</w:t>
      </w:r>
    </w:p>
    <w:p>
      <w:pPr>
        <w:sectPr>
          <w:pgSz w:w="11900" w:h="16838" w:orient="portrait"/>
          <w:cols w:equalWidth="0" w:num="1">
            <w:col w:w="9019"/>
          </w:cols>
          <w:pgMar w:left="1440" w:top="571" w:right="1440" w:bottom="1440" w:gutter="0" w:footer="0" w:header="0"/>
        </w:sectPr>
      </w:pP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1194"/>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SecuritiesandExchange</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isnotpermitted.</w:t>
            </w:r>
          </w:p>
        </w:tc>
      </w:tr>
      <w:tr>
        <w:trPr>
          <w:trHeight w:val="2704"/>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notbesolduntiltheregistrationstatementfiledwiththe</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thesesecuritiesinanyjurisdictionwheretheofferorsale</w:t>
            </w:r>
          </w:p>
        </w:tc>
      </w:tr>
      <w:tr>
        <w:trPr>
          <w:trHeight w:val="980"/>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Thesesecuritiesmay</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seekanoffertobuy</w:t>
            </w:r>
          </w:p>
        </w:tc>
      </w:tr>
      <w:tr>
        <w:trPr>
          <w:trHeight w:val="818"/>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maybechanged.</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tosellnordoesit</w:t>
            </w:r>
          </w:p>
        </w:tc>
      </w:tr>
      <w:tr>
        <w:trPr>
          <w:trHeight w:val="668"/>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completeand</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isnotanoffer</w:t>
            </w:r>
          </w:p>
        </w:tc>
      </w:tr>
      <w:tr>
        <w:trPr>
          <w:trHeight w:val="2540"/>
        </w:trPr>
        <w:tc>
          <w:tcPr>
            <w:tcW w:w="10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Theinformationinthispreliminaryprospectusisnot</w:t>
            </w:r>
          </w:p>
        </w:tc>
        <w:tc>
          <w:tcPr>
            <w:tcW w:w="120" w:type="dxa"/>
            <w:vAlign w:val="bottom"/>
            <w:textDirection w:val="btLr"/>
          </w:tcPr>
          <w:p>
            <w:pPr>
              <w:spacing w:after="0"/>
              <w:rPr>
                <w:sz w:val="20"/>
                <w:szCs w:val="20"/>
                <w:color w:val="auto"/>
              </w:rPr>
            </w:pPr>
            <w:r>
              <w:rPr>
                <w:rFonts w:ascii="Times New Roman" w:cs="Times New Roman" w:eastAsia="Times New Roman" w:hAnsi="Times New Roman"/>
                <w:sz w:val="11"/>
                <w:szCs w:val="11"/>
                <w:b w:val="1"/>
                <w:bCs w:val="1"/>
                <w:color w:val="FF0000"/>
              </w:rPr>
              <w:t>Commissioniseffective.Thispreliminaryprospectus</w:t>
            </w: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14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3"/>
          <w:szCs w:val="33"/>
          <w:b w:val="1"/>
          <w:bCs w:val="1"/>
          <w:color w:val="auto"/>
        </w:rPr>
        <w:t>Factorial Energy Inc.</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86,441,489 Shares of Series A Common Stock by the Selling Securityholders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13,800,000 Shares of Series A Common Stock Issuable Upon the Exercise of Public</w:t>
      </w:r>
    </w:p>
    <w:p>
      <w:pPr>
        <w:spacing w:after="0" w:line="3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58" w:lineRule="exact"/>
        <w:rPr>
          <w:sz w:val="20"/>
          <w:szCs w:val="20"/>
          <w:color w:val="auto"/>
        </w:rPr>
      </w:pPr>
    </w:p>
    <w:p>
      <w:pPr>
        <w:ind w:right="819" w:firstLine="249"/>
        <w:spacing w:after="0" w:line="249" w:lineRule="auto"/>
        <w:rPr>
          <w:sz w:val="20"/>
          <w:szCs w:val="20"/>
          <w:color w:val="auto"/>
        </w:rPr>
      </w:pPr>
      <w:r>
        <w:rPr>
          <w:rFonts w:ascii="Times New Roman" w:cs="Times New Roman" w:eastAsia="Times New Roman" w:hAnsi="Times New Roman"/>
          <w:sz w:val="14"/>
          <w:szCs w:val="14"/>
          <w:color w:val="auto"/>
        </w:rPr>
        <w:t>This prospectus relates to (i) the issuance by Factorial Energy Inc. (the “Company” or “Factorial Energy”) of up to 13,800,000 shares of Factorial Energy Inc. Series A Common Stock that may be issued upon the exercise of the Factorial Energy Public Warrants (as defined below), and (ii) the offer and sale from time to time by the selling securityholders named in this prospectus (the “Selling Securityholders”) of up to 86,441,489 shares of Series A Common Stock, par value $0.00001 per share of Factorial Energy Inc. (the “Series A Common Stock”), consisting of (a) 32,812,316 shares of Series A Common Stock issued to holders of Factorial Inc. (“Legacy Factorial”) capital stock (excluding treasury shares, dissenting shares and shares held by the Legacy Factorial Founders) (“Non-Founder Stockholders”), (b) 15,512,744 shares of Series A Common Stock issuable upon conversion of 15,512,744 shares of Series B Common Stock, par value $0.00001 per share of Factorial Energy Inc. (the “Series B Common Stock”), issued to the Legacy Factorial Founders (together with the Non-Founder Stockholders, the “Legacy Factorial Stockholders”), (c) 5,810,000 shares of Series A Common Stock issued to the Sponsor (as defined below) and certain initial shareholders of CGC (as defined below), (d) 7,519,404 shares of Series A Common Stock in the aggregate issued in connection with the PIPE Investments to PIPE Investors and shares purchased by Pangaea Three-B, LP, an affiliate of Sponsor (the “Sponsor Investor”), to satisfy in part its purchase obligations under its Investor Stock Purchase Agreement (as defined below), (e) 13,293,953 shares of Series A Common Stock issuable upon exercise of options to purchase Series A Common Stock held by certain Selling Securityholders (the “Options”), (f) 4,630,954 shares of Series A Common Stock issuable upon vesting and settlement of restricted stock unit awards (the “RSUs”) held by certain Selling Securityholders, (g) 62,118 shares of Series A Common Stock issued to Cantor Fitzgerald &amp; Co. (“CF&amp;CO”) pursuant to a financial advisor engagement letter with respect to services provided by CF&amp;CO to the Company in connection with the Business Combination (as defined below) and (h) 6,800,000 shares of Series A Common Stock that may be issued upon the exercise of the Private Warrants (as defined below).</w:t>
      </w:r>
    </w:p>
    <w:p>
      <w:pPr>
        <w:spacing w:after="0" w:line="150" w:lineRule="exact"/>
        <w:rPr>
          <w:sz w:val="20"/>
          <w:szCs w:val="20"/>
          <w:color w:val="auto"/>
        </w:rPr>
      </w:pPr>
    </w:p>
    <w:p>
      <w:pPr>
        <w:ind w:right="1159" w:firstLine="249"/>
        <w:spacing w:after="0" w:line="278" w:lineRule="auto"/>
        <w:rPr>
          <w:sz w:val="20"/>
          <w:szCs w:val="20"/>
          <w:color w:val="auto"/>
        </w:rPr>
      </w:pPr>
      <w:r>
        <w:rPr>
          <w:rFonts w:ascii="Times New Roman" w:cs="Times New Roman" w:eastAsia="Times New Roman" w:hAnsi="Times New Roman"/>
          <w:sz w:val="14"/>
          <w:szCs w:val="14"/>
          <w:color w:val="auto"/>
        </w:rPr>
        <w:t>The 13,800,000 shares of Series A Common Stock offered hereby may be issued upon the exercise of the Factorial Energy Inc. Public Warrants at an exercise price of $11.50 per share (the “Public Warrants”).</w:t>
      </w:r>
    </w:p>
    <w:p>
      <w:pPr>
        <w:spacing w:after="0" w:line="126" w:lineRule="exact"/>
        <w:rPr>
          <w:sz w:val="20"/>
          <w:szCs w:val="20"/>
          <w:color w:val="auto"/>
        </w:rPr>
      </w:pPr>
    </w:p>
    <w:p>
      <w:pPr>
        <w:ind w:right="799" w:firstLine="249"/>
        <w:spacing w:after="0" w:line="255"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Series A Common Stock by the Selling Securityholders pursuant to this prospectus, except with respect to amounts received by us upon exercise of the Public Warrants and the Options to the extent such Public Warrants and Options are exercised for cash.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42" w:lineRule="exact"/>
        <w:rPr>
          <w:sz w:val="20"/>
          <w:szCs w:val="20"/>
          <w:color w:val="auto"/>
        </w:rPr>
      </w:pPr>
    </w:p>
    <w:p>
      <w:pPr>
        <w:ind w:right="779" w:firstLine="249"/>
        <w:spacing w:after="0" w:line="277" w:lineRule="auto"/>
        <w:rPr>
          <w:sz w:val="20"/>
          <w:szCs w:val="20"/>
          <w:color w:val="auto"/>
        </w:rPr>
      </w:pPr>
      <w:r>
        <w:rPr>
          <w:rFonts w:ascii="Times New Roman" w:cs="Times New Roman" w:eastAsia="Times New Roman" w:hAnsi="Times New Roman"/>
          <w:sz w:val="13"/>
          <w:szCs w:val="13"/>
          <w:color w:val="auto"/>
        </w:rPr>
        <w:t>We are registering the offer and sale of certain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 w:cs="Times New Roman" w:eastAsia="Times New Roman" w:hAnsi="Times New Roman"/>
          <w:sz w:val="13"/>
          <w:szCs w:val="13"/>
          <w:i w:val="1"/>
          <w:iCs w:val="1"/>
          <w:color w:val="auto"/>
        </w:rPr>
        <w:t>Selling Securityholders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in this prospectus.</w:t>
      </w:r>
    </w:p>
    <w:p>
      <w:pPr>
        <w:sectPr>
          <w:pgSz w:w="11900" w:h="16838" w:orient="portrait"/>
          <w:cols w:equalWidth="0" w:num="2">
            <w:col w:w="980" w:space="280"/>
            <w:col w:w="7759"/>
          </w:cols>
          <w:pgMar w:left="1440" w:top="571" w:right="1440" w:bottom="1440" w:gutter="0" w:footer="0" w:header="0"/>
          <w:type w:val="continuous"/>
        </w:sectPr>
      </w:pPr>
    </w:p>
    <w:bookmarkStart w:id="2" w:name="page3"/>
    <w:bookmarkEnd w:id="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You should read this prospectus and any prospectus supplement or amendment carefully before you invest in our securities.</w:t>
      </w:r>
    </w:p>
    <w:p>
      <w:pPr>
        <w:spacing w:after="0" w:line="171"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Our Series A Common Stock is listed on the Nasdaq Capital Market under the symbol “FAC”. On June 26, 2026, the closing price of our Series A Common Stock was $11.41 per share. Our Warrants are listed on the Nasdaq Capital Market under the symbol “FACWW.” On June 26, 2026, the closing price of our Public Warrants was $1.40 per warrant.</w:t>
      </w:r>
    </w:p>
    <w:p>
      <w:pPr>
        <w:spacing w:after="0" w:line="136" w:lineRule="exact"/>
        <w:rPr>
          <w:sz w:val="20"/>
          <w:szCs w:val="20"/>
          <w:color w:val="auto"/>
        </w:rPr>
      </w:pPr>
    </w:p>
    <w:p>
      <w:pPr>
        <w:ind w:left="760" w:right="859" w:firstLine="249"/>
        <w:spacing w:after="0" w:line="281" w:lineRule="auto"/>
        <w:rPr>
          <w:sz w:val="20"/>
          <w:szCs w:val="20"/>
          <w:color w:val="auto"/>
        </w:rPr>
      </w:pPr>
      <w:r>
        <w:rPr>
          <w:rFonts w:ascii="Times New Roman" w:cs="Times New Roman" w:eastAsia="Times New Roman" w:hAnsi="Times New Roman"/>
          <w:sz w:val="14"/>
          <w:szCs w:val="14"/>
          <w:b w:val="1"/>
          <w:bCs w:val="1"/>
          <w:color w:val="auto"/>
        </w:rPr>
        <w:t>We are an “emerging growth company,” as that term is defined under the federal securities laws and, as such, are subject to certain reduced public company reporting requirements.</w:t>
      </w:r>
    </w:p>
    <w:p>
      <w:pPr>
        <w:spacing w:after="0" w:line="122" w:lineRule="exact"/>
        <w:rPr>
          <w:sz w:val="20"/>
          <w:szCs w:val="20"/>
          <w:color w:val="auto"/>
        </w:rPr>
      </w:pPr>
    </w:p>
    <w:p>
      <w:pPr>
        <w:ind w:left="760" w:right="1199" w:firstLine="249"/>
        <w:spacing w:after="0" w:line="281"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that are described in the “Risk Factors” section beginning on page 9 of this prospectus.</w:t>
      </w:r>
    </w:p>
    <w:p>
      <w:pPr>
        <w:spacing w:after="0" w:line="122" w:lineRule="exact"/>
        <w:rPr>
          <w:sz w:val="20"/>
          <w:szCs w:val="20"/>
          <w:color w:val="auto"/>
        </w:rPr>
      </w:pPr>
    </w:p>
    <w:p>
      <w:pPr>
        <w:ind w:left="760" w:right="939" w:firstLine="24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(“SEC”) nor any state securities commission has approved or disapproved of the securities to be issued under this prospectus or determined if this prospectus is truthful or complete. Any representation to the contrary is a criminal offense.</w:t>
      </w:r>
    </w:p>
    <w:p>
      <w:pPr>
        <w:spacing w:after="0" w:line="134" w:lineRule="exact"/>
        <w:rPr>
          <w:sz w:val="20"/>
          <w:szCs w:val="20"/>
          <w:color w:val="auto"/>
        </w:rPr>
      </w:pPr>
    </w:p>
    <w:tbl>
      <w:tblPr>
        <w:tblLayout w:type="fixed"/>
        <w:tblInd w:w="3340" w:type="dxa"/>
        <w:tblCellMar>
          <w:top w:w="0" w:type="dxa"/>
          <w:left w:w="0" w:type="dxa"/>
          <w:bottom w:w="0" w:type="dxa"/>
          <w:right w:w="0" w:type="dxa"/>
        </w:tblCellMar>
      </w:tblPr>
      <w:tr>
        <w:trPr>
          <w:trHeight w:val="183"/>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2026.</w:t>
            </w:r>
          </w:p>
        </w:tc>
      </w:tr>
    </w:tbl>
    <w:p>
      <w:pPr>
        <w:sectPr>
          <w:pgSz w:w="11900" w:h="16838" w:orient="portrait"/>
          <w:cols w:equalWidth="0" w:num="1">
            <w:col w:w="9019"/>
          </w:cols>
          <w:pgMar w:left="1440" w:top="571" w:right="1440" w:bottom="1440" w:gutter="0" w:footer="0" w:header="0"/>
        </w:sectPr>
      </w:pPr>
    </w:p>
    <w:bookmarkStart w:id="3" w:name="page4"/>
    <w:bookmarkEnd w:id="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690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EE"/>
              </w:rPr>
              <w:t>MARKET AND INDUSTRY DATA</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5"/>
        </w:trPr>
        <w:tc>
          <w:tcPr>
            <w:tcW w:w="6900" w:type="dxa"/>
            <w:vAlign w:val="bottom"/>
            <w:gridSpan w:val="24"/>
            <w:vMerge w:val="continue"/>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INTRODUCTORY NOTE AND FREQUENTLY USED TERMS</w:t>
            </w: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ii</w:t>
            </w:r>
          </w:p>
        </w:tc>
        <w:tc>
          <w:tcPr>
            <w:tcW w:w="0" w:type="dxa"/>
            <w:vAlign w:val="bottom"/>
          </w:tcPr>
          <w:p>
            <w:pPr>
              <w:spacing w:after="0"/>
              <w:rPr>
                <w:sz w:val="1"/>
                <w:szCs w:val="1"/>
                <w:color w:val="auto"/>
              </w:rPr>
            </w:pPr>
          </w:p>
        </w:tc>
      </w:tr>
      <w:tr>
        <w:trPr>
          <w:trHeight w:val="146"/>
        </w:trPr>
        <w:tc>
          <w:tcPr>
            <w:tcW w:w="1720" w:type="dxa"/>
            <w:vAlign w:val="bottom"/>
            <w:tcBorders>
              <w:top w:val="single" w:sz="8" w:color="0000EE"/>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1920" w:type="dxa"/>
            <w:vAlign w:val="bottom"/>
            <w:tcBorders>
              <w:top w:val="single" w:sz="8" w:color="0000EE"/>
            </w:tcBorders>
            <w:gridSpan w:val="9"/>
          </w:tcPr>
          <w:p>
            <w:pPr>
              <w:spacing w:after="0"/>
              <w:rPr>
                <w:sz w:val="12"/>
                <w:szCs w:val="12"/>
                <w:color w:val="auto"/>
              </w:rPr>
            </w:pPr>
          </w:p>
        </w:tc>
        <w:tc>
          <w:tcPr>
            <w:tcW w:w="3260" w:type="dxa"/>
            <w:vAlign w:val="bottom"/>
            <w:gridSpan w:val="5"/>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vi</w:t>
            </w: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PROSPECTUS SUMMARY</w:t>
            </w: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6"/>
        </w:trPr>
        <w:tc>
          <w:tcPr>
            <w:tcW w:w="1600" w:type="dxa"/>
            <w:vAlign w:val="bottom"/>
            <w:tcBorders>
              <w:top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rPr>
              <w:t>THE OFFERING</w:t>
            </w:r>
          </w:p>
        </w:tc>
        <w:tc>
          <w:tcPr>
            <w:tcW w:w="5300" w:type="dxa"/>
            <w:vAlign w:val="bottom"/>
            <w:gridSpan w:val="15"/>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tcBorders>
              <w:bottom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2440" w:type="dxa"/>
            <w:vAlign w:val="bottom"/>
            <w:gridSpan w:val="3"/>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240" w:type="dxa"/>
            <w:vAlign w:val="bottom"/>
            <w:tcBorders>
              <w:bottom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660" w:type="dxa"/>
            <w:vAlign w:val="bottom"/>
            <w:gridSpan w:val="17"/>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DETERMINATION OF OFFERING PRICE</w:t>
            </w: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tcBorders>
              <w:top w:val="single" w:sz="8" w:color="0000EE"/>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7"/>
              </w:rPr>
              <w:t>DIVIDEND POLICY</w:t>
            </w:r>
          </w:p>
        </w:tc>
        <w:tc>
          <w:tcPr>
            <w:tcW w:w="1260" w:type="dxa"/>
            <w:vAlign w:val="bottom"/>
            <w:tcBorders>
              <w:top w:val="single" w:sz="8" w:color="0000EE"/>
            </w:tcBorders>
            <w:gridSpan w:val="10"/>
          </w:tcPr>
          <w:p>
            <w:pPr>
              <w:spacing w:after="0"/>
              <w:rPr>
                <w:sz w:val="12"/>
                <w:szCs w:val="12"/>
                <w:color w:val="auto"/>
              </w:rPr>
            </w:pPr>
          </w:p>
        </w:tc>
        <w:tc>
          <w:tcPr>
            <w:tcW w:w="4420" w:type="dxa"/>
            <w:vAlign w:val="bottom"/>
            <w:gridSpan w:val="8"/>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80" w:type="dxa"/>
            <w:vAlign w:val="bottom"/>
            <w:tcBorders>
              <w:bottom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w w:val="97"/>
              </w:rPr>
              <w:t>MARKET INFORMATION</w:t>
            </w:r>
          </w:p>
        </w:tc>
        <w:tc>
          <w:tcPr>
            <w:tcW w:w="5320" w:type="dxa"/>
            <w:vAlign w:val="bottom"/>
            <w:gridSpan w:val="16"/>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UNAUDITED PRO FORMA CONDENSED COMBINED FINANCIAL INFORMATION</w:t>
            </w: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60" w:type="dxa"/>
            <w:vAlign w:val="bottom"/>
            <w:tcBorders>
              <w:top w:val="single" w:sz="8" w:color="0000EE"/>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6"/>
              </w:rPr>
              <w:t>BUSINESS</w:t>
            </w:r>
          </w:p>
        </w:tc>
        <w:tc>
          <w:tcPr>
            <w:tcW w:w="4400" w:type="dxa"/>
            <w:vAlign w:val="bottom"/>
            <w:tcBorders>
              <w:top w:val="single" w:sz="8" w:color="0000EE"/>
            </w:tcBorders>
            <w:gridSpan w:val="20"/>
          </w:tcPr>
          <w:p>
            <w:pPr>
              <w:spacing w:after="0"/>
              <w:rPr>
                <w:sz w:val="12"/>
                <w:szCs w:val="12"/>
                <w:color w:val="auto"/>
              </w:rPr>
            </w:pPr>
          </w:p>
        </w:tc>
        <w:tc>
          <w:tcPr>
            <w:tcW w:w="1840" w:type="dxa"/>
            <w:vAlign w:val="bottom"/>
            <w:gridSpan w:val="2"/>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w w:val="98"/>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320" w:type="dxa"/>
            <w:vAlign w:val="bottom"/>
            <w:tcBorders>
              <w:top w:val="single" w:sz="8" w:color="0000EE"/>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7"/>
              </w:rPr>
              <w:t>CERTAIN RELATIONSHIPS AND RELATED PERSON TRANSACTIONS</w:t>
            </w:r>
          </w:p>
        </w:tc>
        <w:tc>
          <w:tcPr>
            <w:tcW w:w="2540" w:type="dxa"/>
            <w:vAlign w:val="bottom"/>
            <w:tcBorders>
              <w:top w:val="single" w:sz="8" w:color="0000EE"/>
            </w:tcBorders>
            <w:gridSpan w:val="3"/>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MANAGEMENT</w:t>
            </w: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60" w:type="dxa"/>
            <w:vAlign w:val="bottom"/>
            <w:tcBorders>
              <w:bottom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w w:val="98"/>
              </w:rPr>
              <w:t>EXECUTIVE AND DIRECTOR COMPENSATION</w:t>
            </w:r>
          </w:p>
        </w:tc>
        <w:tc>
          <w:tcPr>
            <w:tcW w:w="3940" w:type="dxa"/>
            <w:vAlign w:val="bottom"/>
            <w:gridSpan w:val="6"/>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6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SECURITIES</w:t>
            </w:r>
          </w:p>
        </w:tc>
        <w:tc>
          <w:tcPr>
            <w:tcW w:w="4940" w:type="dxa"/>
            <w:vAlign w:val="bottom"/>
            <w:gridSpan w:val="11"/>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6"/>
        </w:trPr>
        <w:tc>
          <w:tcPr>
            <w:tcW w:w="184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7"/>
              </w:rPr>
              <w:t>PRINCIPAL STOCKHOLDERS</w:t>
            </w:r>
          </w:p>
        </w:tc>
        <w:tc>
          <w:tcPr>
            <w:tcW w:w="5060" w:type="dxa"/>
            <w:vAlign w:val="bottom"/>
            <w:gridSpan w:val="13"/>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46"/>
        </w:trPr>
        <w:tc>
          <w:tcPr>
            <w:tcW w:w="194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8"/>
              </w:rPr>
              <w:t>SELLING SECURITYHOLDERS</w:t>
            </w:r>
          </w:p>
        </w:tc>
        <w:tc>
          <w:tcPr>
            <w:tcW w:w="4960" w:type="dxa"/>
            <w:vAlign w:val="bottom"/>
            <w:gridSpan w:val="12"/>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6"/>
        </w:trPr>
        <w:tc>
          <w:tcPr>
            <w:tcW w:w="1580" w:type="dxa"/>
            <w:vAlign w:val="bottom"/>
            <w:tcBorders>
              <w:top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5320" w:type="dxa"/>
            <w:vAlign w:val="bottom"/>
            <w:gridSpan w:val="16"/>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6"/>
        </w:trPr>
        <w:tc>
          <w:tcPr>
            <w:tcW w:w="60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780" w:type="dxa"/>
            <w:vAlign w:val="bottom"/>
            <w:gridSpan w:val="19"/>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6"/>
        </w:trPr>
        <w:tc>
          <w:tcPr>
            <w:tcW w:w="294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3960" w:type="dxa"/>
            <w:vAlign w:val="bottom"/>
            <w:gridSpan w:val="7"/>
          </w:tcPr>
          <w:p>
            <w:pPr>
              <w:spacing w:after="0"/>
              <w:rPr>
                <w:sz w:val="12"/>
                <w:szCs w:val="12"/>
                <w:color w:val="auto"/>
              </w:rPr>
            </w:pP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6"/>
        </w:trPr>
        <w:tc>
          <w:tcPr>
            <w:tcW w:w="690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6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71" w:right="1440"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Factorial Energy is responsible for the disclosure contained in this prospectus. However, information contained in this prospectus concerning the market and the industry in which Factorial Energy competes, including its market position, general expectations of market opportunity, size and growth rates, is based on information from various third-party sources, on assumptions made by Factorial Energy based on such sources and Factorial Energy’s knowledge of the markets for its products and offerings. This information and any estimates provided herein involve numerous assumptions and limitations, and third-party sources generally state that the information contained in such source has been obtained from sources believed to be reliable. The industry in which Factorial Energy operates is subject to a high degree of uncertainty and risk. As a result, the estimates and market and industry information provided in this prospectus are subject to change based on various factors, including those described in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 xml:space="preserve">Risk Factors” </w:t>
      </w:r>
      <w:r>
        <w:rPr>
          <w:rFonts w:ascii="Times New Roman" w:cs="Times New Roman" w:eastAsia="Times New Roman" w:hAnsi="Times New Roman"/>
          <w:sz w:val="14"/>
          <w:szCs w:val="14"/>
          <w:color w:val="auto"/>
        </w:rPr>
        <w:t>and elsewhere in this prospectus.</w:t>
      </w:r>
    </w:p>
    <w:p>
      <w:pPr>
        <w:spacing w:after="0" w:line="147"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Industry publications, research, studies and forecasts generally state that the information they contain has been obtained from sources believed to be reliable, but that the accuracy and completeness of such information is not guaranteed. Although Factorial Energy has not independently verified the accuracy or completeness of third-party information, Factorial Energy believes the industry and market information included in this prospectus is reliable.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These and other factors could cause results to differ materially from those expressed in any forecasts or estimates.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Notwithstanding anything in this prospectus to the contrary, Factorial Energy is responsible for all disclosures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571" w:right="1440"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98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1945" cy="69983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INTRODUCTORY NOTE AND FREQUENTLY USED TERMS</w:t>
      </w:r>
    </w:p>
    <w:p>
      <w:pPr>
        <w:spacing w:after="0" w:line="173"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On June 4, 2026, as contemplated by the business combination agreement, dated December 17, 2025, by and among Cartesian Growth Corporation III, a Cayman Islands exempted company limited by shares (“CGC”), Fenway MS, Inc., a Delaware corporation and wholly-owned subsidiary of CGC (“Merger Sub”), and Factorial Inc., a Delaware corporation (“Factorial”) (as amended by the Amendment No. 1 to Business Combination Agreement, dated as of March 26, 2026 and Amendment No. 2 to Business Combination Agreement, dated as of May 18, 2026, the “Business Combination Agreement”), CGC changed its jurisdiction of incorporation from the Cayman Islands to the State of Delaware, as described further below (the “Domestication”), and changed its name to “Factorial Energy Inc.” In the Domestication, CGC effected a deregistration under Part XII of the Cayman Islands Companies Act (As Revised) and, pursuant to Section 388 of the Delaware General Corporation Law (the “DGCL”), domesticated as a corporation incorporated under the laws of the State of Delaware.</w:t>
      </w:r>
    </w:p>
    <w:p>
      <w:pPr>
        <w:spacing w:after="0" w:line="147"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In connection with the Domestication, immediately prior to the Domestication, (1) CGC effected the redemption of Class A ordinary shares of CGC, par value $0.0001 per share (the “CGC Class A Shares”), initially issued in CGC’s initial public offering (the “Public Shares” and the holders of Public Shares, the “Public Shareholders”) that were validly submitted for redemption and not withdrawn; and (2) each holder of each issued and outstanding CGC Class B ordinary shares of CGC, par value $0.0001 per share (the “CGC Class B Shares,” and together with the CGC Class A Shares, the “CGC Ordinary Shares”) irrevocably and unconditionally elected to convert, on a one-for-one basis, each CGC Class B Share held by it into one CGC Class A Share (the “Class B Share Conversion”). At the effective time of the Domestication, each outstanding CGC Class A Share (excluding Public Shares validly submitted for redemption, but including CGC Class A Shares issued upon the Class B Share Conversion) was reclassified as one share of Series A Common Stock. On June 5, 2026 (the “Merger Effective Time”), Merger Sub merged with and into Factorial, with Factorial surviving the merger as a wholly-owned subsidiary of Factorial Energy.</w:t>
      </w:r>
    </w:p>
    <w:p>
      <w:pPr>
        <w:spacing w:after="0" w:line="143" w:lineRule="exact"/>
        <w:rPr>
          <w:sz w:val="20"/>
          <w:szCs w:val="20"/>
          <w:color w:val="auto"/>
        </w:rPr>
      </w:pPr>
    </w:p>
    <w:p>
      <w:pPr>
        <w:ind w:left="760" w:right="1019" w:firstLine="249"/>
        <w:spacing w:after="0" w:line="284" w:lineRule="auto"/>
        <w:rPr>
          <w:sz w:val="20"/>
          <w:szCs w:val="20"/>
          <w:color w:val="auto"/>
        </w:rPr>
      </w:pPr>
      <w:r>
        <w:rPr>
          <w:rFonts w:ascii="Times New Roman" w:cs="Times New Roman" w:eastAsia="Times New Roman" w:hAnsi="Times New Roman"/>
          <w:sz w:val="13"/>
          <w:szCs w:val="13"/>
          <w:i w:val="1"/>
          <w:iCs w:val="1"/>
          <w:color w:val="auto"/>
        </w:rPr>
        <w:t>Unless otherwise stated or unless the context otherwise requires, the terms “we”, “us”, “our” and “CGC” refer to Cartesian Growth Corporation III prior to the consummation of the Business Combination and Domestication, and the terms “Factorial Energy,” “the Company,” “combined company” and “post-combination company” refer to Factorial Energy Inc. (f/k/a Cartesian Growth Corporation III) and together with its subsidiaries following the consummation of the Business Combination.</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this document:</w:t>
      </w:r>
    </w:p>
    <w:p>
      <w:pPr>
        <w:spacing w:after="0" w:line="169" w:lineRule="exact"/>
        <w:rPr>
          <w:sz w:val="20"/>
          <w:szCs w:val="20"/>
          <w:color w:val="auto"/>
        </w:rPr>
      </w:pPr>
    </w:p>
    <w:p>
      <w:pPr>
        <w:jc w:val="both"/>
        <w:ind w:left="760" w:right="779" w:firstLine="249"/>
        <w:spacing w:after="0" w:line="32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A&amp;R Registration Rights Agreement</w:t>
      </w:r>
      <w:r>
        <w:rPr>
          <w:rFonts w:ascii="Times New Roman" w:cs="Times New Roman" w:eastAsia="Times New Roman" w:hAnsi="Times New Roman"/>
          <w:sz w:val="13"/>
          <w:szCs w:val="13"/>
          <w:color w:val="auto"/>
        </w:rPr>
        <w:t>” means the Amended and Restated Registration Rights Agreement, which was entered into by and among the CGC Insiders, CF&amp;CO, certain Legacy Factorial Stockholders and Factorial Energy in connection with the Closing.</w:t>
      </w:r>
    </w:p>
    <w:p>
      <w:pPr>
        <w:spacing w:after="0" w:line="99"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Aggregate Fully Diluted Legacy Factorial Shares</w:t>
      </w:r>
      <w:r>
        <w:rPr>
          <w:rFonts w:ascii="Times New Roman" w:cs="Times New Roman" w:eastAsia="Times New Roman" w:hAnsi="Times New Roman"/>
          <w:sz w:val="14"/>
          <w:szCs w:val="14"/>
          <w:color w:val="auto"/>
        </w:rPr>
        <w:t xml:space="preserve">” means the sum, without duplication of (a) Legacy Factorial Common Stock </w:t>
      </w: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(b) the Vested Legacy Factorial Equity Awards, in each case, that were outstanding immediately prior to the Merger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Time,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(c) Legacy Factorial Preferred Stock (on an as-converted to Legacy Factorial Common Stock basis) that were issued and outstanding immediately prior to the Merger Effective Time,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(d) the aggregate number of shares of Legacy Factorial Common Stock that were issuable upon, or subject to, the conversion of all convertible debt securities of Legacy Factorial that were outstanding immediately prior to the Merger Effective Time,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(e) the aggregate number of shares of Legacy Factorial Common Stock that were issuable upon, or subject to, the conversion of Legacy Factorial Warrants that were outstanding immediately prior to the Merger Effective Time.</w:t>
      </w:r>
    </w:p>
    <w:p>
      <w:pPr>
        <w:spacing w:after="0" w:line="144" w:lineRule="exact"/>
        <w:rPr>
          <w:sz w:val="20"/>
          <w:szCs w:val="20"/>
          <w:color w:val="auto"/>
        </w:rPr>
      </w:pPr>
    </w:p>
    <w:p>
      <w:pPr>
        <w:jc w:val="both"/>
        <w:ind w:left="760" w:right="1099" w:firstLine="24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Aggregate Merger Consideration</w:t>
      </w:r>
      <w:r>
        <w:rPr>
          <w:rFonts w:ascii="Times New Roman" w:cs="Times New Roman" w:eastAsia="Times New Roman" w:hAnsi="Times New Roman"/>
          <w:sz w:val="14"/>
          <w:szCs w:val="14"/>
          <w:color w:val="auto"/>
        </w:rPr>
        <w:t>” means the consideration issued to Legacy Factorial Stockholders in connection with the Merger, determined by dividing (a) the Equity Value by (b) the Redemption Price. For purposes of this prospectus, the Aggregate Merger Consideration issued to Legacy Factorial Stockholders was 105,607,400 shares of Series A Common Stock.</w:t>
      </w:r>
    </w:p>
    <w:p>
      <w:pPr>
        <w:spacing w:after="0" w:line="134" w:lineRule="exact"/>
        <w:rPr>
          <w:sz w:val="20"/>
          <w:szCs w:val="20"/>
          <w:color w:val="auto"/>
        </w:rPr>
      </w:pPr>
    </w:p>
    <w:p>
      <w:pPr>
        <w:ind w:left="760" w:right="899" w:firstLine="24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 </w:t>
      </w:r>
      <w:r>
        <w:rPr>
          <w:rFonts w:ascii="Times New Roman" w:cs="Times New Roman" w:eastAsia="Times New Roman" w:hAnsi="Times New Roman"/>
          <w:sz w:val="14"/>
          <w:szCs w:val="14"/>
          <w:color w:val="auto"/>
        </w:rPr>
        <w:t>means the transactions consummated on June 5, 2026 pursuant to the Business Combination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 dated December 17, 2025 (as amended on March 26, 2026 and May 18, 2026), by and among CGC, Merger Sub, and Legacy Factorial including (i) the domestication of CGC as a Delaware corporation and (ii) the merger of Merger Sub with and into Legacy Factorial, with Legacy Factorial surviving the merger as a wholly-owned subsidiary of CGC, following which CGC changed its name to Factorial Energy Inc.</w:t>
      </w:r>
    </w:p>
    <w:p>
      <w:pPr>
        <w:spacing w:after="0" w:line="139" w:lineRule="exact"/>
        <w:rPr>
          <w:sz w:val="20"/>
          <w:szCs w:val="20"/>
          <w:color w:val="auto"/>
        </w:rPr>
      </w:pPr>
    </w:p>
    <w:p>
      <w:pPr>
        <w:jc w:val="both"/>
        <w:ind w:left="760" w:right="1039" w:firstLine="24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 Agreement” </w:t>
      </w:r>
      <w:r>
        <w:rPr>
          <w:rFonts w:ascii="Times New Roman" w:cs="Times New Roman" w:eastAsia="Times New Roman" w:hAnsi="Times New Roman"/>
          <w:sz w:val="14"/>
          <w:szCs w:val="14"/>
          <w:color w:val="auto"/>
        </w:rPr>
        <w:t>means the Business Combination Agreement, dated December 17, 2025, by and among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CGC, Merger Sub, and Legacy Factorial, as amended by Amendment No. 1 thereto dated March 26, 2026 and Amendment No. 2 thereto dated May 18, 2026.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571" w:right="1440"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10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1945" cy="710438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CGC Insiders</w:t>
      </w:r>
      <w:r>
        <w:rPr>
          <w:rFonts w:ascii="Times New Roman" w:cs="Times New Roman" w:eastAsia="Times New Roman" w:hAnsi="Times New Roman"/>
          <w:sz w:val="14"/>
          <w:szCs w:val="14"/>
          <w:color w:val="auto"/>
        </w:rPr>
        <w:t>” means the Sponsor, certain directors and officers of CGC, DirectorCo, and the independent directors of CGC.</w:t>
      </w:r>
    </w:p>
    <w:p>
      <w:pPr>
        <w:spacing w:after="0" w:line="171" w:lineRule="exact"/>
        <w:rPr>
          <w:sz w:val="20"/>
          <w:szCs w:val="20"/>
          <w:color w:val="auto"/>
        </w:rPr>
      </w:pPr>
    </w:p>
    <w:p>
      <w:pPr>
        <w:ind w:left="760" w:right="859" w:firstLine="249"/>
        <w:spacing w:after="0" w:line="264" w:lineRule="auto"/>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CGC Private Placement Warrants Purchase Agreements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the (a) Private Placement Warrants Purchase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dated as of May 1, 2025, by and between CGC and the Sponsor, and (b) Private Placement Warrants Purchase Agreement, dated as of May 1, 2025, by and between CGC and CF&amp;CO.</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CGC Public Warrants</w:t>
      </w:r>
      <w:r>
        <w:rPr>
          <w:rFonts w:ascii="Times New Roman" w:cs="Times New Roman" w:eastAsia="Times New Roman" w:hAnsi="Times New Roman"/>
          <w:sz w:val="14"/>
          <w:szCs w:val="14"/>
          <w:color w:val="auto"/>
        </w:rPr>
        <w:t>” means the 13,800,000 warrants that were issued by CGC in connection with its IPO.</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CGC Shareholders</w:t>
      </w:r>
      <w:r>
        <w:rPr>
          <w:rFonts w:ascii="Times New Roman" w:cs="Times New Roman" w:eastAsia="Times New Roman" w:hAnsi="Times New Roman"/>
          <w:sz w:val="14"/>
          <w:szCs w:val="14"/>
          <w:color w:val="auto"/>
        </w:rPr>
        <w:t>” means the holders of CGC Ordinary Shares.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Closing Date</w:t>
      </w:r>
      <w:r>
        <w:rPr>
          <w:rFonts w:ascii="Times New Roman" w:cs="Times New Roman" w:eastAsia="Times New Roman" w:hAnsi="Times New Roman"/>
          <w:sz w:val="14"/>
          <w:szCs w:val="14"/>
          <w:color w:val="auto"/>
        </w:rPr>
        <w:t>” means the date the Closing occurred.</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U.S. Internal Revenue Code of 1986, as amended.</w:t>
      </w:r>
    </w:p>
    <w:p>
      <w:pPr>
        <w:spacing w:after="0" w:line="171" w:lineRule="exact"/>
        <w:rPr>
          <w:sz w:val="20"/>
          <w:szCs w:val="20"/>
          <w:color w:val="auto"/>
        </w:rPr>
      </w:pPr>
    </w:p>
    <w:p>
      <w:pPr>
        <w:ind w:left="760" w:right="939" w:firstLine="24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Consideration Ratio</w:t>
      </w:r>
      <w:r>
        <w:rPr>
          <w:rFonts w:ascii="Times New Roman" w:cs="Times New Roman" w:eastAsia="Times New Roman" w:hAnsi="Times New Roman"/>
          <w:sz w:val="14"/>
          <w:szCs w:val="14"/>
          <w:color w:val="auto"/>
        </w:rPr>
        <w:t>” means the number of shares of Factorial Energy Common Stock issued in exchange for each share of issued and outstanding Legacy Factorial capital stock upon the Merger, equal to the quotient obtained by dividing (x) the Aggregate Merger Consideration by (y) the Aggregate Fully Diluted Legacy Factorial Shares. The Aggregate Fully Diluted Legacy Factorial Shares as of the Closing Date was 28,788,335 shares, which represented the Legacy Factorial fully-diluted common stock as of December 31, 2025, and the Redemption Price was approximately $10.42. Accordingly, the Consideration Ratio was approximately 3.6684 shares of Factorial Energy Common Stock for each outstanding share of Legacy Factorial capital stock on an as-converted basis.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Continental</w:t>
      </w:r>
      <w:r>
        <w:rPr>
          <w:rFonts w:ascii="Times New Roman" w:cs="Times New Roman" w:eastAsia="Times New Roman" w:hAnsi="Times New Roman"/>
          <w:sz w:val="14"/>
          <w:szCs w:val="14"/>
          <w:color w:val="auto"/>
        </w:rPr>
        <w:t>” means Continental Stock Transfer &amp; Trust Company, CGC’s transfer agent.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Domestication Effective Time</w:t>
      </w:r>
      <w:r>
        <w:rPr>
          <w:rFonts w:ascii="Times New Roman" w:cs="Times New Roman" w:eastAsia="Times New Roman" w:hAnsi="Times New Roman"/>
          <w:sz w:val="14"/>
          <w:szCs w:val="14"/>
          <w:color w:val="auto"/>
        </w:rPr>
        <w:t>” means the effective time of the Domestication.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DTC</w:t>
      </w:r>
      <w:r>
        <w:rPr>
          <w:rFonts w:ascii="Times New Roman" w:cs="Times New Roman" w:eastAsia="Times New Roman" w:hAnsi="Times New Roman"/>
          <w:sz w:val="14"/>
          <w:szCs w:val="14"/>
          <w:color w:val="auto"/>
        </w:rPr>
        <w:t>” means The Depository Trust Company.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Equity Value</w:t>
      </w:r>
      <w:r>
        <w:rPr>
          <w:rFonts w:ascii="Times New Roman" w:cs="Times New Roman" w:eastAsia="Times New Roman" w:hAnsi="Times New Roman"/>
          <w:sz w:val="14"/>
          <w:szCs w:val="14"/>
          <w:color w:val="auto"/>
        </w:rPr>
        <w:t>” means the sum of $1,100,000,000.</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ESPP</w:t>
      </w:r>
      <w:r>
        <w:rPr>
          <w:rFonts w:ascii="Times New Roman" w:cs="Times New Roman" w:eastAsia="Times New Roman" w:hAnsi="Times New Roman"/>
          <w:sz w:val="14"/>
          <w:szCs w:val="14"/>
          <w:color w:val="auto"/>
        </w:rPr>
        <w:t>” means the Factorial Energy Inc. 2026 Employee Stock Purchase Plan.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Factorial Energy Board</w:t>
      </w:r>
      <w:r>
        <w:rPr>
          <w:rFonts w:ascii="Times New Roman" w:cs="Times New Roman" w:eastAsia="Times New Roman" w:hAnsi="Times New Roman"/>
          <w:sz w:val="14"/>
          <w:szCs w:val="14"/>
          <w:color w:val="auto"/>
        </w:rPr>
        <w:t>” means the board of directors of Factorial Energy.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Factorial Energy Bylaws</w:t>
      </w:r>
      <w:r>
        <w:rPr>
          <w:rFonts w:ascii="Times New Roman" w:cs="Times New Roman" w:eastAsia="Times New Roman" w:hAnsi="Times New Roman"/>
          <w:sz w:val="14"/>
          <w:szCs w:val="14"/>
          <w:color w:val="auto"/>
        </w:rPr>
        <w:t>” means the bylaws of Factorial Energy, which took effect upon the Domestication.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Factorial Energy Charter</w:t>
      </w:r>
      <w:r>
        <w:rPr>
          <w:rFonts w:ascii="Times New Roman" w:cs="Times New Roman" w:eastAsia="Times New Roman" w:hAnsi="Times New Roman"/>
          <w:sz w:val="13"/>
          <w:szCs w:val="13"/>
          <w:color w:val="auto"/>
        </w:rPr>
        <w:t>” means the certificate of incorporation of Factorial Energy, which took effect upon the Domestication.</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Factorial Energy Common Stock</w:t>
      </w:r>
      <w:r>
        <w:rPr>
          <w:rFonts w:ascii="Times New Roman" w:cs="Times New Roman" w:eastAsia="Times New Roman" w:hAnsi="Times New Roman"/>
          <w:sz w:val="14"/>
          <w:szCs w:val="14"/>
          <w:color w:val="auto"/>
        </w:rPr>
        <w:t>” means the Series A Common Stock and the Series B Common Stock, collectively.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Factorial Energy Incentive Plan</w:t>
      </w:r>
      <w:r>
        <w:rPr>
          <w:rFonts w:ascii="Times New Roman" w:cs="Times New Roman" w:eastAsia="Times New Roman" w:hAnsi="Times New Roman"/>
          <w:sz w:val="14"/>
          <w:szCs w:val="14"/>
          <w:color w:val="auto"/>
        </w:rPr>
        <w:t>” means the Factorial Energy Inc. 2026 Equity Incentive Plan.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Factorial Energy Organizational Documents</w:t>
      </w:r>
      <w:r>
        <w:rPr>
          <w:rFonts w:ascii="Times New Roman" w:cs="Times New Roman" w:eastAsia="Times New Roman" w:hAnsi="Times New Roman"/>
          <w:sz w:val="14"/>
          <w:szCs w:val="14"/>
          <w:color w:val="auto"/>
        </w:rPr>
        <w:t>” means, collectively, the Factorial Energy Charter and Factorial Energy Bylaws.</w:t>
      </w:r>
    </w:p>
    <w:p>
      <w:pPr>
        <w:spacing w:after="0" w:line="171" w:lineRule="exact"/>
        <w:rPr>
          <w:sz w:val="20"/>
          <w:szCs w:val="20"/>
          <w:color w:val="auto"/>
        </w:rPr>
      </w:pPr>
    </w:p>
    <w:p>
      <w:pPr>
        <w:ind w:left="760" w:right="91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Investor Stock Purchase Agreements</w:t>
      </w:r>
      <w:r>
        <w:rPr>
          <w:rFonts w:ascii="Times New Roman" w:cs="Times New Roman" w:eastAsia="Times New Roman" w:hAnsi="Times New Roman"/>
          <w:sz w:val="14"/>
          <w:szCs w:val="14"/>
          <w:color w:val="auto"/>
        </w:rPr>
        <w:t>” means the stock purchase agreements, dated December 17, 2025, by and between CGC and the PIPE Investors.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w:t>
      </w:r>
      <w:r>
        <w:rPr>
          <w:rFonts w:ascii="Times New Roman" w:cs="Times New Roman" w:eastAsia="Times New Roman" w:hAnsi="Times New Roman"/>
          <w:sz w:val="14"/>
          <w:szCs w:val="14"/>
          <w:color w:val="auto"/>
        </w:rPr>
        <w:t>” means Factorial Inc., a Delaware Corporation.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Board</w:t>
      </w:r>
      <w:r>
        <w:rPr>
          <w:rFonts w:ascii="Times New Roman" w:cs="Times New Roman" w:eastAsia="Times New Roman" w:hAnsi="Times New Roman"/>
          <w:sz w:val="14"/>
          <w:szCs w:val="14"/>
          <w:color w:val="auto"/>
        </w:rPr>
        <w:t>” means the board of directors of Legacy Factorial.</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Common Stock</w:t>
      </w:r>
      <w:r>
        <w:rPr>
          <w:rFonts w:ascii="Times New Roman" w:cs="Times New Roman" w:eastAsia="Times New Roman" w:hAnsi="Times New Roman"/>
          <w:sz w:val="14"/>
          <w:szCs w:val="14"/>
          <w:color w:val="auto"/>
        </w:rPr>
        <w:t>” means the shares of common stock of Legacy Factorial.</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Founders</w:t>
      </w:r>
      <w:r>
        <w:rPr>
          <w:rFonts w:ascii="Times New Roman" w:cs="Times New Roman" w:eastAsia="Times New Roman" w:hAnsi="Times New Roman"/>
          <w:sz w:val="14"/>
          <w:szCs w:val="14"/>
          <w:color w:val="auto"/>
        </w:rPr>
        <w:t>” means Siyu Huang and Alex Yu.</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571" w:right="1440"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209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1945" cy="720979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right="107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Option</w:t>
      </w:r>
      <w:r>
        <w:rPr>
          <w:rFonts w:ascii="Times New Roman" w:cs="Times New Roman" w:eastAsia="Times New Roman" w:hAnsi="Times New Roman"/>
          <w:sz w:val="14"/>
          <w:szCs w:val="14"/>
          <w:color w:val="auto"/>
        </w:rPr>
        <w:t>” means each outstanding and unexercised option to purchase shares of Legacy Factorial Common Stock immediately prior to the Merger Effective Time.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Preferred Stock</w:t>
      </w:r>
      <w:r>
        <w:rPr>
          <w:rFonts w:ascii="Times New Roman" w:cs="Times New Roman" w:eastAsia="Times New Roman" w:hAnsi="Times New Roman"/>
          <w:sz w:val="14"/>
          <w:szCs w:val="14"/>
          <w:color w:val="auto"/>
        </w:rPr>
        <w:t>” means the shares of preferred stock of Legacy Factorial.</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Legacy Factorial Stockholders</w:t>
      </w:r>
      <w:r>
        <w:rPr>
          <w:rFonts w:ascii="Times New Roman" w:cs="Times New Roman" w:eastAsia="Times New Roman" w:hAnsi="Times New Roman"/>
          <w:sz w:val="14"/>
          <w:szCs w:val="14"/>
          <w:color w:val="auto"/>
        </w:rPr>
        <w:t>” means the holders of Legacy Factorial Common Stock and Legacy Factorial Preferred Stock.</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Merger Effective Time</w:t>
      </w:r>
      <w:r>
        <w:rPr>
          <w:rFonts w:ascii="Times New Roman" w:cs="Times New Roman" w:eastAsia="Times New Roman" w:hAnsi="Times New Roman"/>
          <w:sz w:val="14"/>
          <w:szCs w:val="14"/>
          <w:color w:val="auto"/>
        </w:rPr>
        <w:t>” means the effective time of the Merger.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Nasdaq</w:t>
      </w:r>
      <w:r>
        <w:rPr>
          <w:rFonts w:ascii="Times New Roman" w:cs="Times New Roman" w:eastAsia="Times New Roman" w:hAnsi="Times New Roman"/>
          <w:sz w:val="14"/>
          <w:szCs w:val="14"/>
          <w:color w:val="auto"/>
        </w:rPr>
        <w:t>” means the Nasdaq Stock Market, LLC.</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Non-Redeeming Shareholders</w:t>
      </w:r>
      <w:r>
        <w:rPr>
          <w:rFonts w:ascii="Times New Roman" w:cs="Times New Roman" w:eastAsia="Times New Roman" w:hAnsi="Times New Roman"/>
          <w:sz w:val="14"/>
          <w:szCs w:val="14"/>
          <w:color w:val="auto"/>
        </w:rPr>
        <w:t>” means the CGC Shareholders who enter into Non-Redemption Agreements with CGC.</w:t>
      </w:r>
    </w:p>
    <w:p>
      <w:pPr>
        <w:spacing w:after="0" w:line="171" w:lineRule="exact"/>
        <w:rPr>
          <w:sz w:val="20"/>
          <w:szCs w:val="20"/>
          <w:color w:val="auto"/>
        </w:rPr>
      </w:pPr>
    </w:p>
    <w:p>
      <w:pPr>
        <w:ind w:left="760" w:right="899" w:firstLine="24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Non-Redemption Agreements</w:t>
      </w:r>
      <w:r>
        <w:rPr>
          <w:rFonts w:ascii="Times New Roman" w:cs="Times New Roman" w:eastAsia="Times New Roman" w:hAnsi="Times New Roman"/>
          <w:sz w:val="14"/>
          <w:szCs w:val="14"/>
          <w:color w:val="auto"/>
        </w:rPr>
        <w:t>” means one or more Non-Redemption Agreements by and between CGC and a Non-Redeeming Shareholder (including as incorporated into an Investor Stock Purchase Agreement executed by such Non-Redeeming Shareholder), pursuant to which, among other things, such Non-Redeeming Shareholder agrees to refrain from exercising their redemption rights with respect to the NRA Shares.</w:t>
      </w:r>
    </w:p>
    <w:p>
      <w:pPr>
        <w:spacing w:after="0" w:line="139" w:lineRule="exact"/>
        <w:rPr>
          <w:sz w:val="20"/>
          <w:szCs w:val="20"/>
          <w:color w:val="auto"/>
        </w:rPr>
      </w:pPr>
    </w:p>
    <w:p>
      <w:pPr>
        <w:ind w:left="760" w:right="83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PIPE Investments</w:t>
      </w:r>
      <w:r>
        <w:rPr>
          <w:rFonts w:ascii="Times New Roman" w:cs="Times New Roman" w:eastAsia="Times New Roman" w:hAnsi="Times New Roman"/>
          <w:sz w:val="14"/>
          <w:szCs w:val="14"/>
          <w:color w:val="auto"/>
        </w:rPr>
        <w:t>” means the subscription for approximately $64.7 million of PIPE Shares plus approximately $36.2 million of proceeds from the trust account resulting from NRA Shares, pursuant to the Investor Stock Purchase Agreements.</w:t>
      </w:r>
    </w:p>
    <w:p>
      <w:pPr>
        <w:spacing w:after="0" w:line="122" w:lineRule="exact"/>
        <w:rPr>
          <w:sz w:val="20"/>
          <w:szCs w:val="20"/>
          <w:color w:val="auto"/>
        </w:rPr>
      </w:pPr>
    </w:p>
    <w:p>
      <w:pPr>
        <w:ind w:left="760" w:right="101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PIPE Investors</w:t>
      </w:r>
      <w:r>
        <w:rPr>
          <w:rFonts w:ascii="Times New Roman" w:cs="Times New Roman" w:eastAsia="Times New Roman" w:hAnsi="Times New Roman"/>
          <w:sz w:val="14"/>
          <w:szCs w:val="14"/>
          <w:color w:val="auto"/>
        </w:rPr>
        <w:t>” means certain qualified institutional buyers, institutional accredited investors and other accredited investors who entered into the Investor Stock Purchase Agreements with CGC.</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PIPE Shares</w:t>
      </w:r>
      <w:r>
        <w:rPr>
          <w:rFonts w:ascii="Times New Roman" w:cs="Times New Roman" w:eastAsia="Times New Roman" w:hAnsi="Times New Roman"/>
          <w:sz w:val="14"/>
          <w:szCs w:val="14"/>
          <w:color w:val="auto"/>
        </w:rPr>
        <w:t>” means the 7,519,404 shares of Series A Common Stock purchased as part of the PIPE Investments.</w:t>
      </w:r>
    </w:p>
    <w:p>
      <w:pPr>
        <w:spacing w:after="0" w:line="171" w:lineRule="exact"/>
        <w:rPr>
          <w:sz w:val="20"/>
          <w:szCs w:val="20"/>
          <w:color w:val="auto"/>
        </w:rPr>
      </w:pPr>
    </w:p>
    <w:p>
      <w:pPr>
        <w:ind w:left="760" w:right="99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Private Warrants</w:t>
      </w:r>
      <w:r>
        <w:rPr>
          <w:rFonts w:ascii="Times New Roman" w:cs="Times New Roman" w:eastAsia="Times New Roman" w:hAnsi="Times New Roman"/>
          <w:sz w:val="14"/>
          <w:szCs w:val="14"/>
          <w:color w:val="auto"/>
        </w:rPr>
        <w:t>” means the 6,800,000 Warrants that were originally issued by CGC pursuant to the CGC Private Placement Warrants Purchase Agreements.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Public Shareholder</w:t>
      </w:r>
      <w:r>
        <w:rPr>
          <w:rFonts w:ascii="Times New Roman" w:cs="Times New Roman" w:eastAsia="Times New Roman" w:hAnsi="Times New Roman"/>
          <w:sz w:val="14"/>
          <w:szCs w:val="14"/>
          <w:color w:val="auto"/>
        </w:rPr>
        <w:t>” means a holder of Public Shares.</w:t>
      </w:r>
    </w:p>
    <w:p>
      <w:pPr>
        <w:spacing w:after="0" w:line="171" w:lineRule="exact"/>
        <w:rPr>
          <w:sz w:val="20"/>
          <w:szCs w:val="20"/>
          <w:color w:val="auto"/>
        </w:rPr>
      </w:pPr>
    </w:p>
    <w:p>
      <w:pPr>
        <w:ind w:left="760" w:right="95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Public Shares</w:t>
      </w:r>
      <w:r>
        <w:rPr>
          <w:rFonts w:ascii="Times New Roman" w:cs="Times New Roman" w:eastAsia="Times New Roman" w:hAnsi="Times New Roman"/>
          <w:sz w:val="14"/>
          <w:szCs w:val="14"/>
          <w:color w:val="auto"/>
        </w:rPr>
        <w:t>” means the CGC Class A Shares initially issued in CGC’s IPO (whether they are purchased in the initial public offering or thereafter in the open market).</w:t>
      </w:r>
    </w:p>
    <w:p>
      <w:pPr>
        <w:spacing w:after="0" w:line="122" w:lineRule="exact"/>
        <w:rPr>
          <w:sz w:val="20"/>
          <w:szCs w:val="20"/>
          <w:color w:val="auto"/>
        </w:rPr>
      </w:pPr>
    </w:p>
    <w:p>
      <w:pPr>
        <w:ind w:left="760" w:right="109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Public Shares subject to redemption</w:t>
      </w:r>
      <w:r>
        <w:rPr>
          <w:rFonts w:ascii="Times New Roman" w:cs="Times New Roman" w:eastAsia="Times New Roman" w:hAnsi="Times New Roman"/>
          <w:sz w:val="14"/>
          <w:szCs w:val="14"/>
          <w:color w:val="auto"/>
        </w:rPr>
        <w:t>” means the Public Shares held by Public Shareholders other than the Non-Redeeming Shareholders.</w:t>
      </w:r>
    </w:p>
    <w:p>
      <w:pPr>
        <w:spacing w:after="0" w:line="122" w:lineRule="exact"/>
        <w:rPr>
          <w:sz w:val="20"/>
          <w:szCs w:val="20"/>
          <w:color w:val="auto"/>
        </w:rPr>
      </w:pPr>
    </w:p>
    <w:p>
      <w:pPr>
        <w:ind w:left="760" w:right="1259" w:firstLine="24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“Public Warrants</w:t>
      </w:r>
      <w:r>
        <w:rPr>
          <w:rFonts w:ascii="Times New Roman" w:cs="Times New Roman" w:eastAsia="Times New Roman" w:hAnsi="Times New Roman"/>
          <w:sz w:val="14"/>
          <w:szCs w:val="14"/>
          <w:color w:val="auto"/>
        </w:rPr>
        <w:t>” means the warrants issued in exchange for the CGC Public Warrants at the Closing, with each warrant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exercisable for one share of Series A Common Stock at an exercise price of $11.50.</w:t>
      </w:r>
    </w:p>
    <w:p>
      <w:pPr>
        <w:spacing w:after="0" w:line="122" w:lineRule="exact"/>
        <w:rPr>
          <w:sz w:val="20"/>
          <w:szCs w:val="20"/>
          <w:color w:val="auto"/>
        </w:rPr>
      </w:pPr>
    </w:p>
    <w:p>
      <w:pPr>
        <w:ind w:left="760" w:right="819" w:firstLine="24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Redemption Price</w:t>
      </w:r>
      <w:r>
        <w:rPr>
          <w:rFonts w:ascii="Times New Roman" w:cs="Times New Roman" w:eastAsia="Times New Roman" w:hAnsi="Times New Roman"/>
          <w:sz w:val="14"/>
          <w:szCs w:val="14"/>
          <w:color w:val="auto"/>
        </w:rPr>
        <w:t>” means the per-share price, payable in cash, equal to the pro rata portion of the funds held in the Trust Account (including interest earned on the funds held in the Trust Account not previously released to CGC to pay its taxes, net of taxes payable), calculated as of two business days prior to the consummation of the Business Combination) at which each Public Share may be redeemed in connection with the Business Combination, pursuant to the CGC Articles.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SPAC</w:t>
      </w:r>
      <w:r>
        <w:rPr>
          <w:rFonts w:ascii="Times New Roman" w:cs="Times New Roman" w:eastAsia="Times New Roman" w:hAnsi="Times New Roman"/>
          <w:sz w:val="14"/>
          <w:szCs w:val="14"/>
          <w:color w:val="auto"/>
        </w:rPr>
        <w:t>” means a special purpose acquisition company.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Sponsor</w:t>
      </w:r>
      <w:r>
        <w:rPr>
          <w:rFonts w:ascii="Times New Roman" w:cs="Times New Roman" w:eastAsia="Times New Roman" w:hAnsi="Times New Roman"/>
          <w:sz w:val="14"/>
          <w:szCs w:val="14"/>
          <w:color w:val="auto"/>
        </w:rPr>
        <w:t>” means CGC III Sponsor LLC, a Cayman Islands limited liability company.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Account</w:t>
      </w:r>
      <w:r>
        <w:rPr>
          <w:rFonts w:ascii="Times New Roman" w:cs="Times New Roman" w:eastAsia="Times New Roman" w:hAnsi="Times New Roman"/>
          <w:sz w:val="14"/>
          <w:szCs w:val="14"/>
          <w:color w:val="auto"/>
        </w:rPr>
        <w:t>” means the trust account established in connection with CGC’s initial public offering.</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GAAP</w:t>
      </w:r>
      <w:r>
        <w:rPr>
          <w:rFonts w:ascii="Times New Roman" w:cs="Times New Roman" w:eastAsia="Times New Roman" w:hAnsi="Times New Roman"/>
          <w:sz w:val="14"/>
          <w:szCs w:val="14"/>
          <w:color w:val="auto"/>
        </w:rPr>
        <w:t>” means the accounting principles generally accepted in the United States of America.</w:t>
      </w:r>
    </w:p>
    <w:p>
      <w:pPr>
        <w:spacing w:after="0" w:line="171" w:lineRule="exact"/>
        <w:rPr>
          <w:sz w:val="20"/>
          <w:szCs w:val="20"/>
          <w:color w:val="auto"/>
        </w:rPr>
      </w:pPr>
    </w:p>
    <w:p>
      <w:pPr>
        <w:ind w:left="760" w:right="1059" w:firstLine="24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means that certain amended and restated warrant agreement, dated as of June 5, 2026, by and between Factorial Energy and Continental, as warrant agent.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571" w:right="1440" w:bottom="1440" w:gutter="0" w:footer="0" w:header="0"/>
        </w:sectPr>
      </w:pPr>
    </w:p>
    <w:bookmarkStart w:id="8" w:name="page9"/>
    <w:bookmarkEnd w:id="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right="1099" w:firstLine="24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means warrants to purchase Series A Common Stock as contemplated under the Warrant Agreement, with each warrant exercisable for one Series A Common Stock at an exercise price of $11.50, which consists of the Public Warrants and the Private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571" w:right="1440"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left="760" w:right="779" w:firstLine="249"/>
        <w:spacing w:after="0" w:line="277" w:lineRule="auto"/>
        <w:rPr>
          <w:sz w:val="20"/>
          <w:szCs w:val="20"/>
          <w:color w:val="auto"/>
        </w:rPr>
      </w:pPr>
      <w:r>
        <w:rPr>
          <w:rFonts w:ascii="Times New Roman" w:cs="Times New Roman" w:eastAsia="Times New Roman" w:hAnsi="Times New Roman"/>
          <w:sz w:val="13"/>
          <w:szCs w:val="13"/>
          <w:color w:val="auto"/>
        </w:rPr>
        <w:t>This document forms part of a registration statement on Form S-1 filed with the SEC by Factorial Energy using the “shelf” registration process. Under this shelf registration process, the Selling Securityholders may, from time to time, sell the securities offered by them described in this prospectus. We may also use the shelf registration statement to issue up to 13,800,000 shares of our Series A Common Stock that may be issued upon the exercise of the Public Warrants. We will not receive any proceeds from the sale by such Selling Securityholders of the securities offered by them described in this prospectus, except with respect to amounts received by us upon exercise of the Public Warrants and the Options to the extent such Public Warrants and Options are exercised for cash.</w:t>
      </w:r>
    </w:p>
    <w:p>
      <w:pPr>
        <w:spacing w:after="0" w:line="128"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2"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150" w:lineRule="exact"/>
        <w:rPr>
          <w:sz w:val="20"/>
          <w:szCs w:val="20"/>
          <w:color w:val="auto"/>
        </w:rPr>
      </w:pPr>
    </w:p>
    <w:p>
      <w:pPr>
        <w:ind w:left="760" w:right="899" w:firstLine="249"/>
        <w:spacing w:after="0" w:line="283" w:lineRule="auto"/>
        <w:rPr>
          <w:sz w:val="20"/>
          <w:szCs w:val="20"/>
          <w:color w:val="auto"/>
        </w:rPr>
      </w:pPr>
      <w:r>
        <w:rPr>
          <w:rFonts w:ascii="Times New Roman" w:cs="Times New Roman" w:eastAsia="Times New Roman" w:hAnsi="Times New Roman"/>
          <w:sz w:val="13"/>
          <w:szCs w:val="13"/>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26"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760" w:right="899" w:firstLine="249"/>
        <w:spacing w:after="0" w:line="235" w:lineRule="auto"/>
        <w:rPr>
          <w:sz w:val="20"/>
          <w:szCs w:val="20"/>
          <w:color w:val="auto"/>
        </w:rPr>
      </w:pPr>
      <w:r>
        <w:rPr>
          <w:rFonts w:ascii="Times New Roman" w:cs="Times New Roman" w:eastAsia="Times New Roman" w:hAnsi="Times New Roman"/>
          <w:sz w:val="14"/>
          <w:szCs w:val="14"/>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4"/>
          <w:szCs w:val="14"/>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w:t>
      </w:r>
    </w:p>
    <w:p>
      <w:pPr>
        <w:sectPr>
          <w:pgSz w:w="11900" w:h="16838" w:orient="portrait"/>
          <w:cols w:equalWidth="0" w:num="1">
            <w:col w:w="9019"/>
          </w:cols>
          <w:pgMar w:left="1440" w:top="571" w:right="1440"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1" w:lineRule="exact"/>
        <w:rPr>
          <w:sz w:val="20"/>
          <w:szCs w:val="20"/>
          <w:color w:val="auto"/>
        </w:rPr>
      </w:pPr>
    </w:p>
    <w:p>
      <w:pPr>
        <w:ind w:left="780" w:right="799" w:firstLine="249"/>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“Unaudited Pro Forma Condensed Combined Financial Information” and the financial statements included elsewhere in this prospectus. Unless the context otherwise requires, the terms “Factorial,” “the Company,” “we,” “us” and “our” in this prospectus refer to Factorial Energy Inc. and its consolidated subsidiaries.</w:t>
      </w:r>
    </w:p>
    <w:p>
      <w:pPr>
        <w:spacing w:after="0" w:line="1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3" w:lineRule="exact"/>
        <w:rPr>
          <w:sz w:val="20"/>
          <w:szCs w:val="20"/>
          <w:color w:val="auto"/>
        </w:rPr>
      </w:pPr>
    </w:p>
    <w:p>
      <w:pPr>
        <w:jc w:val="both"/>
        <w:ind w:left="780" w:right="1019" w:firstLine="249"/>
        <w:spacing w:after="0" w:line="262" w:lineRule="auto"/>
        <w:rPr>
          <w:sz w:val="20"/>
          <w:szCs w:val="20"/>
          <w:color w:val="auto"/>
        </w:rPr>
      </w:pPr>
      <w:r>
        <w:rPr>
          <w:rFonts w:ascii="Times New Roman" w:cs="Times New Roman" w:eastAsia="Times New Roman" w:hAnsi="Times New Roman"/>
          <w:sz w:val="14"/>
          <w:szCs w:val="14"/>
          <w:color w:val="auto"/>
        </w:rPr>
        <w:t>Factorial, a U.S.-based leader in solid-state battery technology, develops next-generation battery technology with high energy density for planned use in drones, on-road vehicles, mobile robots, energy storage, and other applications that demand high energy density.</w:t>
      </w:r>
    </w:p>
    <w:p>
      <w:pPr>
        <w:spacing w:after="0" w:line="138" w:lineRule="exact"/>
        <w:rPr>
          <w:sz w:val="20"/>
          <w:szCs w:val="20"/>
          <w:color w:val="auto"/>
        </w:rPr>
      </w:pPr>
    </w:p>
    <w:p>
      <w:pPr>
        <w:ind w:left="780" w:right="1059" w:firstLine="249"/>
        <w:spacing w:after="0" w:line="292" w:lineRule="auto"/>
        <w:rPr>
          <w:sz w:val="20"/>
          <w:szCs w:val="20"/>
          <w:color w:val="auto"/>
        </w:rPr>
      </w:pPr>
      <w:r>
        <w:rPr>
          <w:rFonts w:ascii="Times New Roman" w:cs="Times New Roman" w:eastAsia="Times New Roman" w:hAnsi="Times New Roman"/>
          <w:sz w:val="13"/>
          <w:szCs w:val="13"/>
          <w:color w:val="auto"/>
        </w:rPr>
        <w:t>The limitations of commercially available lithium-ion (“Li-ion”) batteries are well illustrated by drones and on-road vehicles. Weight, size, and cost constraints limit their payloads, operating ranges, and potential customers. Nevertheless, even with such limitations and end-user concerns regarding safety and capability, each market has grown significantly over the past years.</w:t>
      </w:r>
    </w:p>
    <w:p>
      <w:pPr>
        <w:spacing w:after="0" w:line="119" w:lineRule="exact"/>
        <w:rPr>
          <w:sz w:val="20"/>
          <w:szCs w:val="20"/>
          <w:color w:val="auto"/>
        </w:rPr>
      </w:pPr>
    </w:p>
    <w:p>
      <w:pPr>
        <w:ind w:left="780" w:right="899" w:firstLine="249"/>
        <w:spacing w:after="0" w:line="278" w:lineRule="auto"/>
        <w:rPr>
          <w:sz w:val="20"/>
          <w:szCs w:val="20"/>
          <w:color w:val="auto"/>
        </w:rPr>
      </w:pPr>
      <w:r>
        <w:rPr>
          <w:rFonts w:ascii="Times New Roman" w:cs="Times New Roman" w:eastAsia="Times New Roman" w:hAnsi="Times New Roman"/>
          <w:sz w:val="14"/>
          <w:szCs w:val="14"/>
          <w:color w:val="auto"/>
        </w:rPr>
        <w:t>Drone manufacturers, robotics engineers, and automotive companies are each seeking powerful — yet smaller, lighter, and safer — battery technology for their products.</w:t>
      </w:r>
    </w:p>
    <w:p>
      <w:pPr>
        <w:spacing w:after="0" w:line="126" w:lineRule="exact"/>
        <w:rPr>
          <w:sz w:val="20"/>
          <w:szCs w:val="20"/>
          <w:color w:val="auto"/>
        </w:rPr>
      </w:pPr>
    </w:p>
    <w:p>
      <w:pPr>
        <w:ind w:left="780" w:right="879" w:firstLine="249"/>
        <w:spacing w:after="0" w:line="273" w:lineRule="auto"/>
        <w:rPr>
          <w:sz w:val="20"/>
          <w:szCs w:val="20"/>
          <w:color w:val="auto"/>
        </w:rPr>
      </w:pPr>
      <w:r>
        <w:rPr>
          <w:rFonts w:ascii="Times New Roman" w:cs="Times New Roman" w:eastAsia="Times New Roman" w:hAnsi="Times New Roman"/>
          <w:sz w:val="13"/>
          <w:szCs w:val="13"/>
          <w:color w:val="auto"/>
        </w:rPr>
        <w:t>To meet these demands, Factorial has developed, tested, and delivered to aerospace and automotive manufacturers commercial-grade battery cells with high energy density that are designed to equal or exceed current Li-ion batteries in multiple dimensions including weight, size, safety, and operating temperature range. These qualities have most recently been validated in a real-world test of our full-size cells on public roads in a production model vehicle only lightly modified for installation of our cells. Factorial’s batteries are engineered to be integrated into current use cases, designs, and physical form factors, enabling straightforward incorporation into applications such as drones and on-road vehicles with modest modifications to their manufacturing lines and processes. Factorial’s batteries are designed to deliver advantages in range, payload, and capabilities for current products as well as future designs and innovations. We believe that our philosophy of optimizing both individual battery components and their performance as a complete system will allow us to deliver advantages to end users over conventional Li-ion batteries.</w:t>
      </w:r>
    </w:p>
    <w:p>
      <w:pPr>
        <w:spacing w:after="0" w:line="132" w:lineRule="exact"/>
        <w:rPr>
          <w:sz w:val="20"/>
          <w:szCs w:val="20"/>
          <w:color w:val="auto"/>
        </w:rPr>
      </w:pPr>
    </w:p>
    <w:p>
      <w:pPr>
        <w:ind w:left="780" w:right="839" w:firstLine="249"/>
        <w:spacing w:after="0" w:line="257" w:lineRule="auto"/>
        <w:rPr>
          <w:sz w:val="20"/>
          <w:szCs w:val="20"/>
          <w:color w:val="auto"/>
        </w:rPr>
      </w:pPr>
      <w:r>
        <w:rPr>
          <w:rFonts w:ascii="Times New Roman" w:cs="Times New Roman" w:eastAsia="Times New Roman" w:hAnsi="Times New Roman"/>
          <w:sz w:val="14"/>
          <w:szCs w:val="14"/>
          <w:color w:val="auto"/>
        </w:rPr>
        <w:t>Factorial’s battery cells deliver these advantages by using proprietary battery chemistries, designs, and fabrication techniques to create smaller, lighter batteries with higher energy density than conventional Li-ion batteries, in a manner we believe is commercially scalable. We have built and operated fabrication lines for production of our batteries and delivered thousands of battery cells to partners for use and validation in drones and on-road vehicles.</w:t>
      </w:r>
    </w:p>
    <w:p>
      <w:pPr>
        <w:spacing w:after="0" w:line="142" w:lineRule="exact"/>
        <w:rPr>
          <w:sz w:val="20"/>
          <w:szCs w:val="20"/>
          <w:color w:val="auto"/>
        </w:rPr>
      </w:pPr>
    </w:p>
    <w:p>
      <w:pPr>
        <w:ind w:left="780" w:right="799" w:firstLine="249"/>
        <w:spacing w:after="0" w:line="215" w:lineRule="auto"/>
        <w:rPr>
          <w:sz w:val="20"/>
          <w:szCs w:val="20"/>
          <w:color w:val="auto"/>
        </w:rPr>
      </w:pPr>
      <w:r>
        <w:rPr>
          <w:rFonts w:ascii="Times New Roman" w:cs="Times New Roman" w:eastAsia="Times New Roman" w:hAnsi="Times New Roman"/>
          <w:sz w:val="14"/>
          <w:szCs w:val="14"/>
          <w:color w:val="auto"/>
        </w:rPr>
        <w:t>Factorial believes that its technical advantages and commercial readiness have resulted from and bolstered its collaborations with leading, global partners for adoption of its batteries, production processes, and technology. Our Factorial Electrolyte System Technology (“FEST®”) cells are designed to meet the demands of the high-power market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 xml:space="preserve"> such as drones and on-road vehicles. Our Solstice</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4"/>
          <w:szCs w:val="14"/>
          <w:color w:val="auto"/>
        </w:rPr>
        <w:t xml:space="preserve"> cells are engineered for long cycle applications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 xml:space="preserve"> such as mobile robots, on-road vehicles, and AI data center energy storage solutions.</w:t>
      </w:r>
    </w:p>
    <w:p>
      <w:pPr>
        <w:spacing w:after="0" w:line="153" w:lineRule="exact"/>
        <w:rPr>
          <w:sz w:val="20"/>
          <w:szCs w:val="20"/>
          <w:color w:val="auto"/>
        </w:rPr>
      </w:pPr>
    </w:p>
    <w:p>
      <w:pPr>
        <w:ind w:left="780" w:right="779" w:firstLine="249"/>
        <w:spacing w:after="0" w:line="250" w:lineRule="auto"/>
        <w:rPr>
          <w:sz w:val="20"/>
          <w:szCs w:val="20"/>
          <w:color w:val="auto"/>
        </w:rPr>
      </w:pPr>
      <w:r>
        <w:rPr>
          <w:rFonts w:ascii="Times New Roman" w:cs="Times New Roman" w:eastAsia="Times New Roman" w:hAnsi="Times New Roman"/>
          <w:sz w:val="13"/>
          <w:szCs w:val="13"/>
          <w:color w:val="auto"/>
        </w:rPr>
        <w:t>Factorial has cultivated and expanded a range of key partnerships, relationships, and collaborations with manufacturers, end users, and suppliers. Factorial’s partnerships in the automotive industry comprise leading global OEMs representing 26% of the electric vehicle (“EV”) industry in the United States and Europe, as measured by 2024 unit sales.</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3"/>
          <w:szCs w:val="13"/>
          <w:color w:val="auto"/>
        </w:rPr>
        <w:t xml:space="preserve"> Factorial’s relationships in the aerospace industry include a material evaluation agreement with Avidrone Aerospace, a North American aerospace company, that designs and manufactures advanced unmanned aerial systems (“UAS” or “drones”), including heavy-lift and long range unmanned platforms.</w:t>
      </w:r>
    </w:p>
    <w:p>
      <w:pPr>
        <w:spacing w:after="0" w:line="313" w:lineRule="exact"/>
        <w:rPr>
          <w:sz w:val="20"/>
          <w:szCs w:val="20"/>
          <w:color w:val="auto"/>
        </w:rPr>
      </w:pPr>
    </w:p>
    <w:p>
      <w:pPr>
        <w:ind w:left="780" w:right="839" w:hanging="6"/>
        <w:spacing w:after="0" w:line="201" w:lineRule="auto"/>
        <w:tabs>
          <w:tab w:leader="none" w:pos="927"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High power refers to applications requiring high continuous or pulse discharge rates (typically a C-Rate of 4C or greater) as is seen for vertical takeoff or rapid acceleration.</w:t>
      </w:r>
    </w:p>
    <w:p>
      <w:pPr>
        <w:spacing w:after="0" w:line="1" w:lineRule="exact"/>
        <w:rPr>
          <w:sz w:val="20"/>
          <w:szCs w:val="20"/>
          <w:color w:val="auto"/>
        </w:rPr>
      </w:pPr>
    </w:p>
    <w:p>
      <w:pPr>
        <w:ind w:left="780" w:right="919" w:hanging="6"/>
        <w:spacing w:after="0" w:line="198" w:lineRule="auto"/>
        <w:tabs>
          <w:tab w:leader="none" w:pos="936"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Long cycle indicates a demand for a battery that can undergo a high number of charge and discharge cycles before its capacity no longer meets its intended design requirements.</w:t>
      </w:r>
    </w:p>
    <w:p>
      <w:pPr>
        <w:ind w:left="780" w:right="819" w:hanging="6"/>
        <w:spacing w:after="0" w:line="216" w:lineRule="auto"/>
        <w:tabs>
          <w:tab w:leader="none" w:pos="93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ICCT (International Council on Clean Transportation), U.S. Passenger EV Sales and Model Availability Through 2024 — accessed January 2026, https://theicct.org/publication/us-passenger-ev-sales-andmodel-availability-through-2024-apr25/; Statista, Electric</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551" w:right="1440"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62" w:lineRule="exact"/>
        <w:rPr>
          <w:sz w:val="20"/>
          <w:szCs w:val="20"/>
          <w:color w:val="auto"/>
        </w:rPr>
      </w:pPr>
    </w:p>
    <w:p>
      <w:pPr>
        <w:ind w:left="780" w:right="799"/>
        <w:spacing w:after="0" w:line="262" w:lineRule="auto"/>
        <w:rPr>
          <w:sz w:val="20"/>
          <w:szCs w:val="20"/>
          <w:color w:val="auto"/>
        </w:rPr>
      </w:pPr>
      <w:r>
        <w:rPr>
          <w:rFonts w:ascii="Times New Roman" w:cs="Times New Roman" w:eastAsia="Times New Roman" w:hAnsi="Times New Roman"/>
          <w:sz w:val="14"/>
          <w:szCs w:val="14"/>
          <w:color w:val="auto"/>
        </w:rPr>
        <w:t>Mobility — September 2025, https://www.statista.com/topics/1010/electric-mobility/; Autovista24, What Are the Global EV Market’s Most Successful Brands? — February 2025, https://autovista24.autovistagroup.com/news/what-are-theglobal-ev-markets-most-successful-brands/, Factorial research and estimates.</w:t>
      </w:r>
    </w:p>
    <w:p>
      <w:pPr>
        <w:spacing w:after="0" w:line="138" w:lineRule="exact"/>
        <w:rPr>
          <w:sz w:val="20"/>
          <w:szCs w:val="20"/>
          <w:color w:val="auto"/>
        </w:rPr>
      </w:pPr>
    </w:p>
    <w:p>
      <w:pPr>
        <w:jc w:val="both"/>
        <w:ind w:left="780" w:right="999" w:firstLine="249"/>
        <w:spacing w:after="0" w:line="262" w:lineRule="auto"/>
        <w:rPr>
          <w:sz w:val="20"/>
          <w:szCs w:val="20"/>
          <w:color w:val="auto"/>
        </w:rPr>
      </w:pPr>
      <w:r>
        <w:rPr>
          <w:rFonts w:ascii="Times New Roman" w:cs="Times New Roman" w:eastAsia="Times New Roman" w:hAnsi="Times New Roman"/>
          <w:sz w:val="14"/>
          <w:szCs w:val="14"/>
          <w:color w:val="auto"/>
        </w:rPr>
        <w:t>In 2021, Factorial became the first company to announce a 40 Ah automotive-scale solid-state battery capable of operating at room temperature. Following an initial strategic investment from Hyundai/Kia, Factorial expanded its partnerships with Mercedes-Benz and Stellantis, who subsequently co-led a $200 million investment round.</w:t>
      </w:r>
    </w:p>
    <w:p>
      <w:pPr>
        <w:spacing w:after="0" w:line="138" w:lineRule="exact"/>
        <w:rPr>
          <w:sz w:val="20"/>
          <w:szCs w:val="20"/>
          <w:color w:val="auto"/>
        </w:rPr>
      </w:pPr>
    </w:p>
    <w:p>
      <w:pPr>
        <w:ind w:left="780" w:right="839" w:firstLine="249"/>
        <w:spacing w:after="0" w:line="262" w:lineRule="auto"/>
        <w:rPr>
          <w:sz w:val="20"/>
          <w:szCs w:val="20"/>
          <w:color w:val="auto"/>
        </w:rPr>
      </w:pPr>
      <w:r>
        <w:rPr>
          <w:rFonts w:ascii="Times New Roman" w:cs="Times New Roman" w:eastAsia="Times New Roman" w:hAnsi="Times New Roman"/>
          <w:sz w:val="14"/>
          <w:szCs w:val="14"/>
          <w:color w:val="auto"/>
        </w:rPr>
        <w:t>Factorial believes that these relationships demonstrate Factorial’s leadership in the solid-state battery industry and will meaningfully support the demand for its products. Moreover, Factorial expects that these relationships will allow Factorial to develop products tailored to meet the needs of end users and match the production demands of its partners and customers.</w:t>
      </w:r>
    </w:p>
    <w:p>
      <w:pPr>
        <w:spacing w:after="0" w:line="138" w:lineRule="exact"/>
        <w:rPr>
          <w:sz w:val="20"/>
          <w:szCs w:val="20"/>
          <w:color w:val="auto"/>
        </w:rPr>
      </w:pPr>
    </w:p>
    <w:p>
      <w:pPr>
        <w:ind w:left="780" w:right="799" w:firstLine="249"/>
        <w:spacing w:after="0" w:line="227" w:lineRule="auto"/>
        <w:rPr>
          <w:sz w:val="20"/>
          <w:szCs w:val="20"/>
          <w:color w:val="auto"/>
        </w:rPr>
      </w:pPr>
      <w:r>
        <w:rPr>
          <w:rFonts w:ascii="Times New Roman" w:cs="Times New Roman" w:eastAsia="Times New Roman" w:hAnsi="Times New Roman"/>
          <w:sz w:val="14"/>
          <w:szCs w:val="14"/>
          <w:color w:val="auto"/>
        </w:rPr>
        <w:t>We believe we have developed one of the world’s most advanced solid-state battery technologies, and the management team necessary to become a leading provider of advanced batteries. We were named by MarketsandMarkets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4"/>
          <w:szCs w:val="14"/>
          <w:color w:val="auto"/>
        </w:rPr>
        <w:t xml:space="preserve"> as one of seven “star players” in the solid-state battery market in July 2025,</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4"/>
          <w:szCs w:val="14"/>
          <w:color w:val="auto"/>
        </w:rPr>
        <w:t xml:space="preserve"> named to Time Magazine’s America’s Top Greentech Companies list in 2024 and 2025,</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4"/>
          <w:szCs w:val="14"/>
          <w:color w:val="auto"/>
        </w:rPr>
        <w:t xml:space="preserve"> and ranked #25 on Bessemer’s XB100 in 2023.</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4"/>
          <w:szCs w:val="14"/>
          <w:color w:val="auto"/>
        </w:rPr>
        <w:t xml:space="preserve"> Although we are a pre-commercialization stage company, we consider ourselves to be a leader in the solid-state battery industry based upon our achievement of many industry “firsts” (including first to announce a 40 Ah automotive-scale solid-state battery capable of operating at room temperature, world’s first to announce 100+ Ah lithium-metal solid-state battery cell, first to announce the delivery of high energy density (&gt;390Wh/kg) 100+ Ah solid-state battery B sample to a global automotive OEM, and first to announce the launch of solid-state battery production program in the United States for passenger vehicles) and the strength of our relationships with collaboration partners, who collectively hold a 26% market share of the U.S. and European electric vehicle market. We believe we can scale the volume of our own manufacturing. Factorial’s third-party-tested FEST® battery technology is designed to be incorporated into the existing manufacturing lines of its collaboration partners. We have designed our technology to allow batteries with FEST® to be straightforwardly substituted for existing conventional Li-ion batteries in EVs.</w:t>
      </w:r>
    </w:p>
    <w:p>
      <w:pPr>
        <w:spacing w:after="0" w:line="1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Controlled Company</w:t>
      </w:r>
    </w:p>
    <w:p>
      <w:pPr>
        <w:spacing w:after="0" w:line="173" w:lineRule="exact"/>
        <w:rPr>
          <w:sz w:val="20"/>
          <w:szCs w:val="20"/>
          <w:color w:val="auto"/>
        </w:rPr>
      </w:pPr>
    </w:p>
    <w:p>
      <w:pPr>
        <w:ind w:left="780" w:right="799" w:firstLine="249"/>
        <w:spacing w:after="0" w:line="252" w:lineRule="auto"/>
        <w:rPr>
          <w:sz w:val="20"/>
          <w:szCs w:val="20"/>
          <w:color w:val="auto"/>
        </w:rPr>
      </w:pPr>
      <w:r>
        <w:rPr>
          <w:rFonts w:ascii="Times New Roman" w:cs="Times New Roman" w:eastAsia="Times New Roman" w:hAnsi="Times New Roman"/>
          <w:sz w:val="14"/>
          <w:szCs w:val="14"/>
          <w:color w:val="auto"/>
        </w:rPr>
        <w:t>As a result of the voting power of the Series B Common Stock, which has ten votes per share, the Legacy Factorial Founders hold 62.9% of the total voting power of the Factorial Energy Common Stock. Accordingly, the Legacy Factorial Founders have a majority of such voting power and, as a result, Factorial Energy qualifies as a “controlled company” under Nasdaq rules. Nevertheless, Factorial Energy does not intend to rely upon any of the exemptions available to a “controlled company” under Nasdaq corporate governance requirements. If Factorial Energy were to elect to avail itself of the exemptions available to a “controlled company”, Factorial Energy would be permitted to be exempt from certain corporate governance requirements, including the requirement that a majority of its board of directors be composed of “independent directors” under Nasdaq rules and that its compensation committee consist entirely of independent directors.</w:t>
      </w:r>
    </w:p>
    <w:p>
      <w:pPr>
        <w:spacing w:after="0" w:line="1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73" w:lineRule="exact"/>
        <w:rPr>
          <w:sz w:val="20"/>
          <w:szCs w:val="20"/>
          <w:color w:val="auto"/>
        </w:rPr>
      </w:pPr>
    </w:p>
    <w:p>
      <w:pPr>
        <w:ind w:left="780" w:right="1259" w:firstLine="249"/>
        <w:spacing w:after="0" w:line="262" w:lineRule="auto"/>
        <w:rPr>
          <w:sz w:val="20"/>
          <w:szCs w:val="20"/>
          <w:color w:val="auto"/>
        </w:rPr>
      </w:pPr>
      <w:r>
        <w:rPr>
          <w:rFonts w:ascii="Times New Roman" w:cs="Times New Roman" w:eastAsia="Times New Roman" w:hAnsi="Times New Roman"/>
          <w:sz w:val="14"/>
          <w:szCs w:val="14"/>
          <w:color w:val="auto"/>
        </w:rPr>
        <w:t>In evaluating an investment in our securities, you should carefully read this prospectus and especially consider the factors discussed in the section of this prospectus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particular, such risks include, but are not limited to, the following:</w:t>
      </w:r>
    </w:p>
    <w:p>
      <w:pPr>
        <w:spacing w:after="0" w:line="138" w:lineRule="exact"/>
        <w:rPr>
          <w:sz w:val="20"/>
          <w:szCs w:val="20"/>
          <w:color w:val="auto"/>
        </w:rPr>
      </w:pPr>
    </w:p>
    <w:p>
      <w:pPr>
        <w:ind w:left="1300" w:right="1019" w:hanging="255"/>
        <w:spacing w:after="0" w:line="278" w:lineRule="auto"/>
        <w:tabs>
          <w:tab w:leader="none" w:pos="1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development of batteries is complex and the timing of development cannot be assured. Delays in the development of Factorial Energy’s batteries could adversely affect Factorial Energy’s business and prospects.</w:t>
      </w:r>
    </w:p>
    <w:p>
      <w:pPr>
        <w:spacing w:after="0" w:line="125" w:lineRule="exact"/>
        <w:rPr>
          <w:rFonts w:ascii="Times New Roman" w:cs="Times New Roman" w:eastAsia="Times New Roman" w:hAnsi="Times New Roman"/>
          <w:sz w:val="14"/>
          <w:szCs w:val="14"/>
          <w:color w:val="auto"/>
        </w:rPr>
      </w:pPr>
    </w:p>
    <w:p>
      <w:pPr>
        <w:ind w:left="1300" w:right="1019" w:hanging="255"/>
        <w:spacing w:after="0" w:line="278" w:lineRule="auto"/>
        <w:tabs>
          <w:tab w:leader="none" w:pos="1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is an early-stage company with a history of financial losses and expect to incur significant expenses and continuing losses from operations.</w:t>
      </w:r>
    </w:p>
    <w:p>
      <w:pPr>
        <w:spacing w:after="0" w:line="292" w:lineRule="exact"/>
        <w:rPr>
          <w:sz w:val="20"/>
          <w:szCs w:val="20"/>
          <w:color w:val="auto"/>
        </w:rPr>
      </w:pPr>
    </w:p>
    <w:p>
      <w:pPr>
        <w:ind w:left="780" w:right="2479" w:hanging="6"/>
        <w:spacing w:after="0" w:line="219" w:lineRule="auto"/>
        <w:tabs>
          <w:tab w:leader="none" w:pos="8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“MarketsandMarkets, Solid-State Battery Market Size, Share and Trends, July 2025 - accessed March 2026,https://www.marketsandmarkets.com/Market-Reports/solid-state-battery-market-164577856.html”</w:t>
      </w:r>
    </w:p>
    <w:p>
      <w:pPr>
        <w:spacing w:after="0" w:line="1" w:lineRule="exact"/>
        <w:rPr>
          <w:rFonts w:ascii="Times New Roman" w:cs="Times New Roman" w:eastAsia="Times New Roman" w:hAnsi="Times New Roman"/>
          <w:sz w:val="20"/>
          <w:szCs w:val="20"/>
          <w:color w:val="auto"/>
          <w:vertAlign w:val="superscript"/>
        </w:rPr>
      </w:pPr>
    </w:p>
    <w:p>
      <w:pPr>
        <w:ind w:left="780" w:right="799"/>
        <w:spacing w:after="0" w:line="204"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4"/>
          <w:szCs w:val="14"/>
          <w:color w:val="auto"/>
        </w:rPr>
        <w:t xml:space="preserve"> https://time.com/7344228/americas-top-greentech-companies-of-2025/, https://time.com/7372550/americas-topgreentechcompanies-2024/</w:t>
      </w:r>
    </w:p>
    <w:p>
      <w:pPr>
        <w:ind w:left="78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4"/>
          <w:szCs w:val="14"/>
          <w:color w:val="auto"/>
        </w:rPr>
        <w:t xml:space="preserve"> Bessemer’s XB100, Top 100 Private Deep Tech Companies, 2023.</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551" w:right="1440"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109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business plan has yet to be tested, and Factorial Energy may not succeed in executing on its strategic plans, including commercialization.</w:t>
      </w:r>
    </w:p>
    <w:p>
      <w:pPr>
        <w:spacing w:after="0" w:line="125" w:lineRule="exact"/>
        <w:rPr>
          <w:rFonts w:ascii="Times New Roman" w:cs="Times New Roman" w:eastAsia="Times New Roman" w:hAnsi="Times New Roman"/>
          <w:sz w:val="14"/>
          <w:szCs w:val="14"/>
          <w:color w:val="auto"/>
        </w:rPr>
      </w:pPr>
    </w:p>
    <w:p>
      <w:pPr>
        <w:ind w:left="1300" w:right="77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will need substantial additional capital in the future to fund its business and may be unable to meet its future capital requirements, impairing its financial position and results of operations.</w:t>
      </w:r>
    </w:p>
    <w:p>
      <w:pPr>
        <w:spacing w:after="0" w:line="125" w:lineRule="exact"/>
        <w:rPr>
          <w:rFonts w:ascii="Times New Roman" w:cs="Times New Roman" w:eastAsia="Times New Roman" w:hAnsi="Times New Roman"/>
          <w:sz w:val="14"/>
          <w:szCs w:val="14"/>
          <w:color w:val="auto"/>
        </w:rPr>
      </w:pPr>
    </w:p>
    <w:p>
      <w:pPr>
        <w:ind w:left="1300" w:right="759" w:hanging="255"/>
        <w:spacing w:after="0" w:line="262"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ability to manufacture its batteries at scale depends on its ability to design, engineer, build, operate and staff its facilities successfully or to obtain third party manufacturing capacity and expertise. Factorial Energy may need to sell its products at a loss before reaching economies of scale.</w:t>
      </w:r>
    </w:p>
    <w:p>
      <w:pPr>
        <w:spacing w:after="0" w:line="137" w:lineRule="exact"/>
        <w:rPr>
          <w:rFonts w:ascii="Times New Roman" w:cs="Times New Roman" w:eastAsia="Times New Roman" w:hAnsi="Times New Roman"/>
          <w:sz w:val="14"/>
          <w:szCs w:val="14"/>
          <w:color w:val="auto"/>
        </w:rPr>
      </w:pPr>
    </w:p>
    <w:p>
      <w:pPr>
        <w:ind w:left="1300" w:right="779" w:hanging="255"/>
        <w:spacing w:after="0" w:line="252"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Factorial Energy relies on, and will continue to rely on, complex equipment for our operations. This equipment, and manufacturing generally, creates a significant degree of risk and uncertainty in terms of operational performance and costs. Factorial may not be able to establish new, or maintain existing, supply relationships for necessary raw materials, components or equipment or may be required to pay costs for raw materials, components or equipment that are more expensive than anticipated, which could delay the introduction of our products and negatively impact their business and ability to generate revenue and profits. Certain components of Factorial Energy batteries pose safety risks that may cause injury or death. Factorial Energy may be subject to financial and reputational risks due to product recalls and product liability </w:t>
      </w:r>
      <w:r>
        <w:rPr>
          <w:rFonts w:ascii="Times New Roman" w:cs="Times New Roman" w:eastAsia="Times New Roman" w:hAnsi="Times New Roman"/>
          <w:sz w:val="14"/>
          <w:szCs w:val="14"/>
          <w:color w:val="000000"/>
        </w:rPr>
        <w:t>claims, and we could face substantial liabilities that exceed our resources.</w:t>
      </w:r>
    </w:p>
    <w:p>
      <w:pPr>
        <w:spacing w:after="0" w:line="143" w:lineRule="exact"/>
        <w:rPr>
          <w:rFonts w:ascii="Times New Roman" w:cs="Times New Roman" w:eastAsia="Times New Roman" w:hAnsi="Times New Roman"/>
          <w:sz w:val="14"/>
          <w:szCs w:val="14"/>
          <w:color w:val="auto"/>
        </w:rPr>
      </w:pPr>
    </w:p>
    <w:p>
      <w:pPr>
        <w:ind w:left="1300" w:right="899" w:hanging="255"/>
        <w:spacing w:after="0" w:line="262"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future growth and success depend in part on its ability to grow its customer base and effectively sell to a wide variety of customers. Failure to grow Factorial Energy’s customer base would adversely affect its business and prospects.</w:t>
      </w:r>
    </w:p>
    <w:p>
      <w:pPr>
        <w:spacing w:after="0" w:line="137" w:lineRule="exact"/>
        <w:rPr>
          <w:rFonts w:ascii="Times New Roman" w:cs="Times New Roman" w:eastAsia="Times New Roman" w:hAnsi="Times New Roman"/>
          <w:sz w:val="14"/>
          <w:szCs w:val="14"/>
          <w:color w:val="auto"/>
        </w:rPr>
      </w:pPr>
    </w:p>
    <w:p>
      <w:pPr>
        <w:ind w:left="1300" w:right="75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business depends substantially on the continuing efforts of its senior executives and other key personnel as well as the ability to attract, train, and retain highly skilled employees and key personnel.</w:t>
      </w:r>
    </w:p>
    <w:p>
      <w:pPr>
        <w:spacing w:after="0" w:line="125" w:lineRule="exact"/>
        <w:rPr>
          <w:rFonts w:ascii="Times New Roman" w:cs="Times New Roman" w:eastAsia="Times New Roman" w:hAnsi="Times New Roman"/>
          <w:sz w:val="14"/>
          <w:szCs w:val="14"/>
          <w:color w:val="auto"/>
        </w:rPr>
      </w:pPr>
    </w:p>
    <w:p>
      <w:pPr>
        <w:ind w:left="1300" w:right="879" w:hanging="255"/>
        <w:spacing w:after="0" w:line="292" w:lineRule="auto"/>
        <w:tabs>
          <w:tab w:leader="none" w:pos="1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 xml:space="preserve">The EV battery market continues to evolve and is highly competitive, and certain other battery manufacturers have significantly greater resources, experience and scale than Factorial Energy does and have technologies that may be superior to Factorial Energy’s. As a result, Factorial Energy may not be able to produce </w:t>
      </w:r>
      <w:r>
        <w:rPr>
          <w:rFonts w:ascii="Times New Roman" w:cs="Times New Roman" w:eastAsia="Times New Roman" w:hAnsi="Times New Roman"/>
          <w:sz w:val="13"/>
          <w:szCs w:val="13"/>
          <w:color w:val="000000"/>
        </w:rPr>
        <w:t>its products at cost competitive prices.</w:t>
      </w:r>
    </w:p>
    <w:p>
      <w:pPr>
        <w:spacing w:after="0" w:line="119" w:lineRule="exact"/>
        <w:rPr>
          <w:rFonts w:ascii="Times New Roman" w:cs="Times New Roman" w:eastAsia="Times New Roman" w:hAnsi="Times New Roman"/>
          <w:sz w:val="13"/>
          <w:szCs w:val="13"/>
          <w:color w:val="auto"/>
        </w:rPr>
      </w:pPr>
    </w:p>
    <w:p>
      <w:pPr>
        <w:ind w:left="1300" w:right="83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unavailability, reduction, or elimination of government and economic incentives could have a material adverse effect on Factorial Energy’s business, financial condition, results of operations, and prospects.</w:t>
      </w:r>
    </w:p>
    <w:p>
      <w:pPr>
        <w:spacing w:after="0" w:line="125" w:lineRule="exact"/>
        <w:rPr>
          <w:rFonts w:ascii="Times New Roman" w:cs="Times New Roman" w:eastAsia="Times New Roman" w:hAnsi="Times New Roman"/>
          <w:sz w:val="14"/>
          <w:szCs w:val="14"/>
          <w:color w:val="auto"/>
        </w:rPr>
      </w:pPr>
    </w:p>
    <w:p>
      <w:pPr>
        <w:ind w:left="1300" w:right="119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will be controlled or substantially influenced by the Legacy Factorial Founders, whose interests may conflict with other stockholders.</w:t>
      </w:r>
    </w:p>
    <w:p>
      <w:pPr>
        <w:spacing w:after="0" w:line="125" w:lineRule="exact"/>
        <w:rPr>
          <w:rFonts w:ascii="Times New Roman" w:cs="Times New Roman" w:eastAsia="Times New Roman" w:hAnsi="Times New Roman"/>
          <w:sz w:val="14"/>
          <w:szCs w:val="14"/>
          <w:color w:val="auto"/>
        </w:rPr>
      </w:pPr>
    </w:p>
    <w:p>
      <w:pPr>
        <w:ind w:left="1300" w:right="83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may become involved in lawsuits to protect or enforce its patent or other intellectual property rights, which could be expensive, time-consuming and unsuccessful.</w:t>
      </w:r>
    </w:p>
    <w:p>
      <w:pPr>
        <w:spacing w:after="0" w:line="125" w:lineRule="exact"/>
        <w:rPr>
          <w:rFonts w:ascii="Times New Roman" w:cs="Times New Roman" w:eastAsia="Times New Roman" w:hAnsi="Times New Roman"/>
          <w:sz w:val="14"/>
          <w:szCs w:val="14"/>
          <w:color w:val="auto"/>
        </w:rPr>
      </w:pPr>
    </w:p>
    <w:p>
      <w:pPr>
        <w:ind w:left="1300" w:right="879" w:hanging="255"/>
        <w:spacing w:after="0" w:line="257"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has identified a material weakness in its internal control over financial reporting. If Factorial Energy is unable to remediate this material weakness or otherwise fails to maintain proper and effective internal controls, its ability to produce timely and accurate financial statements could be impaired, which could adversely affect its operating results, its stock price and access to the capital markets.</w:t>
      </w:r>
    </w:p>
    <w:p>
      <w:pPr>
        <w:spacing w:after="0" w:line="141" w:lineRule="exact"/>
        <w:rPr>
          <w:rFonts w:ascii="Times New Roman" w:cs="Times New Roman" w:eastAsia="Times New Roman" w:hAnsi="Times New Roman"/>
          <w:sz w:val="14"/>
          <w:szCs w:val="14"/>
          <w:color w:val="auto"/>
        </w:rPr>
      </w:pPr>
    </w:p>
    <w:p>
      <w:pPr>
        <w:ind w:left="1300" w:right="89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There may not be an active trading market for Series A Common Stock, which may make it difficult to sell shares of Series A Common Stock.</w:t>
      </w:r>
    </w:p>
    <w:p>
      <w:pPr>
        <w:spacing w:after="0" w:line="125" w:lineRule="exact"/>
        <w:rPr>
          <w:rFonts w:ascii="Times New Roman" w:cs="Times New Roman" w:eastAsia="Times New Roman" w:hAnsi="Times New Roman"/>
          <w:sz w:val="14"/>
          <w:szCs w:val="14"/>
          <w:color w:val="auto"/>
        </w:rPr>
      </w:pPr>
    </w:p>
    <w:p>
      <w:pPr>
        <w:ind w:left="1300" w:right="879" w:hanging="255"/>
        <w:spacing w:after="0" w:line="262"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p>
      <w:pPr>
        <w:spacing w:after="0" w:line="137" w:lineRule="exact"/>
        <w:rPr>
          <w:rFonts w:ascii="Times New Roman" w:cs="Times New Roman" w:eastAsia="Times New Roman" w:hAnsi="Times New Roman"/>
          <w:sz w:val="14"/>
          <w:szCs w:val="14"/>
          <w:color w:val="auto"/>
        </w:rPr>
      </w:pPr>
    </w:p>
    <w:p>
      <w:pPr>
        <w:ind w:left="1300" w:right="859" w:hanging="255"/>
        <w:spacing w:after="0" w:line="278" w:lineRule="auto"/>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 will have increased costs as a result of operating as a public company, and Factorial Energy’s management will devote substantial time to related compliance initiatives.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551" w:right="1440"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38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1945" cy="7038340"/>
                    </a:xfrm>
                    <a:prstGeom prst="rect">
                      <a:avLst/>
                    </a:prstGeom>
                    <a:noFill/>
                  </pic:spPr>
                </pic:pic>
              </a:graphicData>
            </a:graphic>
          </wp:anchor>
        </w:drawing>
        <w:t>Table of Contents</w:t>
      </w:r>
    </w:p>
    <w:p>
      <w:pPr>
        <w:spacing w:after="0" w:line="200" w:lineRule="exact"/>
        <w:rPr>
          <w:sz w:val="20"/>
          <w:szCs w:val="20"/>
          <w:color w:val="auto"/>
        </w:rPr>
      </w:pPr>
    </w:p>
    <w:p>
      <w:pPr>
        <w:spacing w:after="0" w:line="252" w:lineRule="exact"/>
        <w:rPr>
          <w:sz w:val="20"/>
          <w:szCs w:val="20"/>
          <w:color w:val="auto"/>
        </w:rPr>
      </w:pPr>
    </w:p>
    <w:p>
      <w:pPr>
        <w:jc w:val="both"/>
        <w:ind w:left="1300" w:right="899" w:hanging="255"/>
        <w:spacing w:after="0" w:line="262" w:lineRule="auto"/>
        <w:tabs>
          <w:tab w:leader="none" w:pos="1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We are currently in a period of economic uncertainty and capital markets disruption, which has been significantly impacted by a new U.S. presidential administration and accompanying regulatory </w:t>
      </w:r>
      <w:r>
        <w:rPr>
          <w:rFonts w:ascii="Times New Roman" w:cs="Times New Roman" w:eastAsia="Times New Roman" w:hAnsi="Times New Roman"/>
          <w:sz w:val="14"/>
          <w:szCs w:val="14"/>
          <w:color w:val="000000"/>
        </w:rPr>
        <w:t>activities and economic policies and events related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thereto, ongoing military conflicts and geopolitical instability and inflation and interest rates.</w:t>
      </w:r>
    </w:p>
    <w:p>
      <w:pPr>
        <w:spacing w:after="0" w:line="106" w:lineRule="exact"/>
        <w:rPr>
          <w:rFonts w:ascii="Times New Roman" w:cs="Times New Roman" w:eastAsia="Times New Roman" w:hAnsi="Times New Roman"/>
          <w:sz w:val="14"/>
          <w:szCs w:val="14"/>
          <w:color w:val="auto"/>
        </w:rPr>
      </w:pPr>
    </w:p>
    <w:p>
      <w:pPr>
        <w:ind w:left="1300" w:right="959" w:hanging="255"/>
        <w:spacing w:after="0" w:line="262" w:lineRule="auto"/>
        <w:tabs>
          <w:tab w:leader="none" w:pos="1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Factorial Energy’s actual financial position and results of operations may differ materially from the unaudited pro forma financial information included in this prospectus. </w:t>
      </w:r>
      <w:r>
        <w:rPr>
          <w:rFonts w:ascii="Times New Roman" w:cs="Times New Roman" w:eastAsia="Times New Roman" w:hAnsi="Times New Roman"/>
          <w:sz w:val="14"/>
          <w:szCs w:val="14"/>
          <w:color w:val="000000"/>
        </w:rPr>
        <w:t>If we are unable to adequately address these and other risks we face, our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business, results of operations, financial condition and prospects may be harmed.</w:t>
      </w:r>
    </w:p>
    <w:p>
      <w:pPr>
        <w:spacing w:after="0" w:line="11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42" w:lineRule="exact"/>
        <w:rPr>
          <w:sz w:val="20"/>
          <w:szCs w:val="20"/>
          <w:color w:val="auto"/>
        </w:rPr>
      </w:pPr>
    </w:p>
    <w:p>
      <w:pPr>
        <w:ind w:left="780" w:right="779" w:firstLine="249"/>
        <w:spacing w:after="0" w:line="253" w:lineRule="auto"/>
        <w:rPr>
          <w:sz w:val="20"/>
          <w:szCs w:val="20"/>
          <w:color w:val="auto"/>
        </w:rPr>
      </w:pPr>
      <w:r>
        <w:rPr>
          <w:rFonts w:ascii="Times New Roman" w:cs="Times New Roman" w:eastAsia="Times New Roman" w:hAnsi="Times New Roman"/>
          <w:sz w:val="14"/>
          <w:szCs w:val="14"/>
          <w:color w:val="auto"/>
        </w:rPr>
        <w:t>We were incorporated under the name Cartesian Growth Corporation III on October 29, 2024 as a Cayman Islands exempted company. Upon the Closing, we domesticated as a Delaware corporation and changed our name to Factorial Energy Inc. Our principal executive office is located at 805 Middlesex Turnpike, Billerica, MA 01821, and our telephone number is (617) 315-9733. Our website address is www.factorialenergy.com.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153" w:lineRule="exact"/>
        <w:rPr>
          <w:sz w:val="20"/>
          <w:szCs w:val="20"/>
          <w:color w:val="auto"/>
        </w:rPr>
      </w:pPr>
    </w:p>
    <w:p>
      <w:pPr>
        <w:ind w:left="780" w:right="759" w:firstLine="249"/>
        <w:spacing w:after="0" w:line="250" w:lineRule="auto"/>
        <w:rPr>
          <w:sz w:val="20"/>
          <w:szCs w:val="20"/>
          <w:color w:val="auto"/>
        </w:rPr>
      </w:pPr>
      <w:r>
        <w:rPr>
          <w:rFonts w:ascii="Times New Roman" w:cs="Times New Roman" w:eastAsia="Times New Roman" w:hAnsi="Times New Roman"/>
          <w:sz w:val="14"/>
          <w:szCs w:val="14"/>
          <w:color w:val="auto"/>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 w:cs="Times New Roman" w:eastAsia="Times New Roman" w:hAnsi="Times New Roman"/>
          <w:sz w:val="14"/>
          <w:szCs w:val="14"/>
          <w:i w:val="1"/>
          <w:iCs w:val="1"/>
          <w:color w:val="auto"/>
        </w:rPr>
        <w:t>Management’s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Analysis of Financial Condition and Results of Operations</w:t>
      </w:r>
      <w:r>
        <w:rPr>
          <w:rFonts w:ascii="Times New Roman" w:cs="Times New Roman" w:eastAsia="Times New Roman" w:hAnsi="Times New Roman"/>
          <w:sz w:val="14"/>
          <w:szCs w:val="14"/>
          <w:color w:val="auto"/>
        </w:rPr>
        <w:t>” in our periodic reports and registration statements, including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subject to certain exceptions, (ii) not being required to have our internal control over financial reporting be audited by our independent registered public accounting firm pursuant to Section 404 of the Sarbanes-Oxley Act of 2002, as amended (the “Sarbanes-Oxley Act”), (iii) certain reduced disclosure requirements related to the disclosure of executive compensation in this prospectus and in our periodic reports and proxy statements, (iv) 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w:t>
      </w:r>
    </w:p>
    <w:p>
      <w:pPr>
        <w:spacing w:after="0" w:line="114" w:lineRule="exact"/>
        <w:rPr>
          <w:sz w:val="20"/>
          <w:szCs w:val="20"/>
          <w:color w:val="auto"/>
        </w:rPr>
      </w:pPr>
    </w:p>
    <w:p>
      <w:pPr>
        <w:ind w:left="780" w:right="779" w:firstLine="249"/>
        <w:spacing w:after="0" w:line="255"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2030 (the last day of the fiscal year ending after the fifth anniversary of the effectiveness of CGC’s IPO registration statement).</w:t>
      </w:r>
    </w:p>
    <w:p>
      <w:pPr>
        <w:spacing w:after="0" w:line="111" w:lineRule="exact"/>
        <w:rPr>
          <w:sz w:val="20"/>
          <w:szCs w:val="20"/>
          <w:color w:val="auto"/>
        </w:rPr>
      </w:pPr>
    </w:p>
    <w:p>
      <w:pPr>
        <w:ind w:left="780" w:right="799" w:firstLine="249"/>
        <w:spacing w:after="0" w:line="257" w:lineRule="auto"/>
        <w:rPr>
          <w:sz w:val="20"/>
          <w:szCs w:val="20"/>
          <w:color w:val="auto"/>
        </w:rPr>
      </w:pPr>
      <w:r>
        <w:rPr>
          <w:rFonts w:ascii="Times New Roman" w:cs="Times New Roman" w:eastAsia="Times New Roman" w:hAnsi="Times New Roman"/>
          <w:sz w:val="14"/>
          <w:szCs w:val="14"/>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w:t>
      </w:r>
    </w:p>
    <w:p>
      <w:pPr>
        <w:spacing w:after="0" w:line="121" w:lineRule="exact"/>
        <w:rPr>
          <w:sz w:val="20"/>
          <w:szCs w:val="20"/>
          <w:color w:val="auto"/>
        </w:rPr>
      </w:pPr>
    </w:p>
    <w:p>
      <w:pPr>
        <w:ind w:left="780" w:right="779" w:firstLine="249"/>
        <w:spacing w:after="0" w:line="257" w:lineRule="auto"/>
        <w:rPr>
          <w:sz w:val="20"/>
          <w:szCs w:val="20"/>
          <w:color w:val="auto"/>
        </w:rPr>
      </w:pPr>
      <w:r>
        <w:rPr>
          <w:rFonts w:ascii="Times New Roman" w:cs="Times New Roman" w:eastAsia="Times New Roman" w:hAnsi="Times New Roman"/>
          <w:sz w:val="14"/>
          <w:szCs w:val="14"/>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10" w:lineRule="exact"/>
        <w:rPr>
          <w:sz w:val="20"/>
          <w:szCs w:val="20"/>
          <w:color w:val="auto"/>
        </w:rPr>
      </w:pPr>
    </w:p>
    <w:p>
      <w:pPr>
        <w:ind w:left="780" w:right="879" w:firstLine="249"/>
        <w:spacing w:after="0" w:line="253"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12" w:lineRule="exact"/>
        <w:rPr>
          <w:sz w:val="20"/>
          <w:szCs w:val="20"/>
          <w:color w:val="auto"/>
        </w:rPr>
      </w:pPr>
    </w:p>
    <w:p>
      <w:pPr>
        <w:ind w:left="780" w:right="1139" w:firstLine="249"/>
        <w:spacing w:after="0" w:line="281" w:lineRule="auto"/>
        <w:rPr>
          <w:sz w:val="20"/>
          <w:szCs w:val="20"/>
          <w:color w:val="auto"/>
        </w:rPr>
      </w:pPr>
      <w:r>
        <w:rPr>
          <w:rFonts w:ascii="Times New Roman" w:cs="Times New Roman" w:eastAsia="Times New Roman" w:hAnsi="Times New Roman"/>
          <w:sz w:val="14"/>
          <w:szCs w:val="14"/>
          <w:color w:val="auto"/>
        </w:rPr>
        <w:t>For certain risks related to our status as an emerging growth company, see the section titled “</w:t>
      </w:r>
      <w:r>
        <w:rPr>
          <w:rFonts w:ascii="Times New Roman" w:cs="Times New Roman" w:eastAsia="Times New Roman" w:hAnsi="Times New Roman"/>
          <w:sz w:val="14"/>
          <w:szCs w:val="14"/>
          <w:i w:val="1"/>
          <w:iCs w:val="1"/>
          <w:color w:val="auto"/>
        </w:rPr>
        <w:t>Risk Factors - Risks Related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Operating as a Public Company</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551" w:right="1440"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1" w:lineRule="exact"/>
        <w:rPr>
          <w:sz w:val="20"/>
          <w:szCs w:val="20"/>
          <w:color w:val="auto"/>
        </w:rPr>
      </w:pPr>
    </w:p>
    <w:p>
      <w:pPr>
        <w:jc w:val="both"/>
        <w:ind w:left="760" w:right="799" w:firstLine="24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Capital Stock.”</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Issuance of Series A Common Stock</w:t>
      </w:r>
    </w:p>
    <w:p>
      <w:pPr>
        <w:spacing w:after="0" w:line="184" w:lineRule="exact"/>
        <w:rPr>
          <w:sz w:val="20"/>
          <w:szCs w:val="20"/>
          <w:color w:val="auto"/>
        </w:rPr>
      </w:pPr>
    </w:p>
    <w:p>
      <w:pPr>
        <w:ind w:left="760" w:right="3059"/>
        <w:spacing w:after="0" w:line="278" w:lineRule="auto"/>
        <w:rPr>
          <w:sz w:val="20"/>
          <w:szCs w:val="20"/>
          <w:color w:val="auto"/>
        </w:rPr>
      </w:pPr>
      <w:r>
        <w:rPr>
          <w:rFonts w:ascii="Times New Roman" w:cs="Times New Roman" w:eastAsia="Times New Roman" w:hAnsi="Times New Roman"/>
          <w:sz w:val="14"/>
          <w:szCs w:val="14"/>
          <w:color w:val="auto"/>
        </w:rPr>
        <w:t>Shares of Series A Common Stock issuable upon exercise of the ​​​ Up to 13,800,000 shares Public Warrants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Resale of Common Stock</w:t>
      </w:r>
    </w:p>
    <w:p>
      <w:pPr>
        <w:spacing w:after="0" w:line="173" w:lineRule="exact"/>
        <w:rPr>
          <w:sz w:val="20"/>
          <w:szCs w:val="20"/>
          <w:color w:val="auto"/>
        </w:rPr>
      </w:pPr>
    </w:p>
    <w:p>
      <w:pPr>
        <w:ind w:left="760"/>
        <w:spacing w:after="0"/>
        <w:tabs>
          <w:tab w:leader="none" w:pos="4600" w:val="left"/>
        </w:tabs>
        <w:rPr>
          <w:sz w:val="20"/>
          <w:szCs w:val="20"/>
          <w:color w:val="auto"/>
        </w:rPr>
      </w:pPr>
      <w:r>
        <w:rPr>
          <w:rFonts w:ascii="Times New Roman" w:cs="Times New Roman" w:eastAsia="Times New Roman" w:hAnsi="Times New Roman"/>
          <w:sz w:val="14"/>
          <w:szCs w:val="14"/>
          <w:color w:val="auto"/>
        </w:rPr>
        <w:t>Shares of Common Stock Offered by the Selling Securityholders</w:t>
      </w:r>
      <w:r>
        <w:rPr>
          <w:sz w:val="20"/>
          <w:szCs w:val="20"/>
          <w:color w:val="auto"/>
        </w:rPr>
        <w:tab/>
      </w:r>
      <w:r>
        <w:rPr>
          <w:rFonts w:ascii="Times New Roman" w:cs="Times New Roman" w:eastAsia="Times New Roman" w:hAnsi="Times New Roman"/>
          <w:sz w:val="13"/>
          <w:szCs w:val="13"/>
          <w:color w:val="auto"/>
        </w:rPr>
        <w:t>Up to 86,441,489 shares of Series A Common Stock consisting</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of (a) 32,812,316 shares of Series A Common Stock issued to</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certain holders of Legacy Factorial’s capital stock (excluding</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treasury shares, dissenting shares and shares held by the Legacy</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Factorial Founders), (b) 15,512,744 shares of Series A Common</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Stock issuable upon conversion of 15,512,744 shares of Series B</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Common Stock held by the Legacy Factorial Founders, (c)</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5,810,000 shares of Series A Common Stock issued to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Sponsor and certain initial shareholders of CGC, (d) 7,519,404</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shares of Series A Common Stock in the aggregate issued in</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connection with the PIPE Investments to PIPE Investors and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Sponsor Investor’s NRA Shares, (e) 13,293,953 shares of Series</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A Common Stock issuable upon exercise of the Options held by</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certain Selling Securityholders, (f) 4,630,954 shares of Series A</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Common Stock issuable upon vesting and settlement of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RSUs held by certain Selling Securityholders, (g) 62,118 shares</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of Series A Common Stock issued to CF&amp;CO pursuant to a</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financial advisor engagement letter with respect to services</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provided by CF&amp;CO to the Company in connection with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Business Combination and (h) 6,800,000 shares of Series A</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Common Stock that may be issued upon the exercise of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Private Warrants.</w:t>
      </w:r>
    </w:p>
    <w:p>
      <w:pPr>
        <w:sectPr>
          <w:pgSz w:w="11900" w:h="16838" w:orient="portrait"/>
          <w:cols w:equalWidth="0" w:num="1">
            <w:col w:w="9019"/>
          </w:cols>
          <w:pgMar w:left="1440" w:top="551" w:right="1440" w:bottom="1440" w:gutter="0" w:footer="0" w:header="0"/>
        </w:sectPr>
      </w:pPr>
    </w:p>
    <w:p>
      <w:pPr>
        <w:spacing w:after="0" w:line="156"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4"/>
          <w:szCs w:val="14"/>
          <w:color w:val="auto"/>
        </w:rPr>
        <w:t>Common Stock outstanding prior to the exercise of the Options and Warrants</w:t>
      </w:r>
    </w:p>
    <w:p>
      <w:pPr>
        <w:spacing w:after="0" w:line="126"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4"/>
          <w:szCs w:val="14"/>
          <w:color w:val="auto"/>
        </w:rPr>
        <w:t>Common Stock outstanding after the exercise of the Options and Public Warrants and settlement of RSUs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939"/>
        <w:spacing w:after="0" w:line="318" w:lineRule="auto"/>
        <w:rPr>
          <w:sz w:val="20"/>
          <w:szCs w:val="20"/>
          <w:color w:val="auto"/>
        </w:rPr>
      </w:pPr>
      <w:r>
        <w:rPr>
          <w:rFonts w:ascii="Times New Roman" w:cs="Times New Roman" w:eastAsia="Times New Roman" w:hAnsi="Times New Roman"/>
          <w:sz w:val="13"/>
          <w:szCs w:val="13"/>
          <w:color w:val="auto"/>
        </w:rPr>
        <w:t>32,812,316 shares of Series A Common Stock and 15,512,744 shares of Series B Common Stock as of the Closing.</w:t>
      </w:r>
    </w:p>
    <w:p>
      <w:pPr>
        <w:spacing w:after="0" w:line="103" w:lineRule="exact"/>
        <w:rPr>
          <w:sz w:val="20"/>
          <w:szCs w:val="20"/>
          <w:color w:val="auto"/>
        </w:rPr>
      </w:pPr>
    </w:p>
    <w:p>
      <w:pPr>
        <w:jc w:val="both"/>
        <w:ind w:right="879"/>
        <w:spacing w:after="0" w:line="283" w:lineRule="auto"/>
        <w:rPr>
          <w:sz w:val="20"/>
          <w:szCs w:val="20"/>
          <w:color w:val="auto"/>
        </w:rPr>
      </w:pPr>
      <w:r>
        <w:rPr>
          <w:rFonts w:ascii="Times New Roman" w:cs="Times New Roman" w:eastAsia="Times New Roman" w:hAnsi="Times New Roman"/>
          <w:sz w:val="13"/>
          <w:szCs w:val="13"/>
          <w:color w:val="auto"/>
        </w:rPr>
        <w:t>Up to 50,737,223 shares of Series A Common Stock, assuming the exercise in full of all Options and Public Warrants for cash and the settlement in full of all RSUs, and 15,512,744 shares of Series B Common Stock as of the Closing.</w:t>
      </w:r>
    </w:p>
    <w:p>
      <w:pPr>
        <w:spacing w:after="0" w:line="126" w:lineRule="exact"/>
        <w:rPr>
          <w:sz w:val="20"/>
          <w:szCs w:val="20"/>
          <w:color w:val="auto"/>
        </w:rPr>
      </w:pPr>
    </w:p>
    <w:p>
      <w:pPr>
        <w:sectPr>
          <w:pgSz w:w="11900" w:h="16838" w:orient="portrait"/>
          <w:cols w:equalWidth="0" w:num="2">
            <w:col w:w="4360" w:space="260"/>
            <w:col w:w="4399"/>
          </w:cols>
          <w:pgMar w:left="1440" w:top="551" w:right="1440" w:bottom="1440" w:gutter="0" w:footer="0" w:header="0"/>
          <w:type w:val="continuous"/>
        </w:sectPr>
      </w:pPr>
    </w:p>
    <w:p>
      <w:pPr>
        <w:ind w:left="760"/>
        <w:spacing w:after="0"/>
        <w:tabs>
          <w:tab w:leader="none" w:pos="4600" w:val="left"/>
        </w:tabs>
        <w:rPr>
          <w:sz w:val="20"/>
          <w:szCs w:val="20"/>
          <w:color w:val="auto"/>
        </w:rPr>
      </w:pPr>
      <w:r>
        <w:rPr>
          <w:rFonts w:ascii="Times New Roman" w:cs="Times New Roman" w:eastAsia="Times New Roman" w:hAnsi="Times New Roman"/>
          <w:sz w:val="14"/>
          <w:szCs w:val="14"/>
          <w:color w:val="auto"/>
        </w:rPr>
        <w:t>Use of Proceeds</w:t>
      </w:r>
      <w:r>
        <w:rPr>
          <w:sz w:val="20"/>
          <w:szCs w:val="20"/>
          <w:color w:val="auto"/>
        </w:rPr>
        <w:tab/>
      </w:r>
      <w:r>
        <w:rPr>
          <w:rFonts w:ascii="Times New Roman" w:cs="Times New Roman" w:eastAsia="Times New Roman" w:hAnsi="Times New Roman"/>
          <w:sz w:val="13"/>
          <w:szCs w:val="13"/>
          <w:color w:val="auto"/>
        </w:rPr>
        <w:t>All of the shares of Common Stock offered by the Selling</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Securityholders pursuant to this prospectus will be sold by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Selling Securityholders for their respective accounts. We will not</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receive any of the proceeds from these sales, except to the extent</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the Options and the Warrants are exercised for cash. We may</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receive an aggregate of up to $158,700,000 from the exercise in</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full of the Warrants for cash, and up to approximately</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$13,461,119.90 from the exercise in full of the Options for cash,</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for a combined aggregate of up to approximately</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$172,161,119.90. We expect to use the net proceeds from the</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exercise of the Options and Warrants, if any, for general</w:t>
      </w:r>
    </w:p>
    <w:p>
      <w:pPr>
        <w:spacing w:after="0" w:line="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3"/>
          <w:szCs w:val="13"/>
          <w:color w:val="auto"/>
        </w:rPr>
        <w:t>corporate purposes. See “Use of Proceeds” in this prospectus for</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more information.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551" w:right="1440" w:bottom="1440" w:gutter="0" w:footer="0" w:header="0"/>
          <w:type w:val="continuous"/>
        </w:sectPr>
      </w:pPr>
    </w:p>
    <w:bookmarkStart w:id="15" w:name="page16"/>
    <w:bookmarkEnd w:id="15"/>
    <w:tbl>
      <w:tblPr>
        <w:tblLayout w:type="fixed"/>
        <w:tblInd w:w="760" w:type="dxa"/>
        <w:tblCellMar>
          <w:top w:w="0" w:type="dxa"/>
          <w:left w:w="0" w:type="dxa"/>
          <w:bottom w:w="0" w:type="dxa"/>
          <w:right w:w="0" w:type="dxa"/>
        </w:tblCellMar>
      </w:tblPr>
      <w:tr>
        <w:trPr>
          <w:trHeight w:val="161"/>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4780" w:type="dxa"/>
            <w:vAlign w:val="bottom"/>
          </w:tcPr>
          <w:p>
            <w:pPr>
              <w:spacing w:after="0"/>
              <w:rPr>
                <w:sz w:val="13"/>
                <w:szCs w:val="13"/>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8"/>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for our Securities</w:t>
            </w: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Our Series A Common Stock is listed on Nasdaq under the</w:t>
            </w:r>
          </w:p>
        </w:tc>
      </w:tr>
      <w:tr>
        <w:trPr>
          <w:trHeight w:val="166"/>
        </w:trPr>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symbol “FAC.” The Public Warrants are listed on the Nasdaq</w:t>
            </w:r>
          </w:p>
        </w:tc>
      </w:tr>
      <w:tr>
        <w:trPr>
          <w:trHeight w:val="181"/>
        </w:trPr>
        <w:tc>
          <w:tcPr>
            <w:tcW w:w="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under the symbol “FACWW.”</w:t>
            </w:r>
          </w:p>
        </w:tc>
      </w:tr>
      <w:tr>
        <w:trPr>
          <w:trHeight w:val="31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w w:val="98"/>
              </w:rPr>
              <w:t>See “Risk Factors” and other information included elsewhere in</w:t>
            </w:r>
          </w:p>
        </w:tc>
      </w:tr>
      <w:tr>
        <w:trPr>
          <w:trHeight w:val="166"/>
        </w:trPr>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this prospectus for a discussion of factors you should consider</w:t>
            </w:r>
          </w:p>
        </w:tc>
      </w:tr>
      <w:tr>
        <w:trPr>
          <w:trHeight w:val="181"/>
        </w:trPr>
        <w:tc>
          <w:tcPr>
            <w:tcW w:w="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8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before investing in our securities.</w:t>
            </w: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In this prospectus, unless otherwise indicated, the number of shares of common stock outstanding is as of the Closing and is based on 91,510,501 shares of Series A Common Stock and 15,512,744 shares of Series B Common Stock issued and outstanding as of the Closing Date and excludes:</w:t>
      </w:r>
    </w:p>
    <w:p>
      <w:pPr>
        <w:spacing w:after="0" w:line="138" w:lineRule="exact"/>
        <w:rPr>
          <w:sz w:val="20"/>
          <w:szCs w:val="20"/>
          <w:color w:val="auto"/>
        </w:rPr>
      </w:pPr>
    </w:p>
    <w:p>
      <w:pPr>
        <w:ind w:left="1280" w:right="839" w:hanging="246"/>
        <w:spacing w:after="0" w:line="278" w:lineRule="auto"/>
        <w:tabs>
          <w:tab w:leader="none" w:pos="1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19,639,374 shares of Series A Common Stock reserved for issuance pursuant to outstanding Options under the Factorial Inc. 2019 Stock Incentive Plan, as amended;</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5,116,217 shares of Series A Common Stock reserved for issuance upon the settlement of outstanding RSUs;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20,600,000 shares of Series A Common Stock reserved for issuance upon exercise of the Warrants;</w:t>
      </w:r>
    </w:p>
    <w:p>
      <w:pPr>
        <w:spacing w:after="0" w:line="171" w:lineRule="exact"/>
        <w:rPr>
          <w:rFonts w:ascii="Times New Roman" w:cs="Times New Roman" w:eastAsia="Times New Roman" w:hAnsi="Times New Roman"/>
          <w:sz w:val="14"/>
          <w:szCs w:val="14"/>
          <w:color w:val="auto"/>
        </w:rPr>
      </w:pPr>
    </w:p>
    <w:p>
      <w:pPr>
        <w:ind w:left="1280" w:right="939" w:hanging="246"/>
        <w:spacing w:after="0" w:line="278" w:lineRule="auto"/>
        <w:tabs>
          <w:tab w:leader="none" w:pos="1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21,000,000 shares of Series A Common Stock reserved for issuance under the Factorial Energy Inc. 2026 Equity Incentive Plan, plus any annual increases under the terms thereof; and</w:t>
      </w:r>
    </w:p>
    <w:p>
      <w:pPr>
        <w:spacing w:after="0" w:line="125" w:lineRule="exact"/>
        <w:rPr>
          <w:rFonts w:ascii="Times New Roman" w:cs="Times New Roman" w:eastAsia="Times New Roman" w:hAnsi="Times New Roman"/>
          <w:sz w:val="14"/>
          <w:szCs w:val="14"/>
          <w:color w:val="auto"/>
        </w:rPr>
      </w:pPr>
    </w:p>
    <w:p>
      <w:pPr>
        <w:ind w:left="1280" w:right="1039" w:hanging="246"/>
        <w:spacing w:after="0" w:line="278" w:lineRule="auto"/>
        <w:tabs>
          <w:tab w:leader="none" w:pos="1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1,830,211 shares of Series A Common Stock reserved for issuance under the Factorial Energy Inc. 2026 Employee Stock Purchase Plan, plus any annual increases under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539" w:right="1440"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3"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Certain statements included in this prospectus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These forward-looking statements include, but are not limited to:</w:t>
      </w:r>
    </w:p>
    <w:p>
      <w:pPr>
        <w:spacing w:after="0" w:line="171" w:lineRule="exact"/>
        <w:rPr>
          <w:sz w:val="20"/>
          <w:szCs w:val="20"/>
          <w:color w:val="auto"/>
        </w:rPr>
      </w:pPr>
    </w:p>
    <w:p>
      <w:pPr>
        <w:ind w:left="1340" w:right="1379" w:hanging="254"/>
        <w:spacing w:after="0" w:line="278" w:lineRule="auto"/>
        <w:tabs>
          <w:tab w:leader="none" w:pos="13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statements regarding estimates and forecasts of other financial and performance metrics and projections of market opportunity;</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expectations and timing related to the success, cost and timing of product development activities;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financing and other business milestones;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potential benefits of the Business Combination;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expectations relating to the Business Combination, including Factorial Energy’s expected cash runway.</w:t>
      </w:r>
    </w:p>
    <w:p>
      <w:pPr>
        <w:spacing w:after="0" w:line="171"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These statements are based on various assumptions and on the current expectations of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may differ from such assumptions. Many actual events and circumstances are beyond our control.</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These forward-looking statements are subject to a number of risks and uncertainties, including -</w:t>
      </w:r>
    </w:p>
    <w:p>
      <w:pPr>
        <w:spacing w:after="0" w:line="171" w:lineRule="exact"/>
        <w:rPr>
          <w:sz w:val="20"/>
          <w:szCs w:val="20"/>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changes in domestic and foreign business, market, financial, political, and legal conditions;</w:t>
      </w:r>
    </w:p>
    <w:p>
      <w:pPr>
        <w:spacing w:after="0" w:line="171" w:lineRule="exact"/>
        <w:rPr>
          <w:rFonts w:ascii="Times New Roman" w:cs="Times New Roman" w:eastAsia="Times New Roman" w:hAnsi="Times New Roman"/>
          <w:sz w:val="14"/>
          <w:szCs w:val="14"/>
          <w:color w:val="auto"/>
        </w:rPr>
      </w:pPr>
    </w:p>
    <w:p>
      <w:pPr>
        <w:ind w:left="1280" w:right="999" w:hanging="246"/>
        <w:spacing w:after="0" w:line="262" w:lineRule="auto"/>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w:t>
      </w:r>
    </w:p>
    <w:p>
      <w:pPr>
        <w:spacing w:after="0" w:line="137"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failure to realize the anticipated benefits of the Business Combination;</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ability to maintain the listing of the Series A Common Stock on Nasdaq;</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future financial performance of Factorial Energy following the Business Combination;</w:t>
      </w:r>
    </w:p>
    <w:p>
      <w:pPr>
        <w:spacing w:after="0" w:line="171" w:lineRule="exact"/>
        <w:rPr>
          <w:rFonts w:ascii="Times New Roman" w:cs="Times New Roman" w:eastAsia="Times New Roman" w:hAnsi="Times New Roman"/>
          <w:sz w:val="14"/>
          <w:szCs w:val="14"/>
          <w:color w:val="auto"/>
        </w:rPr>
      </w:pPr>
    </w:p>
    <w:p>
      <w:pPr>
        <w:ind w:left="1280" w:right="819" w:hanging="246"/>
        <w:spacing w:after="0" w:line="278" w:lineRule="auto"/>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international trade disputes, including threatened or implemented tariffs by the U.S. and threatened or implemented tariffs by foreign countries in retaliation;</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effects of competition on Factorial Energy’s future business;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related to Factorial Energy’s business include, but are not limited to:</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limited operating history;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risks associated with Factorial Energy’s efforts to commercialize its products;</w:t>
      </w:r>
    </w:p>
    <w:p>
      <w:pPr>
        <w:spacing w:after="0" w:line="171" w:lineRule="exact"/>
        <w:rPr>
          <w:rFonts w:ascii="Times New Roman" w:cs="Times New Roman" w:eastAsia="Times New Roman" w:hAnsi="Times New Roman"/>
          <w:sz w:val="14"/>
          <w:szCs w:val="14"/>
          <w:color w:val="auto"/>
        </w:rPr>
      </w:pPr>
    </w:p>
    <w:p>
      <w:pPr>
        <w:ind w:left="1280" w:right="839" w:hanging="246"/>
        <w:spacing w:after="0" w:line="278" w:lineRule="auto"/>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ability to maintain its existing agreements with third parties and to negotiate and enter into new definitive agreements on favorable terms, if at all;</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impact of competing products on Factorial Energy’s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551" w:right="1440"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280" w:hanging="246"/>
        <w:spacing w:after="0"/>
        <w:tabs>
          <w:tab w:leader="none" w:pos="1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intellectual property-related claims;</w:t>
      </w:r>
    </w:p>
    <w:p>
      <w:pPr>
        <w:spacing w:after="0" w:line="171" w:lineRule="exact"/>
        <w:rPr>
          <w:rFonts w:ascii="Times New Roman" w:cs="Times New Roman" w:eastAsia="Times New Roman" w:hAnsi="Times New Roman"/>
          <w:sz w:val="14"/>
          <w:szCs w:val="14"/>
          <w:color w:val="auto"/>
        </w:rPr>
      </w:pPr>
    </w:p>
    <w:p>
      <w:pPr>
        <w:ind w:left="1280" w:right="799" w:hanging="246"/>
        <w:spacing w:after="0" w:line="278" w:lineRule="auto"/>
        <w:tabs>
          <w:tab w:leader="none" w:pos="1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dependence upon its key personnel and ability to attract and retain such personnel and additional qualified personnel; and</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Factorial Energy’s ability to source the raw materials for its products.</w:t>
      </w:r>
    </w:p>
    <w:p>
      <w:pPr>
        <w:spacing w:after="0" w:line="171"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If any of these risks materialize or Factorial Energy’s assumptions prove incorrect, actual results could differ materially from the results implied by these forward-looking statements. There may be additional risks that Factorial Energy does not presently know or that Factorial Energy currently believes are immaterial that could also cause actual results to differ from those contained in the forward-looking statements. In addition, forward-looking statements reflect Factorial Energy’s expectations, plans, or forecasts of future events and views as of the date of this prospectus and are qualified in their entirety by reference to the cautionary statements herein. Factorial Energy anticipates that subsequent events and developments will cause Factorial Energy’s assessments to change. These forward-looking statements should not be relied upon as representing Factorial Energy’s assessments as of any date subsequent to the date of this prospectus. Accordingly, undue reliance should not be placed upon the forward-looking statements. Neither Factorial Energy, nor any of its affiliates undertake any obligation to update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551" w:right="1440"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the other information in this prospectus, including our consolidated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Series A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Development and Commercialization of Our Batteries</w:t>
      </w:r>
    </w:p>
    <w:p>
      <w:pPr>
        <w:spacing w:after="0" w:line="171" w:lineRule="exact"/>
        <w:rPr>
          <w:sz w:val="20"/>
          <w:szCs w:val="20"/>
          <w:color w:val="auto"/>
        </w:rPr>
      </w:pPr>
    </w:p>
    <w:p>
      <w:pPr>
        <w:ind w:left="760" w:right="11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development of batteries is complex and the timing of development cannot be assured. Delays in the development of our batteries could adversely affect our business and prospects.</w:t>
      </w:r>
    </w:p>
    <w:p>
      <w:pPr>
        <w:spacing w:after="0" w:line="124"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Developing solid-state batteries that meet the requirements for wide adoption by automotive OEMs is a difficult undertaking and, as far as we are aware, has never been done at massive commercial scale. We continue to develop our technology and face significant challenges in completing the development of our battery cells and in producing battery cells in commercial volumes with acceptable performance, quality, consistency, reliability, throughput, safety, and costs. Some of the development challenges include increasing and maintaining the quality, consistency, reliability and production throughput of our cells, increasing manufacturing scale to produce the volume of cells needed for our technology development and customer applications, installing, bringing up and optimizing higher throughput equipment, packaging design and engineering to ensure adequate cycle life and charging time, cost reduction, and completion of the rigorous and challenging specifications required by our automotive partners, including but not limited to, calendar life, mechanical, safety, and abuse testing.</w:t>
      </w:r>
    </w:p>
    <w:p>
      <w:pPr>
        <w:spacing w:after="0" w:line="147"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Any delay in the development or manufacturing scale-up of our solid-state battery cells would negatively impact our business as it will delay time to revenue and negatively impact our collaboration partner and customer relationships.</w:t>
      </w:r>
    </w:p>
    <w:p>
      <w:pPr>
        <w:spacing w:after="0" w:line="124" w:lineRule="exact"/>
        <w:rPr>
          <w:sz w:val="20"/>
          <w:szCs w:val="20"/>
          <w:color w:val="auto"/>
        </w:rPr>
      </w:pPr>
    </w:p>
    <w:p>
      <w:pPr>
        <w:ind w:left="760" w:right="10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adequately control the costs associated with our operations and the components necessary to develop and commercialize our solid-state battery technology.</w:t>
      </w:r>
    </w:p>
    <w:p>
      <w:pPr>
        <w:spacing w:after="0" w:line="124" w:lineRule="exact"/>
        <w:rPr>
          <w:sz w:val="20"/>
          <w:szCs w:val="20"/>
          <w:color w:val="auto"/>
        </w:rPr>
      </w:pPr>
    </w:p>
    <w:p>
      <w:pPr>
        <w:ind w:left="760" w:right="919" w:firstLine="249"/>
        <w:spacing w:after="0" w:line="253" w:lineRule="auto"/>
        <w:rPr>
          <w:sz w:val="20"/>
          <w:szCs w:val="20"/>
          <w:color w:val="auto"/>
        </w:rPr>
      </w:pPr>
      <w:r>
        <w:rPr>
          <w:rFonts w:ascii="Times New Roman" w:cs="Times New Roman" w:eastAsia="Times New Roman" w:hAnsi="Times New Roman"/>
          <w:sz w:val="14"/>
          <w:szCs w:val="14"/>
          <w:color w:val="auto"/>
        </w:rPr>
        <w:t>We require significant capital to develop our solid-state battery technology. As we develop our technologies and scale our operations, we expect to continue to incur significant expenses, including those relating to research and development, material or component procurement, leases, sales, and distribution. Our ability to become profitable in the future will depend on our ability to successfully develop and market our products as well as our ability to control our costs, including our labor and material costs. If we are unable to efficiently design, appropriately price, and sell and distribute our products, our anticipated margins, profitability, and prospects would be adversely impacted.</w:t>
      </w:r>
    </w:p>
    <w:p>
      <w:pPr>
        <w:spacing w:after="0" w:line="145"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Our business and prospects, including our ability to control costs, could be adversely impacted by changes in macroeconomic conditions, such as changes in administration, inflation, interest rates, slower growth or recession, tariffs, international conflicts, trade disputes, sanctions, and government efforts to stimulate or stabilize the economy. Changes in macroeconomic conditions could happen rapidly, and we may fail to prevent or limit our losses or exposures.</w:t>
      </w:r>
    </w:p>
    <w:p>
      <w:pPr>
        <w:spacing w:after="0" w:line="142"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We expect to incur significant costs related to procuring materials and components required to manufacture and assemble our samples and batteries. We expect to use various materials and components in our batteries that will require us to negotiate purchase agreements and delivery lead-times on advantageous terms. We and our partners may not be able to control fluctuation in the prices for these materials or components or negotiate agreements with suppliers on terms that are beneficial to us or our partners. Our business depends on the continued supply of certain proprietary materials and components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551" w:right="1440"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spacing w:after="0" w:line="250" w:lineRule="auto"/>
        <w:rPr>
          <w:sz w:val="20"/>
          <w:szCs w:val="20"/>
          <w:color w:val="auto"/>
        </w:rPr>
      </w:pPr>
      <w:r>
        <w:rPr>
          <w:rFonts w:ascii="Times New Roman" w:cs="Times New Roman" w:eastAsia="Times New Roman" w:hAnsi="Times New Roman"/>
          <w:sz w:val="14"/>
          <w:szCs w:val="14"/>
          <w:color w:val="auto"/>
        </w:rPr>
        <w:t>payments. Increases in the prices for raw materials or our components would increase our operating costs and negatively impact our prospects. For example, our shipping costs have increased in the past. Costs for certain key raw materials and components have also increased due to fluctuations in global commodity prices. Our and our partners’ manufacturing operations can consume significant amounts of electricity and are dependent on reliable and economical sources of power. Transformations in technologies like artificial intelligence, data center expansion, new domestic manufacturing, and electrification in different sectors could increase the demand for electricity and result in significant increases in the cost of securing power. Our inability to secure sufficient power or any planned power outages by public utilities, unplanned power outages, including, but not limited to, those relating to large storms, earthquakes, fires, tsunamis, cyberattacks, physical attacks on utility infrastructure, war, and any failures of electrical power grids more generally, shortages, supply chain issues, capacity constraints, or significant increases in the cost of securing power could have an adverse effect on our business, operating results, financial condition, and future prospects. Our suppliers’ increasing labor costs have also contributed to rising prices. Given that we have yet to generate any revenue from our business operations, we are also limited in our ability to pass on the cost of any such increases to our customers.</w:t>
      </w:r>
    </w:p>
    <w:p>
      <w:pPr>
        <w:spacing w:after="0" w:line="148"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In addition, the cost of producing battery cells depends in part upon the prices and availability of raw materials such as lithium, nickel, cobalt and/or other metals, which are part of the intermediate materials and components that we procure to produce our batteries. Changes in demand, cost and availability of raw materials could affect the demand, cost and availability of the intermediate materials and components that we procure to produce our batteries. The prices for these raw materials, intermediate materials and components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This rise in demand for lithium could affect the price and availability of the intermediate materials and components that contain lithium and which we procure to produce our batteries.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spacing w:after="0" w:line="144" w:lineRule="exact"/>
        <w:rPr>
          <w:sz w:val="20"/>
          <w:szCs w:val="20"/>
          <w:color w:val="auto"/>
        </w:rPr>
      </w:pPr>
    </w:p>
    <w:p>
      <w:pPr>
        <w:ind w:left="760" w:right="12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accurately estimate the future supply and demand for our batteries, which could result in a variety of inefficiencies in our business and hinder our ability to generate revenue and profits.</w:t>
      </w:r>
    </w:p>
    <w:p>
      <w:pPr>
        <w:spacing w:after="0" w:line="124"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We anticipate being required to provide forecasts of our demand to our current and future suppliers prior to the scheduled delivery of products to potential customers and collaboration partners. Currently, there is limited historical basis for making judgments on the demand for our batteries and our ability to develop, manufacture, and deliver our battery products. In addition, at least initially, we expect to depend on a limited number of customers and collaboration partners for a significant portion of our anticipated demand, which increases the risk that changes in the purchasing behavior of any one customer or collaboration partner could materially impact our operations. Our customers’ and collaboration partners’ final purchase orders may not be consistent with our estimates and may be reduced, delayed or cancelled at any time, including as a result of changes in their business plans, market conditions or internal priorities.</w:t>
      </w:r>
    </w:p>
    <w:p>
      <w:pPr>
        <w:spacing w:after="0" w:line="144"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If we overestimate our requirements, our suppliers may deliver excess inventory, which indirectly would increase our costs and may result in unprofitable sales or write-offs. In addition, if one or more of our customers or collaboration partners reduce the volume of batteries they purchase from us, we may be unable to achieve anticipated production volumes or economies of scale, which could increase our per-unit manufacturing costs and adversely affect our margins. Given that our batteries may be customized to meet our customers’ and collaboration partners’ specifications, they are susceptible to obsolescence due to their limited shelf life. Because we have no history of large-scale production, we may also be unable to forecast accurately the pace of manufacturing or the take-up of our battery products by our customers and collaboration partners.</w:t>
      </w:r>
    </w:p>
    <w:p>
      <w:pPr>
        <w:spacing w:after="0" w:line="146" w:lineRule="exact"/>
        <w:rPr>
          <w:sz w:val="20"/>
          <w:szCs w:val="20"/>
          <w:color w:val="auto"/>
        </w:rPr>
      </w:pPr>
    </w:p>
    <w:p>
      <w:pPr>
        <w:ind w:left="760" w:right="919" w:firstLine="249"/>
        <w:spacing w:after="0" w:line="252" w:lineRule="auto"/>
        <w:rPr>
          <w:sz w:val="20"/>
          <w:szCs w:val="20"/>
          <w:color w:val="auto"/>
        </w:rPr>
      </w:pPr>
      <w:r>
        <w:rPr>
          <w:rFonts w:ascii="Times New Roman" w:cs="Times New Roman" w:eastAsia="Times New Roman" w:hAnsi="Times New Roman"/>
          <w:sz w:val="14"/>
          <w:szCs w:val="14"/>
          <w:color w:val="auto"/>
        </w:rPr>
        <w:t>If we underestimate our requirements, our suppliers may have inadequate inventory, which could interrupt manufacturing of our battery products and result in delays in shipments and revenues. In addition, lead times for materials and components that our suppliers order may vary significantly and depend on factors unique to the specific supplier, contract terms and demand for each component at a given time. If we fail to order sufficient quantities of battery components in a timely manner, the delivery of our batteries to our potential customers and collaboration partners could be delayed, which would harm our business, financial condition and results of operations. Producing additional battery products to make up for any shortages within a short time frame may be difficult, making us unable to fulfill the purchase orders, especially due to the customized nature of our batteries. In either case, our business, financial condition, results of operations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551" w:right="1440"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both"/>
        <w:ind w:left="760" w:right="8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spacing w:after="0" w:line="136" w:lineRule="exact"/>
        <w:rPr>
          <w:sz w:val="20"/>
          <w:szCs w:val="20"/>
          <w:color w:val="auto"/>
        </w:rPr>
      </w:pPr>
    </w:p>
    <w:p>
      <w:pPr>
        <w:jc w:val="both"/>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spacing w:after="0" w:line="142" w:lineRule="exact"/>
        <w:rPr>
          <w:sz w:val="20"/>
          <w:szCs w:val="20"/>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and timing of development activity;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technical or manufacturing challenges or delays;</w:t>
      </w:r>
    </w:p>
    <w:p>
      <w:pPr>
        <w:spacing w:after="0" w:line="171" w:lineRule="exact"/>
        <w:rPr>
          <w:rFonts w:ascii="Times New Roman" w:cs="Times New Roman" w:eastAsia="Times New Roman" w:hAnsi="Times New Roman"/>
          <w:sz w:val="14"/>
          <w:szCs w:val="14"/>
          <w:color w:val="auto"/>
        </w:rPr>
      </w:pPr>
    </w:p>
    <w:p>
      <w:pPr>
        <w:ind w:left="1280" w:right="959" w:hanging="246"/>
        <w:spacing w:after="0" w:line="278" w:lineRule="auto"/>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developments relating to solid-state or other batteries that could adversely affect the commercial potential of our technologies;</w:t>
      </w:r>
    </w:p>
    <w:p>
      <w:pPr>
        <w:spacing w:after="0" w:line="125" w:lineRule="exact"/>
        <w:rPr>
          <w:rFonts w:ascii="Times New Roman" w:cs="Times New Roman" w:eastAsia="Times New Roman" w:hAnsi="Times New Roman"/>
          <w:sz w:val="14"/>
          <w:szCs w:val="14"/>
          <w:color w:val="auto"/>
        </w:rPr>
      </w:pPr>
    </w:p>
    <w:p>
      <w:pPr>
        <w:ind w:left="1280" w:right="879" w:hanging="246"/>
        <w:spacing w:after="0" w:line="278" w:lineRule="auto"/>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can obtain sufficient capital to continue our research and development activities, secure manufacturing capacity and sustain and grow our business;</w:t>
      </w:r>
    </w:p>
    <w:p>
      <w:pPr>
        <w:spacing w:after="0" w:line="125" w:lineRule="exact"/>
        <w:rPr>
          <w:rFonts w:ascii="Times New Roman" w:cs="Times New Roman" w:eastAsia="Times New Roman" w:hAnsi="Times New Roman"/>
          <w:sz w:val="14"/>
          <w:szCs w:val="14"/>
          <w:color w:val="auto"/>
        </w:rPr>
      </w:pPr>
    </w:p>
    <w:p>
      <w:pPr>
        <w:ind w:left="1280" w:right="959" w:hanging="246"/>
        <w:spacing w:after="0" w:line="279" w:lineRule="auto"/>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developments in our collaborations with Mercedes-Benz, Stellantis, Hyundai/Kia, PowerCo SE and Karma Automotive, including termination of any joint development / cooperation agreement with Mercedes-Benz, Stellantis, Hyundai/Kia, or PowerCo SE or of the supply agreement with Karma Automotive, cancellation of such agreements or the reduction or cancellation of orders thereunder, delays in achieving the milestones set forth in such agreements or failing to meet the milestones prerequisite to our entering into future agreements with new or existing collaboration partners;</w:t>
      </w:r>
    </w:p>
    <w:p>
      <w:pPr>
        <w:spacing w:after="0" w:line="128" w:lineRule="exact"/>
        <w:rPr>
          <w:rFonts w:ascii="Times New Roman" w:cs="Times New Roman" w:eastAsia="Times New Roman" w:hAnsi="Times New Roman"/>
          <w:sz w:val="13"/>
          <w:szCs w:val="13"/>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 with other development partners and customers, current and future;</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can manage relationships with key suppliers;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existing key management, integrate recent hires and attract, retain and motivate qualified personnel;</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foreign trade policies, including tax and tariff policies;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strength and stability of domestic and international economies.</w:t>
      </w:r>
    </w:p>
    <w:p>
      <w:pPr>
        <w:spacing w:after="0" w:line="171"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Unfavorable changes in any of these or other factors, most of which are beyond our control, could materially and adversely affect our ability to achieve our objectives when planned and our business, financial condition, results of operations and prospects.</w:t>
      </w:r>
    </w:p>
    <w:p>
      <w:pPr>
        <w:spacing w:after="0" w:line="124" w:lineRule="exact"/>
        <w:rPr>
          <w:sz w:val="20"/>
          <w:szCs w:val="20"/>
          <w:color w:val="auto"/>
        </w:rPr>
      </w:pPr>
    </w:p>
    <w:p>
      <w:pPr>
        <w:ind w:left="760" w:right="12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our existing customers with whom we have collaboration agreements do not make purchases from us, we will not receive revenue from such customers, and our results of operations would be adversely impacted.</w:t>
      </w:r>
    </w:p>
    <w:p>
      <w:pPr>
        <w:spacing w:after="0" w:line="124"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Increasing the size and number of the deployments of our existing customers and collaboration partners is an important part of our growth strategy. Negotiating and obtaining customer orders from the parties with whom we currently have collaboration agreements for the development of our batteries will be important to our ability to begin generating revenue. We may not be effective in executing this or any other aspect of our growth strategy. It is not possible for us to predict the future level of demand from our customers or collaboration partners for our battery products, and there can be no assurance that our existing customers and collaboration partners will continue to purchase from us.</w:t>
      </w:r>
    </w:p>
    <w:p>
      <w:pPr>
        <w:spacing w:after="0" w:line="145"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Achieving renewal or expansion of deployments may require us to increasingly engage in sophisticated and costly sales efforts that may not result in additional sales. In addition, our existing customers’ and collaboration partners’ decisions to expand the use of our battery products depends on a number of factors, including general economic conditions, the functioning of our batteries, and our existing customers’ and collaboration partners’ satisfaction with our battery products. If our efforts to expand within our customer base are not successful, our business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551" w:right="1440"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9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integrate our products into high spec or automotive applications on commercially reasonable terms or at all, our results of operations could be impaired.</w:t>
      </w:r>
    </w:p>
    <w:p>
      <w:pPr>
        <w:spacing w:after="0" w:line="124"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Our battery cells typically are integrated into modules or packs, which in turn are integrated into battery- powered products. OEMs often require unique configurations or custom designs for batteries for their products. Once we enter into contracts with OEMs to produce batteries for their products, we expect to tailor the design of our batteries specifically to the requirements of the OEM product, module, or pack. This development process requires not only substantial lead time between the commencement of design efforts for customized batteries and the commencement of volume shipments of the battery cells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and prospects may be damaged.</w:t>
      </w:r>
    </w:p>
    <w:p>
      <w:pPr>
        <w:spacing w:after="0" w:line="142" w:lineRule="exact"/>
        <w:rPr>
          <w:sz w:val="20"/>
          <w:szCs w:val="20"/>
          <w:color w:val="auto"/>
        </w:rPr>
      </w:pPr>
    </w:p>
    <w:p>
      <w:pPr>
        <w:ind w:left="760" w:right="10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future growth and success depend in part on our ability to grow our customer base and effectively sell to a wide variety of customers. Failure to grow our customer base would adversely affect our business and prospects.</w:t>
      </w:r>
    </w:p>
    <w:p>
      <w:pPr>
        <w:spacing w:after="0" w:line="124"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Our future success will depend on our ability to grow our customer base beyond the partners with whom we are currently collaborating on the development of our batteries and effectively sell to a wide variety of customers. Given our currently limited customer base, any one customer may reduce, delay or fail to honor its forecasted or committed purchase volumes, and in such circumstances we may have limited contractual or practical leverage to enforce such commitments, as pursuing legal remedies, including claims for breach of contract, may be impractical, costly or commercially undesirable. Additionally, potential customers include manufacturers of products that tend to be large enterprises or governmental agencies. Sales to these end-users involve risks that may not be present (or that are present to a lesser extent) with sales to smaller customers. These risks include, but are not limited to, (i) increased purchasing power and leverage held by large customers in negotiating contractual arrangements with us and (ii) longer sales cycles and the associated risk that substantial time and resources may be spent on a potential end-user that elects not to purchase our solutions.</w:t>
      </w:r>
    </w:p>
    <w:p>
      <w:pPr>
        <w:spacing w:after="0" w:line="145"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Large organizations, including most major auto manufacturers, as well as certain potential end-users such as government agencies, often undertake a significant evaluation process that results in a lengthy sales cycle.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spacing w:after="0" w:line="146"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If we were unable to obtain or increase orders from our existing customers and collaboration partners or generate new customers or collaboration partners in a cost-effective manner, our business, financial condition and results of operations would likely be adversely affected. We cannot provide assurance that we will be able to maintain or grow our customer base in a cost-effective way. If we are unable to develop high quality products at scale, or introduce new products, we may fail to attract new customers and collaboration partners or lose our existing customers and collaboration partners, which could adversely affect our growth and profitability.</w:t>
      </w:r>
    </w:p>
    <w:p>
      <w:pPr>
        <w:spacing w:after="0" w:line="143" w:lineRule="exact"/>
        <w:rPr>
          <w:sz w:val="20"/>
          <w:szCs w:val="20"/>
          <w:color w:val="auto"/>
        </w:rPr>
      </w:pPr>
    </w:p>
    <w:p>
      <w:pPr>
        <w:jc w:val="both"/>
        <w:ind w:left="760" w:right="9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We currently manufacture batteries outside of the United States. If purchasers choose to avoid procuring batteries manufactured outside of the United States, we may be required to establish additional manufacturing facilities within the United States, which could decrease our revenue and/or earnings and our prospects may be adversely affected</w:t>
      </w:r>
    </w:p>
    <w:p>
      <w:pPr>
        <w:spacing w:after="0" w:line="136" w:lineRule="exact"/>
        <w:rPr>
          <w:sz w:val="20"/>
          <w:szCs w:val="20"/>
          <w:color w:val="auto"/>
        </w:rPr>
      </w:pPr>
    </w:p>
    <w:p>
      <w:pPr>
        <w:ind w:left="760" w:right="779" w:firstLine="249"/>
        <w:spacing w:after="0" w:line="275" w:lineRule="auto"/>
        <w:rPr>
          <w:sz w:val="20"/>
          <w:szCs w:val="20"/>
          <w:color w:val="auto"/>
        </w:rPr>
      </w:pPr>
      <w:r>
        <w:rPr>
          <w:rFonts w:ascii="Times New Roman" w:cs="Times New Roman" w:eastAsia="Times New Roman" w:hAnsi="Times New Roman"/>
          <w:sz w:val="13"/>
          <w:szCs w:val="13"/>
          <w:color w:val="auto"/>
        </w:rPr>
        <w:t>We currently fabricate our battery cells in Billerica, Massachusetts and South Korea, where our Korean manufacturing site represents a majority of our batteries’ production capacity. If customers choose to avoid sourcing batteries manufactured outside the United States, whether due to regulatory requirements, incentive eligibility, supply chain considerations, or customer preferences, we may be required to establish manufacturing facilities within the United States. Establishing substantial U.S. manufacturing capabilities would require additional capital and time to design, construct, equip, and qualify such facilities. During this period, our revenues could decline, our cost structure could increase, and our ability to meet customer demand or execute our business strategy could be adversely affected. As a result, our business, financial condition, results of operations, and prospects may be materially and adversely affected.</w:t>
      </w:r>
    </w:p>
    <w:p>
      <w:pPr>
        <w:spacing w:after="0" w:line="129" w:lineRule="exact"/>
        <w:rPr>
          <w:sz w:val="20"/>
          <w:szCs w:val="20"/>
          <w:color w:val="auto"/>
        </w:rPr>
      </w:pPr>
    </w:p>
    <w:p>
      <w:pPr>
        <w:ind w:left="760" w:right="13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the cost, performance characteristics or other specifications of the battery fall short of our targets or our customers’ or collaboration partners’ requirements, our ability to market and sell our batteries could be harmed.</w:t>
      </w:r>
    </w:p>
    <w:p>
      <w:pPr>
        <w:spacing w:after="0" w:line="124" w:lineRule="exact"/>
        <w:rPr>
          <w:sz w:val="20"/>
          <w:szCs w:val="20"/>
          <w:color w:val="auto"/>
        </w:rPr>
      </w:pPr>
    </w:p>
    <w:p>
      <w:pPr>
        <w:ind w:left="760" w:right="1459" w:firstLine="249"/>
        <w:spacing w:after="0" w:line="278" w:lineRule="auto"/>
        <w:rPr>
          <w:sz w:val="20"/>
          <w:szCs w:val="20"/>
          <w:color w:val="auto"/>
        </w:rPr>
      </w:pPr>
      <w:r>
        <w:rPr>
          <w:rFonts w:ascii="Times New Roman" w:cs="Times New Roman" w:eastAsia="Times New Roman" w:hAnsi="Times New Roman"/>
          <w:sz w:val="14"/>
          <w:szCs w:val="14"/>
          <w:color w:val="auto"/>
        </w:rPr>
        <w:t>If the cost, performance characteristics or other specifications of the battery fall short of our targets or our customer or collaboration partner requirements, our sales, product pricing and margins would likely be adversely affected.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551" w:right="1440"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Our battery cells must simultaneously satisfy all the commercial and safety requirements of our customers and collaboration partners. Although certain of our cells tested passed automotive performance and safety test levels,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spacing w:after="0" w:line="145"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Once commercial production of our solid-state battery cells commences, our batteries may contain defects in design and manufacture that may cause them to not perform as expected or that may require repairs, recalls, and design changes. Our batteries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detect and fix any defects in our solid-state batteries prior to the sale to potential consumers. If our batteries fail to perform as expected, we could lose design wins and customers or collaboration partners may delay deliveries, terminate further orders or initiate product recalls, each of which could adversely affect our sales and brand and could adversely affect our business, prospects and results of operations.</w:t>
      </w:r>
    </w:p>
    <w:p>
      <w:pPr>
        <w:spacing w:after="0" w:line="142" w:lineRule="exact"/>
        <w:rPr>
          <w:sz w:val="20"/>
          <w:szCs w:val="20"/>
          <w:color w:val="auto"/>
        </w:rPr>
      </w:pPr>
    </w:p>
    <w:p>
      <w:pPr>
        <w:jc w:val="both"/>
        <w:ind w:left="760" w:right="799"/>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not be able to establish new, or maintain existing, supply relationships for necessary materials, components or equipment or may be required to pay costs for raw materials, components or equipment that are more expensive than anticipated, which could delay the introduction of our products and negatively impact our business and ability to generate revenue and profits.</w:t>
      </w:r>
    </w:p>
    <w:p>
      <w:pPr>
        <w:spacing w:after="0" w:line="117"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Currently, we are in product development and our product design has yet to be finalized, so our volume demand is limited, and we do not have long-term supply arrangements. As volume demand grows, we expect to negotiate long-term supply contracts. For our current product development needs, we source from third-party suppliers for materials, components and equipment necessary to develop and manufacture our proprietary materials (including but not limited to electrolyte) and battery cells. For more information, see “</w:t>
      </w:r>
      <w:r>
        <w:rPr>
          <w:rFonts w:ascii="Times New Roman" w:cs="Times New Roman" w:eastAsia="Times New Roman" w:hAnsi="Times New Roman"/>
          <w:sz w:val="14"/>
          <w:szCs w:val="14"/>
          <w:i w:val="1"/>
          <w:iCs w:val="1"/>
          <w:color w:val="auto"/>
        </w:rPr>
        <w:t>Information About Factorial Energy - Manufacturing and Supply.</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To the extent that, when our volume demand so requires, if we are unable to enter into long-term agreements with our current or future suppliers on beneficial terms, or such suppliers experience difficulties ramping up their supply to meet our long-term requirements at reasonable cost, we may need to seek alternative sources for necessary materials, components or equipment necessary to develop and manufacture our battery cells, produce the materials or additional components in-house, or redesign our proposed products to accommodate available substitutes. To the extent that our suppliers experience any delays in providing or developing their products, we could also experience delays in delivering on our timelines.</w:t>
      </w:r>
    </w:p>
    <w:p>
      <w:pPr>
        <w:spacing w:after="0" w:line="145" w:lineRule="exact"/>
        <w:rPr>
          <w:sz w:val="20"/>
          <w:szCs w:val="20"/>
          <w:color w:val="auto"/>
        </w:rPr>
      </w:pPr>
    </w:p>
    <w:p>
      <w:pPr>
        <w:ind w:left="760" w:right="1039" w:firstLine="249"/>
        <w:spacing w:after="0" w:line="257" w:lineRule="auto"/>
        <w:rPr>
          <w:sz w:val="20"/>
          <w:szCs w:val="20"/>
          <w:color w:val="auto"/>
        </w:rPr>
      </w:pPr>
      <w:r>
        <w:rPr>
          <w:rFonts w:ascii="Times New Roman" w:cs="Times New Roman" w:eastAsia="Times New Roman" w:hAnsi="Times New Roman"/>
          <w:sz w:val="14"/>
          <w:szCs w:val="14"/>
          <w:color w:val="auto"/>
        </w:rPr>
        <w:t>Moreover, the price of materials (including raw materials), components and equipment could fluctuate significantly due to circumstances beyond our control. Substantial increases in prices would increase our operating costs and negatively impact our prospects. Any disruption in supply could also temporarily disrupt future research and development activities or production of our batteries until an alternative supplier is able to meet our requirements.</w:t>
      </w:r>
    </w:p>
    <w:p>
      <w:pPr>
        <w:spacing w:after="0" w:line="142"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Changes in business conditions, unforeseen circumstances and governmental changes, as well as other factors beyond our control or which we do not presently anticipate, could affect our suppliers’ ability to deliver materials, components or equipment to us on a timely basis. For instance, we may be impacted by currency fluctuations, trade barriers, tariffs or shortages and other general economic or political conditions (such as the ongoing military conflict between Russia and Ukraine, conflicts in the Middle East, and wider regional conflicts), which may limit our ability to obtain key materials or components for our batteries or significantly increase freight charges and other costs and expenses associated with our business. For more information, including the impact of current tariffs on us, see “</w:t>
      </w:r>
      <w:r>
        <w:rPr>
          <w:rFonts w:ascii="Times New Roman" w:cs="Times New Roman" w:eastAsia="Times New Roman" w:hAnsi="Times New Roman"/>
          <w:sz w:val="14"/>
          <w:szCs w:val="14"/>
          <w:i w:val="1"/>
          <w:iCs w:val="1"/>
          <w:color w:val="auto"/>
        </w:rPr>
        <w:t>-General Risks - Changes in U.S. and foreign government policy, including the imposition of or increases in tariffs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changes to existing trade agreements, could have a material adverse effect on global economic conditions and our business, financial condition, results of operations and prospects.</w:t>
      </w:r>
      <w:r>
        <w:rPr>
          <w:rFonts w:ascii="Times New Roman" w:cs="Times New Roman" w:eastAsia="Times New Roman" w:hAnsi="Times New Roman"/>
          <w:sz w:val="14"/>
          <w:szCs w:val="14"/>
          <w:color w:val="auto"/>
        </w:rPr>
        <w:t>” Any of the foregoing could materially and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condition, results of operations and prospects.</w:t>
      </w:r>
    </w:p>
    <w:p>
      <w:pPr>
        <w:spacing w:after="0" w:line="143" w:lineRule="exact"/>
        <w:rPr>
          <w:sz w:val="20"/>
          <w:szCs w:val="20"/>
          <w:color w:val="auto"/>
        </w:rPr>
      </w:pPr>
    </w:p>
    <w:p>
      <w:pPr>
        <w:ind w:left="760" w:right="9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ability to manufacture our batteries at scale depends on our ability to design, engineer, build, operate and staff our facilities successfully or to obtain third party manufacturing capacity and expertise. We may need to sell our products at a loss before reaching economies of scale.</w:t>
      </w:r>
    </w:p>
    <w:p>
      <w:pPr>
        <w:spacing w:after="0" w:line="136" w:lineRule="exact"/>
        <w:rPr>
          <w:sz w:val="20"/>
          <w:szCs w:val="20"/>
          <w:color w:val="auto"/>
        </w:rPr>
      </w:pPr>
    </w:p>
    <w:p>
      <w:pPr>
        <w:ind w:left="760" w:right="1059" w:firstLine="249"/>
        <w:spacing w:after="0" w:line="262" w:lineRule="auto"/>
        <w:rPr>
          <w:sz w:val="20"/>
          <w:szCs w:val="20"/>
          <w:color w:val="auto"/>
        </w:rPr>
      </w:pPr>
      <w:r>
        <w:rPr>
          <w:rFonts w:ascii="Times New Roman" w:cs="Times New Roman" w:eastAsia="Times New Roman" w:hAnsi="Times New Roman"/>
          <w:sz w:val="14"/>
          <w:szCs w:val="14"/>
          <w:color w:val="auto"/>
        </w:rPr>
        <w:t>Because we expect to rely heavily on complex machinery, well-trained personnel and a well-managed supply chain for our operations, our internal and outsourced production will involve a significant degree of uncertainty and risk in terms of operational capacity performance and costs.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551" w:right="1440"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79" w:lineRule="auto"/>
        <w:rPr>
          <w:sz w:val="20"/>
          <w:szCs w:val="20"/>
          <w:color w:val="auto"/>
        </w:rPr>
      </w:pPr>
      <w:r>
        <w:rPr>
          <w:rFonts w:ascii="Times New Roman" w:cs="Times New Roman" w:eastAsia="Times New Roman" w:hAnsi="Times New Roman"/>
          <w:sz w:val="13"/>
          <w:szCs w:val="13"/>
          <w:color w:val="auto"/>
        </w:rPr>
        <w:t>Our manufacturing facilities consist of large-scale machinery combining many components. Such machinery will require us to make intensive capital expenditures prior to our ability to earn any product revenue. The manufacturing facility machinery may suffer unexpected malfunctions from time to time and will depend on repairs and spare parts to resume operations, which may not be available when needed. Additionally, unexpected malfunctions of the manufacturing facility machinery may significantly affect the intended operational efficiency, thus materially and adversely affecting our business, financial condition and results of operations.</w:t>
      </w:r>
    </w:p>
    <w:p>
      <w:pPr>
        <w:spacing w:after="0" w:line="128"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The production of our facilities also requires us to hire and train highly skilled personnel to operate such facilities, including engineers, workers, and indirect laborers. Recruiting and training such skilled staff takes significant cost and time, and an inability to do so timely or at all inhibits the successful operation of these facilities, thus negatively affecting our business. In addition, the manufacturing of our batteries at facilities requires us to obtain various production licenses and permits, receive the necessary internal approvals from our customers and collaboration partners regarding specifications and enter into agreements for the supply of materials, components and manufacturing tools and supplies. If we do not complete such steps in a timely manner, our manufacturing timeline or output could be significantly delayed or inhibited.</w:t>
      </w:r>
    </w:p>
    <w:p>
      <w:pPr>
        <w:spacing w:after="0" w:line="146"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We expect to satisfy early demand for our products by expanding our existing operations in the United States and South Korea, to support initial commercial production. We intend to scale primarily through a partner manufacturing model to support gigawatt-scale ramp-up in the automotive market, as well as select surge or opportunistic demand for high-spec applications. Our partner manufacturing approach consists of a combination of outsourced manufacturing through contract manufacturers and joint manufacturing arrangements with industrialization partners with existing cell manufacturing capacity. Industrialization partners may encounter problems during manufacturing for a variety of reasons, any of which could delay or impede their ability to meet demand for our products.</w:t>
      </w:r>
    </w:p>
    <w:p>
      <w:pPr>
        <w:spacing w:after="0" w:line="146" w:lineRule="exact"/>
        <w:rPr>
          <w:sz w:val="20"/>
          <w:szCs w:val="20"/>
          <w:color w:val="auto"/>
        </w:rPr>
      </w:pPr>
    </w:p>
    <w:p>
      <w:pPr>
        <w:ind w:left="760" w:right="799" w:firstLine="249"/>
        <w:spacing w:after="0" w:line="270" w:lineRule="auto"/>
        <w:rPr>
          <w:sz w:val="20"/>
          <w:szCs w:val="20"/>
          <w:color w:val="auto"/>
        </w:rPr>
      </w:pPr>
      <w:r>
        <w:rPr>
          <w:rFonts w:ascii="Times New Roman" w:cs="Times New Roman" w:eastAsia="Times New Roman" w:hAnsi="Times New Roman"/>
          <w:sz w:val="13"/>
          <w:szCs w:val="13"/>
          <w:color w:val="auto"/>
        </w:rPr>
        <w:t>To the extent we rely on contract manufacturers or industrialization partners, we will have reduced visibility into, and control over, manufacturing processes, quality systems, workforce management, regulatory compliance and capacity allocation. Our ability to scale production is expected to depend in significant part on the availability, performance, and reliability of third-party manufacturers, including partners with whom we may only have non-binding arrangements or are still negotiating definitive agreements. Any failure by such manufacturers to meet our specifications, quality standards, production schedules, cost targets or regulatory requirements could result in production delays, increased costs, product defects, recalls, reputational harm or potential liability. Third-party manufacturers may also experience financial distress, capacity constraints, labor disruptions, supply shortages or other operational failures. Although our technology is designed to be compatible with existing lithium-ion manufacturing infrastructure, retrofitting or modifying third-party production lines may involve technical challenges, validation and requalification efforts, and regulatory or customer approvals, which could take longer or cost more than anticipated. Our agreements with such manufacturers may contain limitations of liability, caps on damages or termination rights that limit our remedies. If a manufacturing relationship is disrupted or terminated, transitioning production to an alternative manufacturer could require significant time and expense, including the transfer of tooling, validation and requalification of manufacturing lines, and regulatory or customer approvals. In addition, outsourcing manufacturing may require us to share proprietary technology, trade secrets and know-how with third parties, increasing the risk of intellectual property misappropriation, unauthorized use or disclosure, or development of competing products. Any disruption in third-party manufacturing could materially and adversely affect our business, financial condition, results of operations and prospects.</w:t>
      </w:r>
    </w:p>
    <w:p>
      <w:pPr>
        <w:spacing w:after="0" w:line="135" w:lineRule="exact"/>
        <w:rPr>
          <w:sz w:val="20"/>
          <w:szCs w:val="20"/>
          <w:color w:val="auto"/>
        </w:rPr>
      </w:pPr>
    </w:p>
    <w:p>
      <w:pPr>
        <w:ind w:left="760" w:right="879" w:firstLine="249"/>
        <w:spacing w:after="0" w:line="250" w:lineRule="auto"/>
        <w:rPr>
          <w:sz w:val="20"/>
          <w:szCs w:val="20"/>
          <w:color w:val="auto"/>
        </w:rPr>
      </w:pPr>
      <w:r>
        <w:rPr>
          <w:rFonts w:ascii="Times New Roman" w:cs="Times New Roman" w:eastAsia="Times New Roman" w:hAnsi="Times New Roman"/>
          <w:sz w:val="14"/>
          <w:szCs w:val="14"/>
          <w:color w:val="auto"/>
        </w:rPr>
        <w:t>Finally, the production of our batteries at scale and competitive cost will require us to achieve rates of throughput, use of electricity and consumables, yield, and rate of automation demonstrated for mature batteries and battery material. As we have not produced our batteries at a gigafactory scale, our ability to achieve such rates is untested and subject to significant constraints and uncertainties. Operational performance and costs can be difficult to predict and are often influenced by factors outside of our control, such as, but not limited to, environmental hazards and remediation, costs associated with commissioning of machines, damages or defects in electronic systems, industrial accidents, fire and seismic activity and natural disasters, and problems with equipment vendors. Should operational risks materialize, they may result in lower yield, which would negatively affect our revenue growth and profitability as projected. Additionally, they could cause personal injury to or death of workers, the loss of manufacturing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financial condition, results of operations and prospects.</w:t>
      </w:r>
    </w:p>
    <w:p>
      <w:pPr>
        <w:spacing w:after="0" w:line="148" w:lineRule="exact"/>
        <w:rPr>
          <w:sz w:val="20"/>
          <w:szCs w:val="20"/>
          <w:color w:val="auto"/>
        </w:rPr>
      </w:pPr>
    </w:p>
    <w:p>
      <w:pPr>
        <w:jc w:val="both"/>
        <w:ind w:left="760" w:right="779"/>
        <w:spacing w:after="0" w:line="321" w:lineRule="auto"/>
        <w:rPr>
          <w:sz w:val="20"/>
          <w:szCs w:val="20"/>
          <w:color w:val="auto"/>
        </w:rPr>
      </w:pPr>
      <w:r>
        <w:rPr>
          <w:rFonts w:ascii="Times New Roman" w:cs="Times New Roman" w:eastAsia="Times New Roman" w:hAnsi="Times New Roman"/>
          <w:sz w:val="13"/>
          <w:szCs w:val="13"/>
          <w:b w:val="1"/>
          <w:bCs w:val="1"/>
          <w:i w:val="1"/>
          <w:iCs w:val="1"/>
          <w:color w:val="auto"/>
        </w:rPr>
        <w:t>We expect to expand and/or retrofit our existing manufacturing facilities and may, in the future, enter or lease new manufacturing facilities, all of which will require significant capital investment and may not be completed on a timely basis or operate as expected.</w:t>
      </w:r>
    </w:p>
    <w:p>
      <w:pPr>
        <w:spacing w:after="0" w:line="101" w:lineRule="exact"/>
        <w:rPr>
          <w:sz w:val="20"/>
          <w:szCs w:val="20"/>
          <w:color w:val="auto"/>
        </w:rPr>
      </w:pPr>
    </w:p>
    <w:p>
      <w:pPr>
        <w:ind w:left="760" w:right="899" w:firstLine="249"/>
        <w:spacing w:after="0" w:line="283" w:lineRule="auto"/>
        <w:rPr>
          <w:sz w:val="20"/>
          <w:szCs w:val="20"/>
          <w:color w:val="auto"/>
        </w:rPr>
      </w:pPr>
      <w:r>
        <w:rPr>
          <w:rFonts w:ascii="Times New Roman" w:cs="Times New Roman" w:eastAsia="Times New Roman" w:hAnsi="Times New Roman"/>
          <w:sz w:val="13"/>
          <w:szCs w:val="13"/>
          <w:color w:val="auto"/>
        </w:rPr>
        <w:t>We expect to expand, retrofit or upgrade our existing manufacturing facilities and, in the future, may need to lease or otherwise enter into new manufacturing facilities to support the development, scale-up and commercialization of our battery technology. These activities will require significant capital expenditures, management attention and operational resources, and may involve complex construction, installation, commissioning and qualification processes. We may encounter delays, cost overruns, supply chain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551" w:right="1440"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199"/>
        <w:spacing w:after="0" w:line="278" w:lineRule="auto"/>
        <w:rPr>
          <w:sz w:val="20"/>
          <w:szCs w:val="20"/>
          <w:color w:val="auto"/>
        </w:rPr>
      </w:pPr>
      <w:r>
        <w:rPr>
          <w:rFonts w:ascii="Times New Roman" w:cs="Times New Roman" w:eastAsia="Times New Roman" w:hAnsi="Times New Roman"/>
          <w:sz w:val="14"/>
          <w:szCs w:val="14"/>
          <w:color w:val="auto"/>
        </w:rPr>
        <w:t>constraints, permitting issues, labor shortages, equipment delivery delays or other unforeseen challenges in connection with the expansion or retrofit of existing facilities or the leasing of new facilities.</w:t>
      </w:r>
    </w:p>
    <w:p>
      <w:pPr>
        <w:spacing w:after="0" w:line="126"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The successful operation of expanded, retrofitted or newly established manufacturing facilities depends on our ability to design, install, integrate and operate new or modified equipment, processes and infrastructure at scale. Any failure to effectively integrate new facilities or manufacturing lines with our existing operations, or to achieve expected levels of throughput, yield, quality, safety or cost efficiency, could result in production disruptions, increased operating costs, delays in product development or commercialization, or reduced margins. In addition, new or retrofitted facilities may not operate as expected initially, and we may need to incur additional costs or make further modifications to achieve targeted performance.</w:t>
      </w:r>
    </w:p>
    <w:p>
      <w:pPr>
        <w:spacing w:after="0" w:line="145" w:lineRule="exact"/>
        <w:rPr>
          <w:sz w:val="20"/>
          <w:szCs w:val="20"/>
          <w:color w:val="auto"/>
        </w:rPr>
      </w:pPr>
    </w:p>
    <w:p>
      <w:pPr>
        <w:ind w:left="760" w:right="899" w:firstLine="249"/>
        <w:spacing w:after="0" w:line="253" w:lineRule="auto"/>
        <w:rPr>
          <w:sz w:val="20"/>
          <w:szCs w:val="20"/>
          <w:color w:val="auto"/>
        </w:rPr>
      </w:pPr>
      <w:r>
        <w:rPr>
          <w:rFonts w:ascii="Times New Roman" w:cs="Times New Roman" w:eastAsia="Times New Roman" w:hAnsi="Times New Roman"/>
          <w:sz w:val="14"/>
          <w:szCs w:val="14"/>
          <w:color w:val="auto"/>
        </w:rPr>
        <w:t>Our decisions regarding whether, when and where to expand or enter new manufacturing facilities are subject to numerous uncertainties, including customer demand, the availability and timing of financing, regulatory and permitting requirements, geopolitical and macroeconomic conditions, and the availability of qualified personnel. If we are unable to successfully expand, retrofit or bring new manufacturing facilities online in a timely and cost-effective manner, or if we commit resources to facilities that ultimately prove to be unnecessary or uneconomic, our business, financial condition, results of operations and prospects could be materially adversely affected.</w:t>
      </w:r>
    </w:p>
    <w:p>
      <w:pPr>
        <w:spacing w:after="0" w:line="143" w:lineRule="exact"/>
        <w:rPr>
          <w:sz w:val="20"/>
          <w:szCs w:val="20"/>
          <w:color w:val="auto"/>
        </w:rPr>
      </w:pPr>
    </w:p>
    <w:p>
      <w:pPr>
        <w:ind w:left="760" w:right="11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the UAVs or EVs in which our batteries are installed do not meet certain standards, our business, results of operations and prospects could be adversely affected.</w:t>
      </w:r>
    </w:p>
    <w:p>
      <w:pPr>
        <w:spacing w:after="0" w:line="124"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Our products are expected to be used as components in UAVs and EVs. All vehicles sold must comply with applicable international, federal, and state UAV and motor vehicle safety standards, which vary by national and other jurisdictions. In the United States, vehicles that meet or exceed all federally mandated safety standards are certified under the federal regulations. Rigorous testing and the use of approved materials and equipment are among the requirements for achieving federal certification. Failure by our eventual UAV and EV manufacturing customers to satisfy motor vehicle standards could have a material adverse effect on our business and results of operations.</w:t>
      </w:r>
    </w:p>
    <w:p>
      <w:pPr>
        <w:spacing w:after="0" w:line="145" w:lineRule="exact"/>
        <w:rPr>
          <w:sz w:val="20"/>
          <w:szCs w:val="20"/>
          <w:color w:val="auto"/>
        </w:rPr>
      </w:pPr>
    </w:p>
    <w:p>
      <w:pPr>
        <w:ind w:left="760" w:right="799" w:firstLine="249"/>
        <w:spacing w:after="0" w:line="318" w:lineRule="auto"/>
        <w:rPr>
          <w:sz w:val="20"/>
          <w:szCs w:val="20"/>
          <w:color w:val="auto"/>
        </w:rPr>
      </w:pPr>
      <w:r>
        <w:rPr>
          <w:rFonts w:ascii="Times New Roman" w:cs="Times New Roman" w:eastAsia="Times New Roman" w:hAnsi="Times New Roman"/>
          <w:sz w:val="13"/>
          <w:szCs w:val="13"/>
          <w:color w:val="auto"/>
        </w:rPr>
        <w:t>Moreover, we may incur our own significant costs in complying with these regulations. Laws and regulations related to the UAV and EV industry and alternative energy are currently evolving and we face risks associated with changes to these laws and regulations.</w:t>
      </w:r>
    </w:p>
    <w:p>
      <w:pPr>
        <w:spacing w:after="0" w:line="10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To the extent laws and regulations become more stringent or otherwise change, our products or the UAVs or vehicles into which they are incorporated may not comply with applicable international, federal, state or local laws, which would have an adverse effect on our business. Compliance with changing laws and regulations could be burdensome, time consuming and expensive. To the extent compliance with new laws and regulations is cost prohibitive, our business, financial condition, results of operations and prospects would be adversely affected.</w:t>
      </w:r>
    </w:p>
    <w:p>
      <w:pPr>
        <w:spacing w:after="0" w:line="142"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Internationally, there may be laws and regulations in jurisdictions we have not yet entered or laws of which we are unaware in jurisdictions we have entered that may restrict our sales or other business practices. Even for those jurisdictions we have analyzed, the laws and regulations in this area can be complex, difficult to interpret and may change over time. Continued regulatory limitations and other obstacles interfering with our or our eventual customers’ or collaboration partners’ ability to sell products could have a negative and material impact on our business, financial condition, results of operations and prospects.</w:t>
      </w:r>
    </w:p>
    <w:p>
      <w:pPr>
        <w:spacing w:after="0" w:line="140" w:lineRule="exact"/>
        <w:rPr>
          <w:sz w:val="20"/>
          <w:szCs w:val="20"/>
          <w:color w:val="auto"/>
        </w:rPr>
      </w:pPr>
    </w:p>
    <w:p>
      <w:pPr>
        <w:ind w:left="760" w:right="9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UAV and EV battery markets continue to evolve and are highly competitive, and certain other battery manufacturers have significantly greater resources, experience and scale than we do and have technologies that may be superior to ours. As a result, we may not be able to produce our products at cost-competitive prices.</w:t>
      </w:r>
    </w:p>
    <w:p>
      <w:pPr>
        <w:spacing w:after="0" w:line="136"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The UAV and EV battery markets are fast-growing, extremely competitive and driven by the innovation of both large incumbents and emerging entrants like Factorial Energy. For more information, see “</w:t>
      </w:r>
      <w:r>
        <w:rPr>
          <w:rFonts w:ascii="Times New Roman" w:cs="Times New Roman" w:eastAsia="Times New Roman" w:hAnsi="Times New Roman"/>
          <w:sz w:val="14"/>
          <w:szCs w:val="14"/>
          <w:i w:val="1"/>
          <w:iCs w:val="1"/>
          <w:color w:val="auto"/>
        </w:rPr>
        <w:t>Information about Factorial Energy - Competitive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Landscape</w:t>
      </w:r>
      <w:r>
        <w:rPr>
          <w:rFonts w:ascii="Times New Roman" w:cs="Times New Roman" w:eastAsia="Times New Roman" w:hAnsi="Times New Roman"/>
          <w:sz w:val="14"/>
          <w:szCs w:val="14"/>
          <w:color w:val="auto"/>
        </w:rPr>
        <w:t>.” Li-ion battery technology has been widely adopted and our current competitors have, and future competitors may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greater resources than we do and may also be able to devote greater resources to the development of their current and future technologies. These competitors also may have greater access to customers and may be able to establish cooperative or strategic relationships amongst themselves or with third parties that may further enhance their resources and competitive positioning. In addition, battery manufacturers may continue to reduce cost and expand supply of conventional batteries and therefore reduce the prospects for our business or negatively impact our ability to sell our products at a market-competitive price and yet with sufficient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551" w:right="1440"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 number of development-stage companies are also seeking to develop new technologies for batteries. Potential new entrants are seeking to develop new technologies for cathodes, anodes, electrolytes and additives. Some of these companies have established relationships with OEMs and are in varying stages of development. Additionally, many OEMs are researching and investing in conventional batteries and/or next- generation battery efforts and, in some cases, in battery development and production. Furthermore, other companies are developing alternative technologies such as advanced diesel, ethanol, fuel cells or compressed natural gas, as well as potential improvements in the fuel economy of the internal combustion engine. We expect competition in battery technology and e-mobility markets intensify due to increased demand for these vehicles and a regulatory push for UAVs and EVs, continuing globalization, and consolidation in the worldwide aviation and automotive industry. Developments in alternative technologies or improvements in battery technology made by competitors may materially adversely affect the sales, pricing and gross margins of our batteries. If a competing technology is developed that has superior operational or price performance, our business will be harmed. Similarly, if we fail to accurately predict and ensure that our battery technology can address customers’ and collaboration partners’ changing needs or emerging technological trends, or if our customers or collaboration partners fail to achieve the benefits expected from our batteries, our business will be harmed.</w:t>
      </w:r>
    </w:p>
    <w:p>
      <w:pPr>
        <w:spacing w:after="0" w:line="145" w:lineRule="exact"/>
        <w:rPr>
          <w:sz w:val="20"/>
          <w:szCs w:val="20"/>
          <w:color w:val="auto"/>
        </w:rPr>
      </w:pPr>
    </w:p>
    <w:p>
      <w:pPr>
        <w:ind w:left="760" w:right="9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Developments in alternative battery technology or other power and energy alternatives may adversely affect the demand for our battery products.</w:t>
      </w:r>
    </w:p>
    <w:p>
      <w:pPr>
        <w:spacing w:after="0" w:line="124"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Significant developments in alternative technologies, such as fuel cell technology, advanced diesel, ethanol or natural gas, or breathing batteries, may materially and adversely affect our business, financial condition, results of operations and prospects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spacing w:after="0" w:line="145" w:lineRule="exact"/>
        <w:rPr>
          <w:sz w:val="20"/>
          <w:szCs w:val="20"/>
          <w:color w:val="auto"/>
        </w:rPr>
      </w:pPr>
    </w:p>
    <w:p>
      <w:pPr>
        <w:ind w:left="760" w:right="879" w:firstLine="249"/>
        <w:spacing w:after="0" w:line="279" w:lineRule="auto"/>
        <w:rPr>
          <w:sz w:val="20"/>
          <w:szCs w:val="20"/>
          <w:color w:val="auto"/>
        </w:rPr>
      </w:pPr>
      <w:r>
        <w:rPr>
          <w:rFonts w:ascii="Times New Roman" w:cs="Times New Roman" w:eastAsia="Times New Roman" w:hAnsi="Times New Roman"/>
          <w:sz w:val="13"/>
          <w:szCs w:val="13"/>
          <w:color w:val="auto"/>
        </w:rPr>
        <w:t>Our research and development efforts may not be sufficient to adapt to changes in alternative fuel and EV technology. As technologies evolve, we plan to upgrade or adapt our energy solutions with the latest technology, in particular lighter weight modules and packs, advanced cooling methods, more sophisticated safety management software, more efficient manufacturing process, and advanced battery chemistry, which may also negatively impact the adoption of our other products. However, we may not compete effectively with alternative systems if we are not able to develop, source and integrate the latest technology into our battery products.</w:t>
      </w:r>
    </w:p>
    <w:p>
      <w:pPr>
        <w:spacing w:after="0" w:line="126" w:lineRule="exact"/>
        <w:rPr>
          <w:sz w:val="20"/>
          <w:szCs w:val="20"/>
          <w:color w:val="auto"/>
        </w:rPr>
      </w:pPr>
    </w:p>
    <w:p>
      <w:pPr>
        <w:ind w:left="760" w:right="10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on, and will continue to rely on, complex equipment for our operations. This equipment, and manufacturing generally, creates a significant degree of risk and uncertainty in terms of operational performance and costs.</w:t>
      </w:r>
    </w:p>
    <w:p>
      <w:pPr>
        <w:spacing w:after="0" w:line="124" w:lineRule="exact"/>
        <w:rPr>
          <w:sz w:val="20"/>
          <w:szCs w:val="20"/>
          <w:color w:val="auto"/>
        </w:rPr>
      </w:pPr>
    </w:p>
    <w:p>
      <w:pPr>
        <w:ind w:left="760" w:right="879" w:firstLine="249"/>
        <w:spacing w:after="0" w:line="250" w:lineRule="auto"/>
        <w:rPr>
          <w:sz w:val="20"/>
          <w:szCs w:val="20"/>
          <w:color w:val="auto"/>
        </w:rPr>
      </w:pPr>
      <w:r>
        <w:rPr>
          <w:rFonts w:ascii="Times New Roman" w:cs="Times New Roman" w:eastAsia="Times New Roman" w:hAnsi="Times New Roman"/>
          <w:sz w:val="14"/>
          <w:szCs w:val="14"/>
          <w:color w:val="auto"/>
        </w:rPr>
        <w:t>We rely heavily on, and will continue to rely heavily on, complex equipment for our operations and the production of our batteries, which involves a significant degree of uncertainty and risk in terms of operational performance and costs. Our manufacturing equipment consists of many components, which may suffer unexpected malfunctions from time to time and may depend on repairs and spare parts to resume operations, which may not be available when needed. Problems with our manufacturing processes could result in the loss of manufacturing equipment, damage to manufacturing facilities, monetary losses, delays, unanticipated fluctuations in production and personal injury to or death of workers. Should our precautions be inadequate or an event be larger than expected, we could have significant equipment or facility damage that would impact our ability to deliver our battery products and require additional resources to recover. In addition, in some cases, operational problems may result in environmental damage, administrative fines, increased insurance costs and potential legal liabilities. Any of these operational problems, or a combination of them could have a material adverse effect on our cash flows, business, financial condition, results of operations or prospects.</w:t>
      </w:r>
    </w:p>
    <w:p>
      <w:pPr>
        <w:spacing w:after="0" w:line="150"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Furthermore, manufacturing technology may evolve rapidly, and we may decide to update our manufacturing processes more quickly than expected. Moreover, as we scale the commercial production of our batteries, our experience may cause us to discontinue the use of already modified or installed equipment in favor of different or additional equipment. The useful life of any equipment that would be retired early as a result would be shortened, causing the depreciation on such equipment to accelerate, as well as requiring us to make substantial capital expenditures for the improvement or replacement of such equipment, and our results of operations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551" w:right="1440"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8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pursued and may continue to pursue development agreements and other strategic alliances, which could have an adverse impact on our business if they are unsuccessful or entered into on terms that are disadvantageous to us.</w:t>
      </w:r>
    </w:p>
    <w:p>
      <w:pPr>
        <w:spacing w:after="0" w:line="124" w:lineRule="exact"/>
        <w:rPr>
          <w:sz w:val="20"/>
          <w:szCs w:val="20"/>
          <w:color w:val="auto"/>
        </w:rPr>
      </w:pPr>
    </w:p>
    <w:p>
      <w:pPr>
        <w:ind w:left="760" w:right="819" w:firstLine="249"/>
        <w:spacing w:after="0" w:line="272" w:lineRule="auto"/>
        <w:rPr>
          <w:sz w:val="20"/>
          <w:szCs w:val="20"/>
          <w:color w:val="auto"/>
        </w:rPr>
      </w:pPr>
      <w:r>
        <w:rPr>
          <w:rFonts w:ascii="Times New Roman" w:cs="Times New Roman" w:eastAsia="Times New Roman" w:hAnsi="Times New Roman"/>
          <w:sz w:val="13"/>
          <w:szCs w:val="13"/>
          <w:color w:val="auto"/>
        </w:rPr>
        <w:t>We have entered into development agreements with certain of our customers and collaboration partners, and may in the future enter into similar arrangements and development agreements with our customers and collaboration partners, including with Mercedes-Benz, Stellantis, Hyundai/Kia, PowerCo SE and Karma Automotive. While offering potential benefits, these strategic alliances with OEMs, cell makers and others could subject us to a number of risks, including risks associated with sharing proprietary information, non-performance by our partners and costs of establishing and maintaining new strategic alliances, any of which may materially and adversely affect our business. We may have limited ability to monitor or control the actions of our partners and, to the extent any of them suffers negative publicity or harm to their reputation from events relating to their business, we may also suffer negative publicity or harm to our reputation by virtue of our association with them. For example, if we rely on our partners’ manufacturing facilities, those operations would be outside of our control. We could experience delays if our partners do not meet agreed-upon timelines or experience capacity constraints, and in turn, we could lose customers and collaboration partners and face reputational harm.</w:t>
      </w:r>
    </w:p>
    <w:p>
      <w:pPr>
        <w:spacing w:after="0" w:line="132" w:lineRule="exact"/>
        <w:rPr>
          <w:sz w:val="20"/>
          <w:szCs w:val="20"/>
          <w:color w:val="auto"/>
        </w:rPr>
      </w:pPr>
    </w:p>
    <w:p>
      <w:pPr>
        <w:ind w:left="760" w:right="11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Certain components of our batteries pose safety risks that may cause injury or death. We may be subject to financial and reputational risks due to product recalls and product liability claims, and we could face substantial liabilities that exceed our resources.</w:t>
      </w:r>
    </w:p>
    <w:p>
      <w:pPr>
        <w:spacing w:after="0" w:line="136"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Due to their energy density, our batteries can pose certain safety risks, including the risk of fire in the event of manufacturing defects, improper use, or improper testing. Accidents causing death, personal injury or property damage, can occur, and no high energy density battery will ever be 100% safe. For example, under certain conditions our batteries can go into thermal runaway, which can result in fire. Although we incorporate safety procedures in the research, development, manufacture and transportation of our batteries that are designed to minimize safety risks, the manufacture or use of our battery products may still cause accidents. Any accident, whether occurring at our manufacturing facilities or from the use of our battery products, may result in significant production interruption, delays or claims for substantial damages caused by personal injuries or property damage.</w:t>
      </w:r>
    </w:p>
    <w:p>
      <w:pPr>
        <w:spacing w:after="0" w:line="146"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In addition, due to the harsh environments in which batteries are used, including extremely low temperature and pressure, and combat for military applications, our batteries go through rigorous testing to ensure safe behavior under abuse-case conditions. Although such tests have been successful to date, we cannot assure you such tests will be successful in the future. If we have to make design changes to address any safety issues, we may have to delay or suspend our planned production, which could materially damage our brand, business, financial condition, results of operations and prospects.</w:t>
      </w:r>
    </w:p>
    <w:p>
      <w:pPr>
        <w:spacing w:after="0" w:line="142" w:lineRule="exact"/>
        <w:rPr>
          <w:sz w:val="20"/>
          <w:szCs w:val="20"/>
          <w:color w:val="auto"/>
        </w:rPr>
      </w:pPr>
    </w:p>
    <w:p>
      <w:pPr>
        <w:ind w:left="760" w:right="1119" w:firstLine="249"/>
        <w:spacing w:after="0" w:line="278" w:lineRule="auto"/>
        <w:rPr>
          <w:sz w:val="20"/>
          <w:szCs w:val="20"/>
          <w:color w:val="auto"/>
        </w:rPr>
      </w:pPr>
      <w:r>
        <w:rPr>
          <w:rFonts w:ascii="Times New Roman" w:cs="Times New Roman" w:eastAsia="Times New Roman" w:hAnsi="Times New Roman"/>
          <w:sz w:val="14"/>
          <w:szCs w:val="14"/>
          <w:color w:val="auto"/>
        </w:rPr>
        <w:t>Product liability claims, even those without merit or those that do not involve our battery products, could harm our business, financial condition, results of operations and prospects.</w:t>
      </w:r>
    </w:p>
    <w:p>
      <w:pPr>
        <w:spacing w:after="0" w:line="126" w:lineRule="exact"/>
        <w:rPr>
          <w:sz w:val="20"/>
          <w:szCs w:val="20"/>
          <w:color w:val="auto"/>
        </w:rPr>
      </w:pPr>
    </w:p>
    <w:p>
      <w:pPr>
        <w:ind w:left="760" w:right="1079" w:firstLine="249"/>
        <w:spacing w:after="0" w:line="257" w:lineRule="auto"/>
        <w:rPr>
          <w:sz w:val="20"/>
          <w:szCs w:val="20"/>
          <w:color w:val="auto"/>
        </w:rPr>
      </w:pPr>
      <w:r>
        <w:rPr>
          <w:rFonts w:ascii="Times New Roman" w:cs="Times New Roman" w:eastAsia="Times New Roman" w:hAnsi="Times New Roman"/>
          <w:sz w:val="14"/>
          <w:szCs w:val="14"/>
          <w:color w:val="auto"/>
        </w:rPr>
        <w:t>A successful product liability claim against us, resulting from safety issues or otherwise, could require us to pay a substantial monetary award. We may not be able to cover any substantial monetary judgment against us. Moreover, a product liability claim against us or our competitors could generate substantial negative publicity about our battery products and could have a material adverse effect on our brand, business, financial condition, results of operations and prospects.</w:t>
      </w:r>
    </w:p>
    <w:p>
      <w:pPr>
        <w:spacing w:after="0" w:line="140" w:lineRule="exact"/>
        <w:rPr>
          <w:sz w:val="20"/>
          <w:szCs w:val="20"/>
          <w:color w:val="auto"/>
        </w:rPr>
      </w:pPr>
    </w:p>
    <w:p>
      <w:pPr>
        <w:ind w:left="760" w:right="9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unavailability, reduction, or elimination of government and economic incentives could have a material adverse effect on our business, financial condition, results of operations, and prospects.</w:t>
      </w:r>
    </w:p>
    <w:p>
      <w:pPr>
        <w:spacing w:after="0" w:line="124"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We have applied, and may continue to apply, for governmental and economic incentives available to the EV battery developers. Government incentives and subsidies are granted in connection with a government’s efforts to promote the development of the local economy and other policies. We intend to apply for further grants in the future in the jurisdictions in which we operate. Some local government incentives and subsidies may be challenged by higher-level government authorities. Therefore, government incentives and subsidies may be modified, terminated or subject to clawback at the sole discretion of the relevant governmental authorities. Additionally, because laws, regulations and policies with respect to incentives and subsidies may change, we cannot be sure that government incentives and subsidies will continue to be available. In the event that we cease to receive any government incentives or subsidies, any current or future incentive or subsidy is reduced, or any of our current or future incentives or subsidies are challenged,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551" w:right="1440"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Additionally, we believe that, currently, the availability of government incentives and subsidies available to end-users and OEMs is an important factor considered by customers when purchasing EVs, and that growth in the battery market will depend in part on the availability and amounts of these subsidies and incentives for EVs. Currently, government programs, including in China and Europe, favor the purchase of EVs, including through disincentives that discourage the use of gasoline-powered vehicles. At the federal level in the United States, while the Inflation Reduction Act of 2022 (the “IRA”) provided tax credits for the purchase of electric vehicles and electric vehicle charging infrastructure, the One Big Beautiful Bill Act (the “OBBBA”), enacted in July 2025, has now terminated these credits, which were phased out on September 30, 2025 with respect to electric vehicles purchased after such date and will be phased out on June 30, 2026 with respect to electric vehicle charging infrastructure placed in service after such date. These changes may reduce demand for EVs, adversely affecting our anticipated sales of EV battery products. In addition, OEM partners or customers may delay taking delivery of our battery products if they believe that certain EV incentives will be available at a later date, which may adversely affect our business, financial condition, results of operations and prospects. Any further reduction or elimination of government and economic incentives or subsidies may result in the diminished competitiveness of the alternative fuel vehicle industry generally or EVs that use our batteries in particular.</w:t>
      </w:r>
    </w:p>
    <w:p>
      <w:pPr>
        <w:spacing w:after="0" w:line="145" w:lineRule="exact"/>
        <w:rPr>
          <w:sz w:val="20"/>
          <w:szCs w:val="20"/>
          <w:color w:val="auto"/>
        </w:rPr>
      </w:pPr>
    </w:p>
    <w:p>
      <w:pPr>
        <w:ind w:left="760" w:right="77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operations expose us to litigation, environmental, and other legal and compliance risks. Compliance with laws and regulations is expensive, and our failure to comply with these laws and regulations may result in monetary damages and fines, adverse publicity and a material adverse effect on our business.</w:t>
      </w:r>
    </w:p>
    <w:p>
      <w:pPr>
        <w:spacing w:after="0" w:line="136"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health and safety liabilities, environmental matters and compliance with U.S. and foreign laws, competition laws and laws governing improper business practices.</w:t>
      </w:r>
    </w:p>
    <w:p>
      <w:pPr>
        <w:spacing w:after="0" w:line="142" w:lineRule="exact"/>
        <w:rPr>
          <w:sz w:val="20"/>
          <w:szCs w:val="20"/>
          <w:color w:val="auto"/>
        </w:rPr>
      </w:pPr>
    </w:p>
    <w:p>
      <w:pPr>
        <w:ind w:left="760" w:right="799" w:firstLine="249"/>
        <w:spacing w:after="0" w:line="275" w:lineRule="auto"/>
        <w:rPr>
          <w:sz w:val="20"/>
          <w:szCs w:val="20"/>
          <w:color w:val="auto"/>
        </w:rPr>
      </w:pPr>
      <w:r>
        <w:rPr>
          <w:rFonts w:ascii="Times New Roman" w:cs="Times New Roman" w:eastAsia="Times New Roman" w:hAnsi="Times New Roman"/>
          <w:sz w:val="13"/>
          <w:szCs w:val="13"/>
          <w:color w:val="auto"/>
        </w:rPr>
        <w:t>Our operations in the United States and South Korea may be subject to environmental laws and regulations, including laws and regulations relating to water, discharges, emissions, chemicals, hazardous materials, natural resources, remediation and contamination. Compliance with these laws can be difficult and costly. For example, battery life cycle management regulations and regulations governing the transport of batteries may impose substantial requirements on our operations in the United States. Our operations may be required to obtain and comply with environmental permits, many of which may be difficult and expensive to obtain and must be renewed on a periodic basis. A failure to comply with these laws, regulations or permits could result in substantial liabilities, including fines, penalties, the suspension or loss of permits, and possibly orders to cease the non-compliant operations.</w:t>
      </w:r>
    </w:p>
    <w:p>
      <w:pPr>
        <w:spacing w:after="0" w:line="131"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As a business with international reach, we are subject to complex laws and regulations in jurisdictions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w:t>
      </w:r>
    </w:p>
    <w:p>
      <w:pPr>
        <w:spacing w:after="0" w:line="142"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Under South Korean and U.S. environmental regulations, we are required to maintain the pollutant emission levels at the facility within the levels prescribed by the relevant governmental authorities and obtain a pollution discharge permit for water and air emissions. In addition, certain laws and regulations require enterprises like us that generate hazardous waste to engage companies which are licensed and qualified to process the hazardous waste, and to collect, store, dispose of and transfer the hazardous waste.</w:t>
      </w:r>
    </w:p>
    <w:p>
      <w:pPr>
        <w:spacing w:after="0" w:line="145" w:lineRule="exact"/>
        <w:rPr>
          <w:sz w:val="20"/>
          <w:szCs w:val="20"/>
          <w:color w:val="auto"/>
        </w:rPr>
      </w:pPr>
    </w:p>
    <w:p>
      <w:pPr>
        <w:ind w:left="760" w:right="879" w:firstLine="249"/>
        <w:spacing w:after="0" w:line="253" w:lineRule="auto"/>
        <w:rPr>
          <w:sz w:val="20"/>
          <w:szCs w:val="20"/>
          <w:color w:val="auto"/>
        </w:rPr>
      </w:pPr>
      <w:r>
        <w:rPr>
          <w:rFonts w:ascii="Times New Roman" w:cs="Times New Roman" w:eastAsia="Times New Roman" w:hAnsi="Times New Roman"/>
          <w:sz w:val="14"/>
          <w:szCs w:val="14"/>
          <w:color w:val="auto"/>
        </w:rPr>
        <w:t>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 or our noncompliance with environmental regulations, such third parties may seek damages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551" w:right="1440"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There can be no assurance that we will be able to comply with all environmental laws and regulations at all times as the environmental legal regime is evolving and becoming more stringent, especially in South Korea and the United States. Therefore, if these or other governments where we do business impose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results of operations and prospects.</w:t>
      </w:r>
    </w:p>
    <w:p>
      <w:pPr>
        <w:spacing w:after="0" w:line="145" w:lineRule="exact"/>
        <w:rPr>
          <w:sz w:val="20"/>
          <w:szCs w:val="20"/>
          <w:color w:val="auto"/>
        </w:rPr>
      </w:pPr>
    </w:p>
    <w:p>
      <w:pPr>
        <w:ind w:left="760" w:right="1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environmental and safety risks and requirements relating to environmental and safety regulations and environmental remediation matters which could adversely affect our business and results of operations.</w:t>
      </w:r>
    </w:p>
    <w:p>
      <w:pPr>
        <w:spacing w:after="0" w:line="124"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Battery technology development and manufacturing involve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or collaboration partners. The occurrence of future events such as these could have a material adverse effect on our business, financial condition and results of operations.</w:t>
      </w:r>
    </w:p>
    <w:p>
      <w:pPr>
        <w:spacing w:after="0" w:line="147"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We utilize new manufacturing equipment, techniques and processes, including specialized automated manufacturing equipment within our separator, cathode, and cell assembly process areas. These equipment and processes pose hazards typical to manufacturing such as, but not limited to, hazardous materials, moving parts, and high voltage and/or high current electrical systems typical of large manufacturing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w:t>
      </w:r>
    </w:p>
    <w:p>
      <w:pPr>
        <w:spacing w:after="0" w:line="144"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w:t>
      </w:r>
    </w:p>
    <w:p>
      <w:pPr>
        <w:spacing w:after="0" w:line="144" w:lineRule="exact"/>
        <w:rPr>
          <w:sz w:val="20"/>
          <w:szCs w:val="20"/>
          <w:color w:val="auto"/>
        </w:rPr>
      </w:pPr>
    </w:p>
    <w:p>
      <w:pPr>
        <w:ind w:left="760" w:right="8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substantially on the continuing efforts of our senior executives and other key personnel as well as the ability to attract, train, and retain highly skilled employees and key personnel.</w:t>
      </w:r>
    </w:p>
    <w:p>
      <w:pPr>
        <w:spacing w:after="0" w:line="124"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Our success depends on our ability to attract and retain our executive officers, key employees and other qualified personnel, and our operations may be severely disrupted if we lost their services. As we build our brand and become better known, there is increased risk that competitors or other companies will seek to hire our personnel. Most of our executives and engineering staff are subject to non-competition and non- solicitation restrictions, but we may face challenges in enforcing these non-competition and non-solicitation restrictions, particularly in jurisdictions that disfavor or outlaw such restrictions. The failure to attract, integrate, train, motivate and retain these personnel could seriously harm our business and prospects, especially if our non-competition and/or non-solicitation restrictions are found to be invalid and/or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551" w:right="1440"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firstLine="249"/>
        <w:spacing w:after="0" w:line="274" w:lineRule="auto"/>
        <w:rPr>
          <w:sz w:val="20"/>
          <w:szCs w:val="20"/>
          <w:color w:val="auto"/>
        </w:rPr>
      </w:pPr>
      <w:r>
        <w:rPr>
          <w:rFonts w:ascii="Times New Roman" w:cs="Times New Roman" w:eastAsia="Times New Roman" w:hAnsi="Times New Roman"/>
          <w:sz w:val="13"/>
          <w:szCs w:val="13"/>
          <w:color w:val="auto"/>
        </w:rPr>
        <w:t>To execute our business plan, we must attract and retain highly qualified personnel in research and development, artificial intelligence and machine learning, sales and marketing, production and other leadership roles. Competition for these employees is intense, and we may not be successful in attracting and retaining qualified personnel. We have from time to time in the past experienced, and we expect to continue to experience, difficulty in hiring and retaining highly skilled employees with appropriate qualifications in relevant industries. Many of the companies with which we compete for experienced personnel have greater resources than we have. In addition, in making employment decisions, particularly in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w:t>
      </w:r>
    </w:p>
    <w:p>
      <w:pPr>
        <w:spacing w:after="0" w:line="131"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 significant talent pool consists of nationals from countries that may require a license from the United States Bureau of Industry and Security to work with our technology, which raises the cost of hiring due to the uncertainty that a license may not be granted and the candidate would be unemployable in the role envisioned. Our ability to recruit and retain highly skilled personnel internationally depends in part on our ability to obtain and maintain appropriate visas and work authorizations for such employees. Changes in U.S. immigration policy, including increased scrutiny, delays, reductions in the number of visas granted, or limitations on the extension or renewal of existing visas, could make it more difficult or more expensive for us to hire and/or continue to employ certain personnel. In addition, uncertainty regarding the availability or timing of visa approvals or extensions may discourage qualified candidates from accepting employment with us or result in the loss of existing employees whose work authorization cannot be timely obtained or renewed. Any reduction in the availability of new visas or extensions of existing visas, and/or any increase in processing times or denial rates, could limit our access to global talent, disrupt our operations and adversely affect our ability to execute our business strategy. If we fail to attract new personnel, and/or fail to retain and motivate our current personnel, our business and growth prospects could be harmed.</w:t>
      </w:r>
    </w:p>
    <w:p>
      <w:pPr>
        <w:spacing w:after="0" w:line="148" w:lineRule="exact"/>
        <w:rPr>
          <w:sz w:val="20"/>
          <w:szCs w:val="20"/>
          <w:color w:val="auto"/>
        </w:rPr>
      </w:pPr>
    </w:p>
    <w:p>
      <w:pPr>
        <w:ind w:left="760" w:right="939" w:firstLine="249"/>
        <w:spacing w:after="0" w:line="255" w:lineRule="auto"/>
        <w:rPr>
          <w:sz w:val="20"/>
          <w:szCs w:val="20"/>
          <w:color w:val="auto"/>
        </w:rPr>
      </w:pPr>
      <w:r>
        <w:rPr>
          <w:rFonts w:ascii="Times New Roman" w:cs="Times New Roman" w:eastAsia="Times New Roman" w:hAnsi="Times New Roman"/>
          <w:sz w:val="14"/>
          <w:szCs w:val="14"/>
          <w:color w:val="auto"/>
        </w:rPr>
        <w:t>In addition, we are highly dependent on the services of Dr. Siyu Huang, our Co-Founder and Chief Executive Officer; Dr. Alex Yu, our co-Founder and Chief Technology Officer; Jason Duva, our General Counsel; Richard Wei, our Chief Financial Officer; and other senior technical and management personnel, including our executive officers, who may take significant amounts of time to replace. If Drs. Huang, Yu, or other key personnel were to depart, we may not be able to successfully attract and retain the senior leadership necessary to grow our business.</w:t>
      </w:r>
    </w:p>
    <w:p>
      <w:pPr>
        <w:spacing w:after="0" w:line="142"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If we do not maintain and continue to develop our corporate culture as we grow and evolve, it could also harm our ability to foster innovation, creativity and teamwork we believe we need to support our growth. Additions of executive-level management, significant numbers of new employees, our workforce reduction and higher employee turnover could significantly and adversely impact our culture.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Limited Operating History</w:t>
      </w:r>
    </w:p>
    <w:p>
      <w:pPr>
        <w:spacing w:after="0" w:line="171" w:lineRule="exact"/>
        <w:rPr>
          <w:sz w:val="20"/>
          <w:szCs w:val="20"/>
          <w:color w:val="auto"/>
        </w:rPr>
      </w:pPr>
    </w:p>
    <w:p>
      <w:pPr>
        <w:ind w:left="760" w:right="9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an early-stage company with a history of financial losses and expect to incur significant expenses and continuing losses from operations.</w:t>
      </w:r>
    </w:p>
    <w:p>
      <w:pPr>
        <w:spacing w:after="0" w:line="124"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Legacy Factorial has incurred net losses since our inception. For example, during the years ended December 31, 2025 and 2024, we reported net losses of $73.9 million and $54.3 million, respectively, with revenue of $0 and $0, respectively. We may continue incurring net losses in the future as we, among other things, endeavor to hire the experienced scientific, quality-control, and manufacturing personnel needed to operate our manufacturing processes to scale; increase our sales and marketing activities; expand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144" w:lineRule="exact"/>
        <w:rPr>
          <w:sz w:val="20"/>
          <w:szCs w:val="20"/>
          <w:color w:val="auto"/>
        </w:rPr>
      </w:pPr>
    </w:p>
    <w:p>
      <w:pPr>
        <w:ind w:left="760" w:right="10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not yet cash flow positive, and any failure to effectively manage our cash resources or generate future cash flows could adversely affect our business.</w:t>
      </w:r>
    </w:p>
    <w:p>
      <w:pPr>
        <w:spacing w:after="0" w:line="124" w:lineRule="exact"/>
        <w:rPr>
          <w:sz w:val="20"/>
          <w:szCs w:val="20"/>
          <w:color w:val="auto"/>
        </w:rPr>
      </w:pPr>
    </w:p>
    <w:p>
      <w:pPr>
        <w:ind w:left="760" w:right="979" w:firstLine="249"/>
        <w:spacing w:after="0" w:line="257" w:lineRule="auto"/>
        <w:rPr>
          <w:sz w:val="20"/>
          <w:szCs w:val="20"/>
          <w:color w:val="auto"/>
        </w:rPr>
      </w:pPr>
      <w:r>
        <w:rPr>
          <w:rFonts w:ascii="Times New Roman" w:cs="Times New Roman" w:eastAsia="Times New Roman" w:hAnsi="Times New Roman"/>
          <w:sz w:val="14"/>
          <w:szCs w:val="14"/>
          <w:color w:val="auto"/>
        </w:rPr>
        <w:t>We are not currently cash flow positive, and the development, scaling, and commercialization of battery technology is capital intensive, even under a capital-light operating model. Our business requires ongoing investment in research and development, manufacturing scale-up, supply chain development, and commercialization activities, which may result in significant cash outflows before we generate sufficient operating cash flows.</w:t>
      </w:r>
    </w:p>
    <w:p>
      <w:pPr>
        <w:spacing w:after="0" w:line="142"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Our future success depends, in part, on our ability to effectively manage our cash resources, control operating expenses, and generate cash flows from commercial activities in a timely manner. Any misalignment between our cash expenditures and cash inflows, delays in customer adoption or revenue generation, cost overruns, or inefficiencies in cash management could require us to seek additional financing sooner than expected or on less favorable terms.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551" w:right="1440"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79" w:firstLine="249"/>
        <w:spacing w:after="0" w:line="262" w:lineRule="auto"/>
        <w:rPr>
          <w:sz w:val="20"/>
          <w:szCs w:val="20"/>
          <w:color w:val="auto"/>
        </w:rPr>
      </w:pPr>
      <w:r>
        <w:rPr>
          <w:rFonts w:ascii="Times New Roman" w:cs="Times New Roman" w:eastAsia="Times New Roman" w:hAnsi="Times New Roman"/>
          <w:sz w:val="14"/>
          <w:szCs w:val="14"/>
          <w:color w:val="auto"/>
        </w:rPr>
        <w:t>If we are unable to obtain additional capital when needed, or if we are unable to generate sufficient cash flows to support our operations, our ability to execute our business strategy, continue operations, or pursue growth opportunities could be materially and adversely affected.</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business plan has yet to be tested, and we may not succeed in executing on our strategic plans, including commercialization.</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As a research and development stage company, we face a number of difficulties normally encountered by new enterprises, including substantial risks and expenses in the course of establishing or entering new markets, organizing operations, and undertaking marketing activities. The likelihood of our success must be considered in light of these difficulties and the competitive environment in which we operate. There is nothing at this time upon which to base an assumption that our business plan will prove successful, and we may not be able to generate significant revenue, raise additional capital, or operate profitably. We will continue to encounter challenges frequently experienced by early commercial stage companies, including scaling up our infrastructure and managing our headcount, and may encounter unforeseen expenses, difficulties, or delays in connection with our growth. In addition to the extensive capital requirements of our business, we can be expected to continue to sustain substantial operating expenses without generating sufficient revenue to cover expenditures. Any investment in our company is therefore highly speculative and could result in loss of your entire investment.</w:t>
      </w:r>
    </w:p>
    <w:p>
      <w:pPr>
        <w:spacing w:after="0" w:line="145"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It is difficult to predict our future revenues and appropriately budget for our expenses, and we have limited insight into trends that may emerge and affect our business. If actual results differ from our estimates or we adjust our estimates in future periods, our business, prospects, results of operations, and financial condition could be materially and adversely affected. Furthermore, our financial performance in one period may not be indicative of financial performance in future periods.</w:t>
      </w:r>
    </w:p>
    <w:p>
      <w:pPr>
        <w:spacing w:after="0" w:line="140" w:lineRule="exact"/>
        <w:rPr>
          <w:sz w:val="20"/>
          <w:szCs w:val="20"/>
          <w:color w:val="auto"/>
        </w:rPr>
      </w:pPr>
    </w:p>
    <w:p>
      <w:pPr>
        <w:ind w:left="760" w:right="1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will need substantial additional capital in the future to fund our business and may be unable to meet our future capital requirements, impairing our financial position and results of operations.</w:t>
      </w:r>
    </w:p>
    <w:p>
      <w:pPr>
        <w:spacing w:after="0" w:line="124" w:lineRule="exact"/>
        <w:rPr>
          <w:sz w:val="20"/>
          <w:szCs w:val="20"/>
          <w:color w:val="auto"/>
        </w:rPr>
      </w:pPr>
    </w:p>
    <w:p>
      <w:pPr>
        <w:ind w:left="760" w:right="799" w:firstLine="249"/>
        <w:spacing w:after="0" w:line="272" w:lineRule="auto"/>
        <w:rPr>
          <w:sz w:val="20"/>
          <w:szCs w:val="20"/>
          <w:color w:val="auto"/>
        </w:rPr>
      </w:pPr>
      <w:r>
        <w:rPr>
          <w:rFonts w:ascii="Times New Roman" w:cs="Times New Roman" w:eastAsia="Times New Roman" w:hAnsi="Times New Roman"/>
          <w:sz w:val="13"/>
          <w:szCs w:val="13"/>
          <w:color w:val="auto"/>
        </w:rPr>
        <w:t>The development, design, manufacture and sale of batteries is a capital-intensive business. We expect to sustain substantial operating expenses, without generating sufficient revenues to cover expenditures, for a number of years. To date, we have funded our operations through the sales of our convertible preferred stock and through the proceeds of the Business Combination and the PIPE Financing. These funds are expected to finance our principal sources of liquidity and ongoing costs, such as research and development relating to our batteries and the construction of additional manufacturing facilities. In the future, if we are not able to fund our operations from cash flows generated from anticipated product sales, we expect that we will need to raise additional funds through a variety of possible methods, including, but not limited to, entry into joint ventures or other strategic arrangements, issuance of equity (including through at-the-market sales), equity-related or debt securities or through obtaining credit from financial institutions, as well as anticipated future revenue from product sales. Any such issuances may be highly dilutive and/or may result in the imposition of covenants that significantly restrict our ability to conduct our business and operations as we may otherwise deem appropriate.</w:t>
      </w:r>
    </w:p>
    <w:p>
      <w:pPr>
        <w:spacing w:after="0" w:line="134"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We believe that our cash on hand and marketable securities will be sufficient to meet our working capital and capital expenditure requirements for a period of at least 12 months from the date of the most recent financial statements included in this prospectus and also sufficient to fund us through commercialization. However, additional funding may be required for a variety of reasons, including opportunities to expand our manufacturing capabilities and delays in expected development of our battery cells. Our ability to successfully develop our products, commence commercial operations and expand our business will depend on many factors, including our working capital needs, the availability of equity and/or debt financing and, over time, our ability to generate positive cash flows from operations.</w:t>
      </w:r>
    </w:p>
    <w:p>
      <w:pPr>
        <w:spacing w:after="0" w:line="146" w:lineRule="exact"/>
        <w:rPr>
          <w:sz w:val="20"/>
          <w:szCs w:val="20"/>
          <w:color w:val="auto"/>
        </w:rPr>
      </w:pPr>
    </w:p>
    <w:p>
      <w:pPr>
        <w:jc w:val="both"/>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We cannot be certain that additional capital will be available on attractive terms, if at all, when needed, which could be dilutive to stockholders. We may be forced to decrease our level of investment in product development or scale back our operations, which could have an adverse impact on our business and financial prospects. Furthermore, the cost of debt could be higher than anticipated, which could negatively affect our earnings.</w:t>
      </w:r>
    </w:p>
    <w:p>
      <w:pPr>
        <w:spacing w:after="0" w:line="142" w:lineRule="exact"/>
        <w:rPr>
          <w:sz w:val="20"/>
          <w:szCs w:val="20"/>
          <w:color w:val="auto"/>
        </w:rPr>
      </w:pPr>
    </w:p>
    <w:p>
      <w:pPr>
        <w:ind w:left="760" w:right="1019" w:firstLine="249"/>
        <w:spacing w:after="0" w:line="278" w:lineRule="auto"/>
        <w:rPr>
          <w:sz w:val="20"/>
          <w:szCs w:val="20"/>
          <w:color w:val="auto"/>
        </w:rPr>
      </w:pPr>
      <w:r>
        <w:rPr>
          <w:rFonts w:ascii="Times New Roman" w:cs="Times New Roman" w:eastAsia="Times New Roman" w:hAnsi="Times New Roman"/>
          <w:sz w:val="14"/>
          <w:szCs w:val="14"/>
          <w:color w:val="auto"/>
        </w:rPr>
        <w:t>Incorrect estimates or assumptions by management in the preparation of our consolidated financial statements could adversely impact our reported assets, liabilities, income, revenue, or expenses.</w:t>
      </w:r>
    </w:p>
    <w:p>
      <w:pPr>
        <w:spacing w:after="0" w:line="126" w:lineRule="exact"/>
        <w:rPr>
          <w:sz w:val="20"/>
          <w:szCs w:val="20"/>
          <w:color w:val="auto"/>
        </w:rPr>
      </w:pPr>
    </w:p>
    <w:p>
      <w:pPr>
        <w:ind w:left="760" w:right="1119" w:firstLine="249"/>
        <w:spacing w:after="0" w:line="257" w:lineRule="auto"/>
        <w:rPr>
          <w:sz w:val="20"/>
          <w:szCs w:val="20"/>
          <w:color w:val="auto"/>
        </w:rPr>
      </w:pPr>
      <w:r>
        <w:rPr>
          <w:rFonts w:ascii="Times New Roman" w:cs="Times New Roman" w:eastAsia="Times New Roman" w:hAnsi="Times New Roman"/>
          <w:sz w:val="14"/>
          <w:szCs w:val="14"/>
          <w:color w:val="auto"/>
        </w:rPr>
        <w:t>The preparation of our consolidated financial statements requires management to make critical accounting estimates and assumptions that affect the reported amounts of assets, liabilities, stockholders’ equity, revenue, income, and expenses during the reporting periods. Incorrect estimates and assumptions by management could result in reported amounts that are overstated or understated and have a material adverse effect on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551" w:right="1440"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1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ability to utilize any net operating losses or tax credit carry forwards to offset taxable income are subject to complex limitations.</w:t>
      </w:r>
    </w:p>
    <w:p>
      <w:pPr>
        <w:spacing w:after="0" w:line="124"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Section 382 of the Internal Revenue Code limits the ability of a corporation that undergoes an “ownership change” to use its pre-change net operating losses to offset future taxable income. An “ownership change” generally means a greater than 50 percentage point change (by value) in a corporation’s equity ownership by certain stockholders over a three-year period. If we have experienced an ownership change at any time since our incorporation, we may be subject to these limitations on our ability to utilize our net operating losses and other tax attributes to offset taxable income or tax liability. In addition, future changes in our stock ownership, which may be outside of our control, may trigger an ownership change.</w:t>
      </w:r>
    </w:p>
    <w:p>
      <w:pPr>
        <w:spacing w:after="0" w:line="145"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Changes in tax law, regulations, or interpretations, including those resulting from the OBBBA, could suspend the use of net operating losses or tax credits, possibly with retroactive effect, and adversely impact our effective tax rate or cash flows. As a result, if we earn net taxable income, we could be unable or limited in our ability to use net operating losses and other tax attributes to offset such taxable income, which could result in increased future income tax liabilities. Similar provisions of state tax law may also limit our use of accumulated state tax attributes.</w:t>
      </w:r>
    </w:p>
    <w:p>
      <w:pPr>
        <w:spacing w:after="0" w:line="140" w:lineRule="exact"/>
        <w:rPr>
          <w:sz w:val="20"/>
          <w:szCs w:val="20"/>
          <w:color w:val="auto"/>
        </w:rPr>
      </w:pPr>
    </w:p>
    <w:p>
      <w:pPr>
        <w:ind w:left="760" w:right="9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cash and money market funds could be adversely affected if the financial institutions in which we hold our cash and money market funds fail.</w:t>
      </w:r>
    </w:p>
    <w:p>
      <w:pPr>
        <w:spacing w:after="0" w:line="124" w:lineRule="exact"/>
        <w:rPr>
          <w:sz w:val="20"/>
          <w:szCs w:val="20"/>
          <w:color w:val="auto"/>
        </w:rPr>
      </w:pPr>
    </w:p>
    <w:p>
      <w:pPr>
        <w:ind w:left="760" w:right="899" w:firstLine="249"/>
        <w:spacing w:after="0" w:line="257" w:lineRule="auto"/>
        <w:rPr>
          <w:sz w:val="20"/>
          <w:szCs w:val="20"/>
          <w:color w:val="auto"/>
        </w:rPr>
      </w:pPr>
      <w:r>
        <w:rPr>
          <w:rFonts w:ascii="Times New Roman" w:cs="Times New Roman" w:eastAsia="Times New Roman" w:hAnsi="Times New Roman"/>
          <w:sz w:val="14"/>
          <w:szCs w:val="14"/>
          <w:color w:val="auto"/>
        </w:rPr>
        <w:t>We deposit and maintain our cash and money market funds with third party financial institutions. A failure of these financial institutions to return our cash deposits and money market funds, or if a depository institution is subject to other adverse conditions in the financial or credit markets, could impact our access to our cash or money market funds and could adversely impact our operating liquidity and financial performance.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There is substantial doubt about our ability to continue as a going concern.</w:t>
      </w:r>
    </w:p>
    <w:p>
      <w:pPr>
        <w:spacing w:after="0" w:line="173"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We have prepared cash flow forecasts which indicate that, based on our expected operating losses and negative cash flows and without giving effect to the consummation of the Business Combination or the PIPE Financing, there is substantial doubt about our ability to continue as a going concern for the twelve months following the date that the Legacy Factorial consolidated financial statements, as of and for the year ended December 31, 2025, were issued. See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Condition and Results of Operations of Factorial Energy - Liquidity and Capital Resources.</w:t>
      </w:r>
      <w:r>
        <w:rPr>
          <w:rFonts w:ascii="Times New Roman" w:cs="Times New Roman" w:eastAsia="Times New Roman" w:hAnsi="Times New Roman"/>
          <w:sz w:val="14"/>
          <w:szCs w:val="14"/>
          <w:color w:val="auto"/>
        </w:rPr>
        <w:t>” As a result, management has included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disclosures in Note 1 of Legacy Factorial’s financial statements, which include a statement that substantial doubt exists about our ability to continue as a going concern, and our independent registered public accounting firm has included an explanatory paragraph in its report on Legacy Factorial’s financial statements as of and for the year ended December 31, 2025, referring to management’s disclosure with respect to this uncertainty. Our future viability as an ongoing business is dependent on our ability to raise additional capital to finance our operations.</w:t>
      </w:r>
    </w:p>
    <w:p>
      <w:pPr>
        <w:spacing w:after="0" w:line="145" w:lineRule="exact"/>
        <w:rPr>
          <w:sz w:val="20"/>
          <w:szCs w:val="20"/>
          <w:color w:val="auto"/>
        </w:rPr>
      </w:pPr>
    </w:p>
    <w:p>
      <w:pPr>
        <w:ind w:left="760" w:right="779" w:firstLine="249"/>
        <w:spacing w:after="0" w:line="277" w:lineRule="auto"/>
        <w:rPr>
          <w:sz w:val="20"/>
          <w:szCs w:val="20"/>
          <w:color w:val="auto"/>
        </w:rPr>
      </w:pPr>
      <w:r>
        <w:rPr>
          <w:rFonts w:ascii="Times New Roman" w:cs="Times New Roman" w:eastAsia="Times New Roman" w:hAnsi="Times New Roman"/>
          <w:sz w:val="13"/>
          <w:szCs w:val="13"/>
          <w:color w:val="auto"/>
        </w:rPr>
        <w:t>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and employees. Our financial statements do not include any adjustments that might result from the outcome of this uncertainty. If we are unable to continue as a going concern, we may have to liquidate our assets and may receive less than the value at which those assets are carried on our financial statements, and it is likely that our investors will lose all or a part of their investment.</w:t>
      </w:r>
    </w:p>
    <w:p>
      <w:pPr>
        <w:spacing w:after="0" w:line="126" w:lineRule="exact"/>
        <w:rPr>
          <w:sz w:val="20"/>
          <w:szCs w:val="20"/>
          <w:color w:val="auto"/>
        </w:rPr>
      </w:pPr>
    </w:p>
    <w:p>
      <w:pPr>
        <w:ind w:left="760" w:right="799"/>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p>
    <w:p>
      <w:pPr>
        <w:spacing w:after="0" w:line="117" w:lineRule="exact"/>
        <w:rPr>
          <w:sz w:val="20"/>
          <w:szCs w:val="20"/>
          <w:color w:val="auto"/>
        </w:rPr>
      </w:pPr>
    </w:p>
    <w:p>
      <w:pPr>
        <w:ind w:left="760" w:right="779" w:firstLine="249"/>
        <w:spacing w:after="0" w:line="272" w:lineRule="auto"/>
        <w:rPr>
          <w:sz w:val="20"/>
          <w:szCs w:val="20"/>
          <w:color w:val="auto"/>
        </w:rPr>
      </w:pPr>
      <w:r>
        <w:rPr>
          <w:rFonts w:ascii="Times New Roman" w:cs="Times New Roman" w:eastAsia="Times New Roman" w:hAnsi="Times New Roman"/>
          <w:sz w:val="13"/>
          <w:szCs w:val="13"/>
          <w:color w:val="auto"/>
        </w:rPr>
        <w:t>As a public company, we are required to maintain internal control over financial reporting and to report any material weaknesses in such internal controls. In addition, we are required to furnish a report by management on the effectiveness of our internal control over financial reporting in our annual reports on Form 10-K,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has led to a conclusion that our internal control over financial reporting and disclosure controls and procedures were not effective as of December 31, 2025. Our inability to remediate this material weakness, our discovery of additional control deficiencies or material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551" w:right="1440"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079"/>
        <w:spacing w:after="0" w:line="262" w:lineRule="auto"/>
        <w:rPr>
          <w:sz w:val="20"/>
          <w:szCs w:val="20"/>
          <w:color w:val="auto"/>
        </w:rPr>
      </w:pPr>
      <w:r>
        <w:rPr>
          <w:rFonts w:ascii="Times New Roman" w:cs="Times New Roman" w:eastAsia="Times New Roman" w:hAnsi="Times New Roman"/>
          <w:sz w:val="14"/>
          <w:szCs w:val="14"/>
          <w:color w:val="auto"/>
        </w:rPr>
        <w:t>weaknesses in internal control, and our inability to achieve and maintain effective disclosure controls and procedures and internal control over financial reporting, could adversely affect our results of operations, our stock price and investor confidence in our Company.</w:t>
      </w:r>
    </w:p>
    <w:p>
      <w:pPr>
        <w:spacing w:after="0" w:line="138"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Our management plans to take action to remediate this material weakness in our internal control over financial reporting. As of the date of this prospectus, management began remediation actions in 2026 and expects to complete the remediation actions during 2027 and to incur approximately $0.8 million in associated costs. However, the remediation process is ongoing, and we cannot assure that it will be completed within this timeframe or that additional remediation costs will not be incurred. In addition, we could in the future identify additional internal control deficiencies that could rise to the level of a material weakness or uncover other errors in financial reporting. The remediation of such deficiencies or material weaknesses may require significant costs and devotion of a substantial amount of management’s attention, diverting financial resources or management’s time from operating our business. During the course of our evaluation, we may identify areas requiring improvement and may be required to design additional enhanced processes and controls to address issues identified through this review. In addition,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w:t>
      </w:r>
    </w:p>
    <w:p>
      <w:pPr>
        <w:spacing w:after="0" w:line="150"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If we fail to remediate this material weakness and maintain effective disclosure controls and procedures or internal control over financial reporting, we may not be able to rely on the integrity of our financial results, which could result in inaccurate or late reporting of our financial results, which inaccuracies may lead to a requirement to restate our financial statements, as well as delays or the inability to meet our future reporting obligations or to comply with SEC rules and regulations. As a result, investors may lose confidence in the accuracy and completeness of our financial reports and the market price of our common stock could decline.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restrict our future access to the capital markets as a result of a loss of investor confidence, limitations on our ability under the Securities Act to conduct certain transactions or a reduction in liquidity if our common stock does not remain listed on a national securities exchange. Reduced access to capital or increased use of financial resources to remedy deficiencies in or maintain the effectiveness of internal controls may reduce our liquidity and ability to operate our business.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Intellectual Property</w:t>
      </w:r>
    </w:p>
    <w:p>
      <w:pPr>
        <w:spacing w:after="0" w:line="171" w:lineRule="exact"/>
        <w:rPr>
          <w:sz w:val="20"/>
          <w:szCs w:val="20"/>
          <w:color w:val="auto"/>
        </w:rPr>
      </w:pPr>
    </w:p>
    <w:p>
      <w:pPr>
        <w:ind w:left="760" w:right="8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heavily on our intellectual property portfolio. If we are unable to protect our intellectual property rights, our business and competitive position would be harmed.</w:t>
      </w:r>
    </w:p>
    <w:p>
      <w:pPr>
        <w:spacing w:after="0" w:line="124" w:lineRule="exact"/>
        <w:rPr>
          <w:sz w:val="20"/>
          <w:szCs w:val="20"/>
          <w:color w:val="auto"/>
        </w:rPr>
      </w:pPr>
    </w:p>
    <w:p>
      <w:pPr>
        <w:ind w:left="760" w:right="859" w:firstLine="249"/>
        <w:spacing w:after="0" w:line="250" w:lineRule="auto"/>
        <w:rPr>
          <w:sz w:val="20"/>
          <w:szCs w:val="20"/>
          <w:color w:val="auto"/>
        </w:rPr>
      </w:pPr>
      <w:r>
        <w:rPr>
          <w:rFonts w:ascii="Times New Roman" w:cs="Times New Roman" w:eastAsia="Times New Roman" w:hAnsi="Times New Roman"/>
          <w:sz w:val="14"/>
          <w:szCs w:val="14"/>
          <w:color w:val="auto"/>
        </w:rPr>
        <w:t>We rely upon a combination of various intellectual property protections afforded by patent, copyright, trademark and trade secret laws in the United States and other jurisdictions, as well as contractual protections afforded by license agreements and other agreements,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However,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Despite our efforts to protect our proprietary rights, third parties may, without proper authorization, attempt to copy or otherwise obtain and use our intellectual property or be able to design around our intellectual property. Monitoring unauthorized use of our intellectual property is difficult and costly, and the steps we have taken or will take to prevent misappropriation may not be adequate, sufficient, or effective. Any enforcement efforts we undertake, including litigation, could be time-consuming and expensive and could divert management’s attention, which could harm our business, results of operations and financial condition.</w:t>
      </w:r>
    </w:p>
    <w:p>
      <w:pPr>
        <w:spacing w:after="0" w:line="146"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While certain of our proprietary works may be protected under copyright law, we have chosen not to register any copyrights in these works and instead rely primarily on protecting our software as a trade secret. In order to bring a copyright infringement lawsuit in the United States, the copyright must be registered. Accordingly, the remedies and damages available to us for unauthorized use of our works of authorship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551" w:right="1440"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7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spacing w:after="0" w:line="13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Certain of our key technological innovations, including innovations that are currently commercialized in our products and innovations that we plan to deploy in the future, are described in our issued patents and pending patent applications, as well as patent applications that we plan to file in the future. For more information, see “</w:t>
      </w:r>
      <w:r>
        <w:rPr>
          <w:rFonts w:ascii="Times New Roman" w:cs="Times New Roman" w:eastAsia="Times New Roman" w:hAnsi="Times New Roman"/>
          <w:sz w:val="14"/>
          <w:szCs w:val="14"/>
          <w:i w:val="1"/>
          <w:iCs w:val="1"/>
          <w:color w:val="auto"/>
        </w:rPr>
        <w:t>Information about Factorial Energy - Intellectual Property.</w:t>
      </w:r>
      <w:r>
        <w:rPr>
          <w:rFonts w:ascii="Times New Roman" w:cs="Times New Roman" w:eastAsia="Times New Roman" w:hAnsi="Times New Roman"/>
          <w:sz w:val="14"/>
          <w:szCs w:val="14"/>
          <w:color w:val="auto"/>
        </w:rPr>
        <w:t>” The process of applying for and obtaining a patent is expensive, time consuming and does not always result in patent claims as expected or needed. We may not be able to file and prosecute all necessary or desirable patent applications at a reasonable cost, in a timely manner, or in all jurisdictions where protection may be commercially advantageous, or we financially may not be able to protect our proprietary rights at all. There is also no assurance that the pending applications will result in issued patents.</w:t>
      </w:r>
    </w:p>
    <w:p>
      <w:pPr>
        <w:spacing w:after="0" w:line="146" w:lineRule="exact"/>
        <w:rPr>
          <w:sz w:val="20"/>
          <w:szCs w:val="20"/>
          <w:color w:val="auto"/>
        </w:rPr>
      </w:pPr>
    </w:p>
    <w:p>
      <w:pPr>
        <w:ind w:left="760" w:right="819" w:firstLine="249"/>
        <w:spacing w:after="0" w:line="270" w:lineRule="auto"/>
        <w:rPr>
          <w:sz w:val="20"/>
          <w:szCs w:val="20"/>
          <w:color w:val="auto"/>
        </w:rPr>
      </w:pPr>
      <w:r>
        <w:rPr>
          <w:rFonts w:ascii="Times New Roman" w:cs="Times New Roman" w:eastAsia="Times New Roman" w:hAnsi="Times New Roman"/>
          <w:sz w:val="13"/>
          <w:szCs w:val="13"/>
          <w:color w:val="auto"/>
        </w:rPr>
        <w:t>In addition, third parties may have blocking patents that could prevent us from marketing our products or practicing our technology. Alternatively, third parties may seek to develop or market their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our patents are determined to be valid and enforceable patents, these patents still may not provide protection against competing products or processes sufficient to achieve our business objectives. Under the terms of certain agreements with our development partners, we may file patent applications jointly with third parties and end up co-owning certain patents. As a result, we may not have exclusive rights to such patents and co-ownership of a patent may require us to enter into license agreements with third parties, which are less favorable than if we were the sole owner of the patent. Furthermore, if the other owners are unwilling to join us in an enforcement action, we may be unable to enforce our jointly owned patent rights against infringers. Such co-owners may be able to license their rights to other third parties, including our competitors, and our competitors could market competing products and technology. If one or more of our patents are held to be invalid or unenforceable, if claims of those patents are interpreted narrowly, or if patents fail to issue from our pending applications, our competitiveness and value may also be undermined. Any of the foregoing could have a material adverse effect on our competitive position, business, financial conditions, results of operations, and prospects.</w:t>
      </w:r>
    </w:p>
    <w:p>
      <w:pPr>
        <w:spacing w:after="0" w:line="139"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While we have been issued patents for certain aspects of our technology and have additional patent applications pending, we have not applied for patent protection for all aspects of our technology. We make business decisions about when to seek patent protection for a particular technology and when to rely upon trade secret protection, and the approach we select may ultimately prove to be inadequate.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43" w:lineRule="exact"/>
        <w:rPr>
          <w:sz w:val="20"/>
          <w:szCs w:val="20"/>
          <w:color w:val="auto"/>
        </w:rPr>
      </w:pPr>
    </w:p>
    <w:p>
      <w:pPr>
        <w:ind w:left="760" w:right="11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need to defend ourselves against intellectual property infringement claims, which may be time- consuming and could cause us to incur substantial costs or limit our ability to use certain technology.</w:t>
      </w:r>
    </w:p>
    <w:p>
      <w:pPr>
        <w:spacing w:after="0" w:line="124"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Companies, organizations or individuals, including our current and future competitors, may hold or obtain patents, trademarks or other proprietary rights that would prevent, limit or interfere with our ability to make, use, develop, distribute, or sell our battery products, which could make it more difficult for us to operate our business. From time to time, we may receive inquiries from holders of patents or trademarks inquiring whether we are infringing their proprietary rights and/or seek court declarations that they do not infringe upon our intellectual property rights. Companies holding patents or other intellectual property rights relating to batteries, electric motors or electronic power management systems may bring suits alleging infringement by our battery products of such rights or otherwise asserting their rights and seeking licenses. In addition, if we are determined to have infringed upon a third party’s intellectual property rights, we may be required to do one or more of the following:</w:t>
      </w:r>
    </w:p>
    <w:p>
      <w:pPr>
        <w:spacing w:after="0" w:line="144" w:lineRule="exact"/>
        <w:rPr>
          <w:sz w:val="20"/>
          <w:szCs w:val="20"/>
          <w:color w:val="auto"/>
        </w:rPr>
      </w:pPr>
    </w:p>
    <w:p>
      <w:pPr>
        <w:ind w:left="1280" w:hanging="246"/>
        <w:spacing w:after="0"/>
        <w:tabs>
          <w:tab w:leader="none" w:pos="1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cease selling, incorporating or using products that incorporate the challenged intellectual property;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pay substantial damages;</w:t>
      </w:r>
    </w:p>
    <w:p>
      <w:pPr>
        <w:spacing w:after="0" w:line="171" w:lineRule="exact"/>
        <w:rPr>
          <w:rFonts w:ascii="Times New Roman" w:cs="Times New Roman" w:eastAsia="Times New Roman" w:hAnsi="Times New Roman"/>
          <w:sz w:val="14"/>
          <w:szCs w:val="14"/>
          <w:color w:val="231F20"/>
        </w:rPr>
      </w:pPr>
    </w:p>
    <w:p>
      <w:pPr>
        <w:ind w:left="1280" w:right="819" w:hanging="246"/>
        <w:spacing w:after="0" w:line="278" w:lineRule="auto"/>
        <w:tabs>
          <w:tab w:leader="none" w:pos="1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obtain a license from the holder of the infringed intellectual property right, which license may not be available on reasonable terms or at all; or</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redesign our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551" w:right="1440"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39" w:firstLine="249"/>
        <w:spacing w:after="0" w:line="252" w:lineRule="auto"/>
        <w:rPr>
          <w:sz w:val="20"/>
          <w:szCs w:val="20"/>
          <w:color w:val="auto"/>
        </w:rPr>
      </w:pPr>
      <w:r>
        <w:rPr>
          <w:rFonts w:ascii="Times New Roman" w:cs="Times New Roman" w:eastAsia="Times New Roman" w:hAnsi="Times New Roman"/>
          <w:sz w:val="14"/>
          <w:szCs w:val="14"/>
          <w:color w:val="auto"/>
        </w:rPr>
        <w:t>We may be subject to additional infringement claims in the future, and even if we believe such claims are without merit, such claims are time-consuming, expensive to litigate or settle and can divert management’s resources and attention. An adverse determination could require that we pay damages, which could be substantial, or that we stop using technologies found to be in violation of a third party’s rights and could prevent us from selling our batteries.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results of operations.</w:t>
      </w:r>
    </w:p>
    <w:p>
      <w:pPr>
        <w:spacing w:after="0" w:line="146" w:lineRule="exact"/>
        <w:rPr>
          <w:sz w:val="20"/>
          <w:szCs w:val="20"/>
          <w:color w:val="auto"/>
        </w:rPr>
      </w:pPr>
    </w:p>
    <w:p>
      <w:pPr>
        <w:ind w:left="760" w:right="879" w:firstLine="249"/>
        <w:spacing w:after="0" w:line="292" w:lineRule="auto"/>
        <w:rPr>
          <w:sz w:val="20"/>
          <w:szCs w:val="20"/>
          <w:color w:val="auto"/>
        </w:rPr>
      </w:pPr>
      <w:r>
        <w:rPr>
          <w:rFonts w:ascii="Times New Roman" w:cs="Times New Roman" w:eastAsia="Times New Roman" w:hAnsi="Times New Roman"/>
          <w:sz w:val="13"/>
          <w:szCs w:val="13"/>
          <w:color w:val="auto"/>
        </w:rPr>
        <w:t>In the event of a successful claim of infringement against us and our failure or inability to obtain a license to the infringed technology, our business, financial condition, results of operations and prospects could be materially adversely affected. In addition, any litigation or claims, whether or not valid, could result in substantial costs and diversion of resources and management’s attention.</w:t>
      </w:r>
    </w:p>
    <w:p>
      <w:pPr>
        <w:spacing w:after="0" w:line="117" w:lineRule="exact"/>
        <w:rPr>
          <w:sz w:val="20"/>
          <w:szCs w:val="20"/>
          <w:color w:val="auto"/>
        </w:rPr>
      </w:pPr>
    </w:p>
    <w:p>
      <w:pPr>
        <w:jc w:val="both"/>
        <w:ind w:left="760" w:right="77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3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These licenses typically limit our use of the licensed intellectual property or technology to specific uses and include other contractual obligations with which we must comply. If we fail to comply with any such obligations,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Moreover, our licensors may infringe the intellectual property rights of others or our licensors may not have sufficient rights to the intellectual property to grant us the applicable rights. Although we seek to secure indemnification protection from our vendors to protect us against potential third-party infringement claims in connection with our use of the applicable licensed intellectual property, not all of our vendors agree to provide us with sufficient indemnification protection, and in the instances where we do secure indemnification protection from our vendors, it is possible such vendors may not honor such indemnification obligations. If any of our licenses terminate, if we or the licensors fail to abide by the terms of the license, if the licensed intellectual property rights are found to be invalid or unenforceable or if the licensed technology is alleged to be infringing, our business, financial results and reputation could be harmed.</w:t>
      </w:r>
    </w:p>
    <w:p>
      <w:pPr>
        <w:spacing w:after="0" w:line="146"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In addition, companies that perceive us to be a competitor may be unwilling to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145" w:lineRule="exact"/>
        <w:rPr>
          <w:sz w:val="20"/>
          <w:szCs w:val="20"/>
          <w:color w:val="auto"/>
        </w:rPr>
      </w:pPr>
    </w:p>
    <w:p>
      <w:pPr>
        <w:ind w:left="760" w:right="8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obtain licenses on technology that has not been commercialized or has been commercialized only to a limited extent, and the success of our business may be adversely affected if such technology does not perform as expected.</w:t>
      </w:r>
    </w:p>
    <w:p>
      <w:pPr>
        <w:spacing w:after="0" w:line="124"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From time to time, we may license from third parties, technologies that have not been commercialized or which have been commercialized only to a limited extent. These technologies may not perform as expected within our silicon anode battery cells and related products. If the cost, performance characteristics, manufacturing process or other specifications of these licensed technologies fall short of our targets, our expected sales, costs, time to market, competitive advantage, future product pricing and potential operating margins may be adversely affected.</w:t>
      </w:r>
    </w:p>
    <w:p>
      <w:pPr>
        <w:spacing w:after="0" w:line="140" w:lineRule="exact"/>
        <w:rPr>
          <w:sz w:val="20"/>
          <w:szCs w:val="20"/>
          <w:color w:val="auto"/>
        </w:rPr>
      </w:pPr>
    </w:p>
    <w:p>
      <w:pPr>
        <w:ind w:left="760" w:right="10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face risks relating to protecting our intellectual property in various countries resulting from our international business operations.</w:t>
      </w:r>
    </w:p>
    <w:p>
      <w:pPr>
        <w:spacing w:after="0" w:line="124"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Patent, trademark and trade secret laws vary significantly throughout the world. Filing, prosecuting, and defending patents in all countries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551" w:right="1440"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 Some courts inside and outside the United States may be less willing or unwilling to protect trade secrets and agreement terms that address non-competition are difficult to enforce in many jurisdictions and might not be enforceable in certain cases. 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results of operations and prospects.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General Risks</w:t>
      </w:r>
    </w:p>
    <w:p>
      <w:pPr>
        <w:spacing w:after="0" w:line="171" w:lineRule="exact"/>
        <w:rPr>
          <w:sz w:val="20"/>
          <w:szCs w:val="20"/>
          <w:color w:val="auto"/>
        </w:rPr>
      </w:pPr>
    </w:p>
    <w:p>
      <w:pPr>
        <w:jc w:val="both"/>
        <w:ind w:left="760" w:right="97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Governmental trade controls, including export and import controls, sanctions, customs requirements and related regimes, could subject us to liability or loss of contracting privileges, limit our ability to transfer technology or compete in certain markets and affect our ability to hire qualified personnel.</w:t>
      </w:r>
    </w:p>
    <w:p>
      <w:pPr>
        <w:spacing w:after="0" w:line="136"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Our technology and products, including components of our products, are subject to export control and import laws and regulations, including those by the U.S. Export Administration Regulations, U.S. Customs regulations, various economic and trade sanctions regulations administered by the U.S. Treasury Department’s Office of Foreign Assets Control, and similar regulations by the South Korean government. These jurisdictions’ export control laws and regulations and economic sanctions prohibit the shipment of certain products, technologies and services to embargoed or sanctioned countries, governments and persons, as well as to various countries and persons due to national security and foreign policy concerns. In particular, U.S. and South Korean export control laws apply to cells with an energy density greater than 350 Wh/kg and require a license for the export of technology and cells exceeding that threshold to many locations outside of each respective jurisdiction, including China and Singapore. Some of our technology and products are thus presently subject to these license requirements under export controls.</w:t>
      </w:r>
    </w:p>
    <w:p>
      <w:pPr>
        <w:spacing w:after="0" w:line="147"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Complying with export control and sanctions regulations for a particular sale may be time-consuming and result in delay or loss of sales opportunities. We have set up an export controls compliance program internally. If we fail to comply with these laws and regulations, we and even some of our employees could be subject to substantial civil and/or criminal penalties, including the possible loss of export or import privileges, fines, which may be imposed on us and responsible employees or managers and, in extreme cases, the incarceration of responsible employees or managers.</w:t>
      </w:r>
    </w:p>
    <w:p>
      <w:pPr>
        <w:spacing w:after="0" w:line="142"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 significant talent pool is comprised of nationals from countries that may require a license from the Bureau of Industry and Security to work with our technology (such as China, Russia, and Japan), which raises the cost of hiring due to the uncertainty that a license may not be granted and the candidate would be unemployable in the role envisioned. In addition, changes in our products or solutions or changes in applicable export or import laws and regulations may create delays or prohibitions in the introduction and sale of our products and solutions in international markets, increase costs due to changes in import and export duties and taxes, prevent our customers from deploying our products and solutions or, in some cases, prevent the export or import of our products and solutions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solutions, decreased ability to export or sell our products and solutions to customers, and decreased ability to import components or parts critical to the manufacture of our products. Any decreased use of our technology and products, limitation on our ability to export or sell our technology and products, or limitation on our ability to import materials, components or equipment would likely adversely affect our business, financial condition, results of operations and prospects.</w:t>
      </w:r>
    </w:p>
    <w:p>
      <w:pPr>
        <w:spacing w:after="0" w:line="145" w:lineRule="exact"/>
        <w:rPr>
          <w:sz w:val="20"/>
          <w:szCs w:val="20"/>
          <w:color w:val="auto"/>
        </w:rPr>
      </w:pPr>
    </w:p>
    <w:p>
      <w:pPr>
        <w:jc w:val="both"/>
        <w:ind w:left="760" w:right="95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p>
    <w:p>
      <w:pPr>
        <w:spacing w:after="0" w:line="136"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As a result of changes to U.S. and foreign government policy, there may be changes to existing trade agreements, greater restrictions on free trade generally, the imposition of or significant increases in tariffs or other trade restrictions on goods imported into the United States, particularly those manufactured in China, or minerals imported into the United States, and adverse responses by foreign governments to U.S. trade policies, among other possible changes. China is currently a leading global source of supplies for use in the battery industry, including some products that we use. As the implementation of tariffs is ongoing, more tariffs may be added in the future. These tariffs could have an adverse impact on our business, results of operations, prospects and financial condition, and if we are unable to pass through such price increases to our customers, it would likely increase our cost of sales and, as a result, decrease our gross margins, operating income and net income. For example, in February 2025, the United States imposed additional tariffs on imports from China and significantly increased those tariffs in April 2025, and announced plans for “reciprocal”</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551" w:right="1440"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spacing w:after="0" w:line="251" w:lineRule="auto"/>
        <w:rPr>
          <w:sz w:val="20"/>
          <w:szCs w:val="20"/>
          <w:color w:val="auto"/>
        </w:rPr>
      </w:pPr>
      <w:r>
        <w:rPr>
          <w:rFonts w:ascii="Times New Roman" w:cs="Times New Roman" w:eastAsia="Times New Roman" w:hAnsi="Times New Roman"/>
          <w:sz w:val="14"/>
          <w:szCs w:val="14"/>
          <w:color w:val="auto"/>
        </w:rPr>
        <w:t>tariffs on several countries (including China) in late July 2025. As of the date of this prospectus, discussions remain ongoing in respect of certain trade restrictions and tariffs on imports from numerous countries, including China, as well as retaliatory tariffs enacted in response to such actions. In light of these events, there continues to exist significant uncertainty about the future relationship between the United States and other countries with respect to such trade policies, treaties, and tariffs, and we can make no assurance regarding the eventual impact on our results of operations and business.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access to suppliers, customers or collaboration partners and, in turn, have a material adverse effect on the business and financial condition of such suppliers, customers, collaboration partners or other counterparties we do business with, which in turn would negatively impact us.</w:t>
      </w:r>
    </w:p>
    <w:p>
      <w:pPr>
        <w:spacing w:after="0" w:line="143" w:lineRule="exact"/>
        <w:rPr>
          <w:sz w:val="20"/>
          <w:szCs w:val="20"/>
          <w:color w:val="auto"/>
        </w:rPr>
      </w:pPr>
    </w:p>
    <w:p>
      <w:pPr>
        <w:jc w:val="both"/>
        <w:ind w:left="760" w:right="10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foreign anti-corruption, anti-bribery, anti-money laundering, financial and economic sanctions and similar laws and regulations. We can face criminal liability and other serious consequences for violations, which can harm our business.</w:t>
      </w:r>
    </w:p>
    <w:p>
      <w:pPr>
        <w:spacing w:after="0" w:line="136"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the U.K. Bribery Act 2010, and other anti-corruption laws and regulations in countries in which we conduct activities. Anti-corruption laws prohibit us and our officers, directors, employees, contractors and business partners acting on our behalf, including agents, from corruptly offering, promising, authorizing or providing, directly or indirectly, anything of value to a “foreign official” for the purposes of influencing official decisions or obtaining or retaining business or otherwise obtaining favorable treatment. These laws also require companies to make and keep books, records and accounts that accurately reflect transactions and dispositions of assets and to maintain a system of adequate internal accounting controls. These laws also prohibit non-governmental “commercial” bribery and soliciting or accepting bribes. A violation of any of these laws or regulations could result in substantial civil and criminal fines and penalties, imprisonment, the loss of export or import privileges, debarment, tax reassessments, breach of contract and fraud litigation, reputational harm and other consequences and adversely affect our business, financial condition, results of operations and reputation. Our policies and procedures designed to ensure compliance with these laws and regulations may not be sufficient and our directors, officers, employees, representatives, consultants, agents, and business partners could engage in improper conduct for which we may be held responsible.</w:t>
      </w:r>
    </w:p>
    <w:p>
      <w:pPr>
        <w:spacing w:after="0" w:line="146"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As we increase our international cross-border business and expand our operations abroad, we may continue to engage with business partners, suppliers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There can be no assurance that our employees and agents will not take actions in violation of our policies and applicable law, for which we may be ultimately held responsible. As we increase our international business, our risks under these laws may increase.</w:t>
      </w:r>
    </w:p>
    <w:p>
      <w:pPr>
        <w:spacing w:after="0" w:line="144"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Detecting, investigating and resolving actual or alleged violations of anti-corruption, anti-bribery, anti- money laundering or financial and economic sanctions laws can require a significant diversion of time, resources and attention from management. Non-compliance with these laws could subject us to whistleblower complaints, adverse media coverage, investigations, subpoenas received, enforcement actions, prosecution and severe fines, damages and administrative, civil and criminal sanctions, collateral consequences, remedial measures and legal expenses, all of which could materially and adversely affect our business, financial condition, results of operations and reputation. In addition, changes in these laws in the future could adversely impact our business and investments in our securities.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insurance coverage may not be adequate to protect us from all business risks.</w:t>
      </w:r>
    </w:p>
    <w:p>
      <w:pPr>
        <w:spacing w:after="0" w:line="173" w:lineRule="exact"/>
        <w:rPr>
          <w:sz w:val="20"/>
          <w:szCs w:val="20"/>
          <w:color w:val="auto"/>
        </w:rPr>
      </w:pPr>
    </w:p>
    <w:p>
      <w:pPr>
        <w:ind w:left="760" w:right="899" w:firstLine="249"/>
        <w:spacing w:after="0" w:line="279" w:lineRule="auto"/>
        <w:rPr>
          <w:sz w:val="20"/>
          <w:szCs w:val="20"/>
          <w:color w:val="auto"/>
        </w:rPr>
      </w:pPr>
      <w:r>
        <w:rPr>
          <w:rFonts w:ascii="Times New Roman" w:cs="Times New Roman" w:eastAsia="Times New Roman" w:hAnsi="Times New Roman"/>
          <w:sz w:val="13"/>
          <w:szCs w:val="13"/>
          <w:color w:val="auto"/>
        </w:rPr>
        <w:t>We may be subject, in the ordinary course of business, to losses resulting from product liability, recalls, cyber-attacks, accidents, acts of God, and other claims against us, for which we may have no or inadequate insurance coverage. As a general matter, the policies that we do have may include significant deductibles or self- 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551" w:right="1440"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8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be involved in legal proceedings and commercial or contractual disputes, which could have an adverse impact on our financial condition and results of operations.</w:t>
      </w:r>
    </w:p>
    <w:p>
      <w:pPr>
        <w:spacing w:after="0" w:line="124"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We may be involved in legal proceedings and commercial or contractual disputes that, from time to time, are significant. These are typically claims that arise in the normal course of business including, without limitation, commercial or contractual disputes, including warranty claims and other disputes with potential customers, suppliers, and collaboration partners, intellectual property matters, personal injury claims, environmental issues, tax matters and employment matters. See “</w:t>
      </w:r>
      <w:r>
        <w:rPr>
          <w:rFonts w:ascii="Times New Roman" w:cs="Times New Roman" w:eastAsia="Times New Roman" w:hAnsi="Times New Roman"/>
          <w:sz w:val="14"/>
          <w:szCs w:val="14"/>
          <w:i w:val="1"/>
          <w:iCs w:val="1"/>
          <w:color w:val="auto"/>
        </w:rPr>
        <w:t>Information about Factorial Energy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760" w:right="859" w:firstLine="249"/>
        <w:spacing w:after="0" w:line="283" w:lineRule="auto"/>
        <w:rPr>
          <w:sz w:val="20"/>
          <w:szCs w:val="20"/>
          <w:color w:val="auto"/>
        </w:rPr>
      </w:pPr>
      <w:r>
        <w:rPr>
          <w:rFonts w:ascii="Times New Roman" w:cs="Times New Roman" w:eastAsia="Times New Roman" w:hAnsi="Times New Roman"/>
          <w:sz w:val="13"/>
          <w:szCs w:val="13"/>
          <w:color w:val="auto"/>
        </w:rPr>
        <w:t>Furthermore, Factorial Energy became a public company through the consummation of the Business Combination. Newly public companies following the completion of business combinations with special purpose acquisition companies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26" w:lineRule="exact"/>
        <w:rPr>
          <w:sz w:val="20"/>
          <w:szCs w:val="20"/>
          <w:color w:val="auto"/>
        </w:rPr>
      </w:pPr>
    </w:p>
    <w:p>
      <w:pPr>
        <w:ind w:left="760" w:right="1179" w:firstLine="249"/>
        <w:spacing w:after="0" w:line="278" w:lineRule="auto"/>
        <w:rPr>
          <w:sz w:val="20"/>
          <w:szCs w:val="20"/>
          <w:color w:val="auto"/>
        </w:rPr>
      </w:pPr>
      <w:r>
        <w:rPr>
          <w:rFonts w:ascii="Times New Roman" w:cs="Times New Roman" w:eastAsia="Times New Roman" w:hAnsi="Times New Roman"/>
          <w:sz w:val="14"/>
          <w:szCs w:val="14"/>
          <w:color w:val="auto"/>
        </w:rPr>
        <w:t>It is difficult to predict the outcome or ultimate financial exposure, if any, represented by these matters, and there can be no assurance that any such exposure will not be material. Such claims may also negatively affect our reputation.</w:t>
      </w:r>
    </w:p>
    <w:p>
      <w:pPr>
        <w:spacing w:after="0" w:line="124" w:lineRule="exact"/>
        <w:rPr>
          <w:sz w:val="20"/>
          <w:szCs w:val="20"/>
          <w:color w:val="auto"/>
        </w:rPr>
      </w:pPr>
    </w:p>
    <w:p>
      <w:pPr>
        <w:ind w:left="760" w:right="1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believe that our technology enables a variety of business models, including but not limited to sole manufacturing, joint ventures, and licensing, each of which may involve certain risks and tradeoffs.</w:t>
      </w:r>
    </w:p>
    <w:p>
      <w:pPr>
        <w:spacing w:after="0" w:line="124"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We believe that our technology enables a variety of business models and presents opportunities with a variety of potential customers, such as OEMs, cell makers, end-users, and licensees, as applicable. We may operate our own manufacturing facilities, enter into joint venture arrangements, or license technology to other manufacturers, among other approaches, each with potential risks and tradeoffs.</w:t>
      </w:r>
    </w:p>
    <w:p>
      <w:pPr>
        <w:spacing w:after="0" w:line="142"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Operating wholly-owned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attractive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spacing w:after="0" w:line="146"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spacing w:after="0" w:line="145"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Under a licensing model,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which could adversely affect our profitability and growth.</w:t>
      </w:r>
    </w:p>
    <w:p>
      <w:pPr>
        <w:spacing w:after="0" w:line="145" w:lineRule="exact"/>
        <w:rPr>
          <w:sz w:val="20"/>
          <w:szCs w:val="20"/>
          <w:color w:val="auto"/>
        </w:rPr>
      </w:pPr>
    </w:p>
    <w:p>
      <w:pPr>
        <w:ind w:left="760" w:right="1039" w:firstLine="249"/>
        <w:spacing w:after="0" w:line="318" w:lineRule="auto"/>
        <w:rPr>
          <w:sz w:val="20"/>
          <w:szCs w:val="20"/>
          <w:color w:val="auto"/>
        </w:rPr>
      </w:pPr>
      <w:r>
        <w:rPr>
          <w:rFonts w:ascii="Times New Roman" w:cs="Times New Roman" w:eastAsia="Times New Roman" w:hAnsi="Times New Roman"/>
          <w:sz w:val="13"/>
          <w:szCs w:val="13"/>
          <w:color w:val="auto"/>
        </w:rPr>
        <w:t>Aside from the business models described above, if we pursue other types of arrangements or business models, we potentially face other risks and tradeoffs that could have a materially adverse effect on our business, profitability,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551" w:right="1440"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12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Changes in U.S. and foreign tax laws could have a material adverse effect on our business, financial condition or results of operations.</w:t>
      </w:r>
    </w:p>
    <w:p>
      <w:pPr>
        <w:spacing w:after="0" w:line="124"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We (as well as certain of our subsidiaries) are subject to federal, state and local taxes in the United States and are also subject to tax in certain foreign jurisdictions. Changes to U.S. tax laws, including limitations on the ability of taxpayers to claim and utilize foreign tax credits and the deferral of certain tax deductions until earnings outside of the United States are repatriated to the United States, as well as changes to U.S. federal income tax laws, such as the IRA, and others that may be enacted in the future (the uncertainty of all of which is heightened by recent changes in governmental administration in the United States), could impact the tax treatment of our foreign earnings. Due to our international business activities, any changes in the taxation of such activities may increase our worldwide effective tax rate and adversely affect our financial position and results of operations.</w:t>
      </w:r>
    </w:p>
    <w:p>
      <w:pPr>
        <w:spacing w:after="0" w:line="146"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if our earnings are lower than anticipated in jurisdictions where we have lower statutory rates and higher than anticipated in jurisdictions that have higher statutory rates, by changes in foreign currency exchange rates, or by changes in the valuation of its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results of operations or cash flows in the period or periods for which a determination is made.</w:t>
      </w:r>
    </w:p>
    <w:p>
      <w:pPr>
        <w:spacing w:after="0" w:line="145" w:lineRule="exact"/>
        <w:rPr>
          <w:sz w:val="20"/>
          <w:szCs w:val="20"/>
          <w:color w:val="auto"/>
        </w:rPr>
      </w:pPr>
    </w:p>
    <w:p>
      <w:pPr>
        <w:ind w:left="760" w:right="799" w:firstLine="249"/>
        <w:spacing w:after="0" w:line="283" w:lineRule="auto"/>
        <w:rPr>
          <w:sz w:val="20"/>
          <w:szCs w:val="20"/>
          <w:color w:val="auto"/>
        </w:rPr>
      </w:pPr>
      <w:r>
        <w:rPr>
          <w:rFonts w:ascii="Times New Roman" w:cs="Times New Roman" w:eastAsia="Times New Roman" w:hAnsi="Times New Roman"/>
          <w:sz w:val="13"/>
          <w:szCs w:val="13"/>
          <w:color w:val="auto"/>
        </w:rPr>
        <w:t>Additionally, changes in corporate tax rates, the realization of net deferred tax assets relating to our operations, the taxation of foreign earnings, and the deductibility of expenses under future tax reform legislation could have a material impact on the value of our deferred tax assets, could result in significant one- time charges in the current or future taxable years, and could increase our future tax expense, which could have a material adverse effect on our business, financial condition, results of operations, and prospects.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related to the use of artificial intelligence by us, our suppliers, partners and competitors.</w:t>
      </w:r>
    </w:p>
    <w:p>
      <w:pPr>
        <w:spacing w:after="0" w:line="173" w:lineRule="exact"/>
        <w:rPr>
          <w:sz w:val="20"/>
          <w:szCs w:val="20"/>
          <w:color w:val="auto"/>
        </w:rPr>
      </w:pPr>
    </w:p>
    <w:p>
      <w:pPr>
        <w:ind w:left="760" w:right="779" w:firstLine="249"/>
        <w:spacing w:after="0" w:line="271" w:lineRule="auto"/>
        <w:rPr>
          <w:sz w:val="20"/>
          <w:szCs w:val="20"/>
          <w:color w:val="auto"/>
        </w:rPr>
      </w:pPr>
      <w:r>
        <w:rPr>
          <w:rFonts w:ascii="Times New Roman" w:cs="Times New Roman" w:eastAsia="Times New Roman" w:hAnsi="Times New Roman"/>
          <w:sz w:val="13"/>
          <w:szCs w:val="13"/>
          <w:color w:val="auto"/>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misappropriation or other violations of others’ intellectual property rights, and may give rise to legal liability and materially harm our business. Our competitors may also be more successful in their artificial intelligence strategy and develop competitive products with the aid of artificial intelligence technology. As a result, any issues arising from the development and use of artificial intelligence by us or our suppliers, partners or competitors, combined with an evolving and uncertain regulatory environment, may result in reputational harm, liability, or other adverse consequences to our business operations.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foreign currency risks.</w:t>
      </w:r>
    </w:p>
    <w:p>
      <w:pPr>
        <w:spacing w:after="0" w:line="173" w:lineRule="exact"/>
        <w:rPr>
          <w:sz w:val="20"/>
          <w:szCs w:val="20"/>
          <w:color w:val="auto"/>
        </w:rPr>
      </w:pPr>
    </w:p>
    <w:p>
      <w:pPr>
        <w:ind w:left="760" w:right="799" w:firstLine="249"/>
        <w:spacing w:after="0" w:line="274" w:lineRule="auto"/>
        <w:rPr>
          <w:sz w:val="20"/>
          <w:szCs w:val="20"/>
          <w:color w:val="auto"/>
        </w:rPr>
      </w:pPr>
      <w:r>
        <w:rPr>
          <w:rFonts w:ascii="Times New Roman" w:cs="Times New Roman" w:eastAsia="Times New Roman" w:hAnsi="Times New Roman"/>
          <w:sz w:val="13"/>
          <w:szCs w:val="13"/>
          <w:color w:val="auto"/>
        </w:rPr>
        <w:t>We operate internationally and are exposed to risks associated with fluctuations in foreign exchange rates, particularly with regards to the South Korean Won (KRW). As the U.S. Dollar (USD) serves as our functional currency, fluctuations in the KRW exchange rate relative to the USD could significantly impact our financial results. This risk arises primarily from the operations and cash flows generated by our South Korean subsidiary, where we operate a significant production and research and development facility. Any adverse movements in exchange rates between the KRW and USD could negatively affect our expenses, and future profitability, as well as lead to potential volatility in our reported financial results. Additionally, sustained changes in exchange rates could impact the value of our assets and liabilities denominated in KRW, further increasing our financial exposure to currency risk. As of December 31, 2025, we have not entered into any hedging transactions in an effort to reduce exposure to foreign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551" w:right="1440"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7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Evolving scrutiny and changing expectations from global regulators and our stakeholders regarding our environmental, social and governance (ESG) practices and value proposition could adversely affect our business, brand and reputation.</w:t>
      </w:r>
    </w:p>
    <w:p>
      <w:pPr>
        <w:spacing w:after="0" w:line="124"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There is evolving focus, including from global regulators and stakeholders such as our investors, customers and partners, on ESG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manufacturing operations. It is also possible that requirements or guidance in one jurisdiction, such as the United States, may contradict or diverge from requirements or guidance in other jurisdictions, such as the European Union. Agreements with customers and partners may include obligations related to sustainability targets. There can be no certainty that we will manage such matters successfully, or that we will successfully meet the (at times contradictory) expectations of stakeholders as to our proper role with respect to ESG matters. Any failure or perceived failure to timely manage, respond, or meet ESG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may be negatively impacted by epidemics, pandemics, and other outbreaks.</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We face various risks related to epidemics, pandemics, and other outbreaks. For example, the COVID-19 pandemic resulted in changes in consumer and business behavior, a severe market downturn, and restrictions on business and individual activities, as well as in significant volatility in the global economy and reduced economic activity. The spread of COVID-19 also impacted our potential customers, our suppliers and collaboration partners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spacing w:after="0" w:line="144"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manufacturing plans, supply chain, sales and marketing activities, business and results of operations.</w:t>
      </w:r>
    </w:p>
    <w:p>
      <w:pPr>
        <w:spacing w:after="0" w:line="142"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spacing w:after="0" w:line="145" w:lineRule="exact"/>
        <w:rPr>
          <w:sz w:val="20"/>
          <w:szCs w:val="20"/>
          <w:color w:val="auto"/>
        </w:rPr>
      </w:pPr>
    </w:p>
    <w:p>
      <w:pPr>
        <w:ind w:left="760" w:right="9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facilities or operations could be damaged or adversely affected by natural disasters and other catastrophic events outside of our control.</w:t>
      </w:r>
    </w:p>
    <w:p>
      <w:pPr>
        <w:spacing w:after="0" w:line="124"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Our facilities or operations could be adversely affected by events outside of our control, such as natural disasters, wars, epidemics, pandemics,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551" w:right="1440"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11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Any economic, financial or banking crisis, or perceived threat of such a crisis, including a significant decrease in consumer confidence, may materially and adversely affect our business, financial condition and results of operations.</w:t>
      </w:r>
    </w:p>
    <w:p>
      <w:pPr>
        <w:spacing w:after="0" w:line="124"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Inflation and increased interest rates may adversely affect our financial condition and results of operations.</w:t>
      </w:r>
    </w:p>
    <w:p>
      <w:pPr>
        <w:spacing w:after="0" w:line="173"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how long higher levels of inflation may persist, and to what level these increased costs will affect commercialization of our product. If we are not able to fully offset higher costs through price increases or other corrective measures, this may adversely affect our business, financial condition and results of operations.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by any disruptions caused by union activities and/or works council obligations.</w:t>
      </w:r>
    </w:p>
    <w:p>
      <w:pPr>
        <w:spacing w:after="0" w:line="173" w:lineRule="exact"/>
        <w:rPr>
          <w:sz w:val="20"/>
          <w:szCs w:val="20"/>
          <w:color w:val="auto"/>
        </w:rPr>
      </w:pPr>
    </w:p>
    <w:p>
      <w:pPr>
        <w:ind w:left="760" w:right="1039" w:firstLine="249"/>
        <w:spacing w:after="0" w:line="279" w:lineRule="auto"/>
        <w:rPr>
          <w:sz w:val="20"/>
          <w:szCs w:val="20"/>
          <w:color w:val="auto"/>
        </w:rPr>
      </w:pPr>
      <w:r>
        <w:rPr>
          <w:rFonts w:ascii="Times New Roman" w:cs="Times New Roman" w:eastAsia="Times New Roman" w:hAnsi="Times New Roman"/>
          <w:sz w:val="13"/>
          <w:szCs w:val="13"/>
          <w:color w:val="auto"/>
        </w:rPr>
        <w:t>It is not uncommon for employees of certain trades at companies such as ours to belong to a union, which can result in higher employee costs and increased risk of work stoppages. Moreover, regulations in some jurisdictions outside of the U.S. mandate employee participation in industrial collective bargaining agreements, work councils, and/or other employee representative bodies with certain consultation rights with respect to company operations. In South Korea, for example, mandatory labor management councils and employee consultation requirements could limit our flexibility and increase administrative obligations.</w:t>
      </w:r>
    </w:p>
    <w:p>
      <w:pPr>
        <w:spacing w:after="0" w:line="128" w:lineRule="exact"/>
        <w:rPr>
          <w:sz w:val="20"/>
          <w:szCs w:val="20"/>
          <w:color w:val="auto"/>
        </w:rPr>
      </w:pPr>
    </w:p>
    <w:p>
      <w:pPr>
        <w:ind w:left="760" w:right="819" w:firstLine="249"/>
        <w:spacing w:after="0" w:line="274" w:lineRule="auto"/>
        <w:rPr>
          <w:sz w:val="20"/>
          <w:szCs w:val="20"/>
          <w:color w:val="auto"/>
        </w:rPr>
      </w:pPr>
      <w:r>
        <w:rPr>
          <w:rFonts w:ascii="Times New Roman" w:cs="Times New Roman" w:eastAsia="Times New Roman" w:hAnsi="Times New Roman"/>
          <w:sz w:val="13"/>
          <w:szCs w:val="13"/>
          <w:color w:val="auto"/>
        </w:rPr>
        <w:t>Although we work diligently to provide the best possible work environment for our employees, they may still decide to join or seek recognition to form a labor union, or we may be required to become a union signatory. From time to time, labor unions may engage in campaigns to organize certain of our operations, as part of which such unions may file unfair labor practice charges against us with the National Labor Relations Board and/or other governmental agencies. Any unfavorable outcome of such proceedings may have a negative impact on the perception of our treatment of our employees. Furthermore, any successful union organization efforts may decrease our operational flexibility and disrupt our normal operations, which could adversely affect our business. Additionally, we may from time to time directly or indirectly depend upon companies with unionized work forces, and any work stoppages or strikes organized by such unions could delay the manufacture and sale of our products and/or harm our business and operating results.</w:t>
      </w:r>
    </w:p>
    <w:p>
      <w:pPr>
        <w:spacing w:after="0" w:line="129" w:lineRule="exact"/>
        <w:rPr>
          <w:sz w:val="20"/>
          <w:szCs w:val="20"/>
          <w:color w:val="auto"/>
        </w:rPr>
      </w:pPr>
    </w:p>
    <w:p>
      <w:pPr>
        <w:ind w:left="760" w:right="9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spacing w:after="0" w:line="136" w:lineRule="exact"/>
        <w:rPr>
          <w:sz w:val="20"/>
          <w:szCs w:val="20"/>
          <w:color w:val="auto"/>
        </w:rPr>
      </w:pPr>
    </w:p>
    <w:p>
      <w:pPr>
        <w:ind w:left="760" w:right="819" w:firstLine="249"/>
        <w:spacing w:after="0" w:line="272" w:lineRule="auto"/>
        <w:rPr>
          <w:sz w:val="20"/>
          <w:szCs w:val="20"/>
          <w:color w:val="auto"/>
        </w:rPr>
      </w:pPr>
      <w:r>
        <w:rPr>
          <w:rFonts w:ascii="Times New Roman" w:cs="Times New Roman" w:eastAsia="Times New Roman" w:hAnsi="Times New Roman"/>
          <w:sz w:val="13"/>
          <w:szCs w:val="13"/>
          <w:color w:val="auto"/>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manufacturing of our batteries, and the data we maintain, including our intellectual property and other confidential or proprietary information,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551" w:right="1440"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39"/>
        <w:spacing w:after="0" w:line="255" w:lineRule="auto"/>
        <w:rPr>
          <w:sz w:val="20"/>
          <w:szCs w:val="20"/>
          <w:color w:val="auto"/>
        </w:rPr>
      </w:pPr>
      <w:r>
        <w:rPr>
          <w:rFonts w:ascii="Times New Roman" w:cs="Times New Roman" w:eastAsia="Times New Roman" w:hAnsi="Times New Roman"/>
          <w:sz w:val="14"/>
          <w:szCs w:val="14"/>
          <w:color w:val="auto"/>
        </w:rPr>
        <w:t>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partners and customers face.</w:t>
      </w:r>
    </w:p>
    <w:p>
      <w:pPr>
        <w:spacing w:after="0" w:line="142" w:lineRule="exact"/>
        <w:rPr>
          <w:sz w:val="20"/>
          <w:szCs w:val="20"/>
          <w:color w:val="auto"/>
        </w:rPr>
      </w:pPr>
    </w:p>
    <w:p>
      <w:pPr>
        <w:ind w:left="760" w:right="779" w:firstLine="249"/>
        <w:spacing w:after="0" w:line="270" w:lineRule="auto"/>
        <w:rPr>
          <w:sz w:val="20"/>
          <w:szCs w:val="20"/>
          <w:color w:val="auto"/>
        </w:rPr>
      </w:pPr>
      <w:r>
        <w:rPr>
          <w:rFonts w:ascii="Times New Roman" w:cs="Times New Roman" w:eastAsia="Times New Roman" w:hAnsi="Times New Roman"/>
          <w:sz w:val="13"/>
          <w:szCs w:val="13"/>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 technical issues, including intentional or inadvertent acts or omissions by employees, service providers, suppliers, customers, partners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partners, and customers could result in lengthy interruptions in our service and may adversely affect our business, prospects, financial condition and results of operations.</w:t>
      </w:r>
    </w:p>
    <w:p>
      <w:pPr>
        <w:spacing w:after="0" w:line="307"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Such cyberattacks could disrupt the economy more generally and could also impact our operations either directly or indirectly.</w:t>
      </w:r>
    </w:p>
    <w:p>
      <w:pPr>
        <w:spacing w:after="0" w:line="146" w:lineRule="exact"/>
        <w:rPr>
          <w:sz w:val="20"/>
          <w:szCs w:val="20"/>
          <w:color w:val="auto"/>
        </w:rPr>
      </w:pPr>
    </w:p>
    <w:p>
      <w:pPr>
        <w:ind w:left="760" w:right="799" w:firstLine="249"/>
        <w:spacing w:after="0" w:line="271" w:lineRule="auto"/>
        <w:rPr>
          <w:sz w:val="20"/>
          <w:szCs w:val="20"/>
          <w:color w:val="auto"/>
        </w:rPr>
      </w:pPr>
      <w:r>
        <w:rPr>
          <w:rFonts w:ascii="Times New Roman" w:cs="Times New Roman" w:eastAsia="Times New Roman" w:hAnsi="Times New Roman"/>
          <w:sz w:val="13"/>
          <w:szCs w:val="13"/>
          <w:color w:val="auto"/>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w:t>
      </w:r>
    </w:p>
    <w:p>
      <w:pPr>
        <w:spacing w:after="0" w:line="301" w:lineRule="exact"/>
        <w:rPr>
          <w:sz w:val="20"/>
          <w:szCs w:val="20"/>
          <w:color w:val="auto"/>
        </w:rPr>
      </w:pPr>
    </w:p>
    <w:p>
      <w:pPr>
        <w:ind w:left="760" w:right="879" w:firstLine="249"/>
        <w:spacing w:after="0" w:line="250" w:lineRule="auto"/>
        <w:rPr>
          <w:sz w:val="20"/>
          <w:szCs w:val="20"/>
          <w:color w:val="auto"/>
        </w:rPr>
      </w:pPr>
      <w:r>
        <w:rPr>
          <w:rFonts w:ascii="Times New Roman" w:cs="Times New Roman" w:eastAsia="Times New Roman" w:hAnsi="Times New Roman"/>
          <w:sz w:val="14"/>
          <w:szCs w:val="14"/>
          <w:color w:val="auto"/>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551" w:right="1440"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In addition, if any issues concerning the IT systems result in, or contribute to, a delay in our timely reporting of our results of operations for any period or our not filing one or more periodic reports with the SEC on time, the price of our Series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Operating as a Public Company</w:t>
      </w:r>
    </w:p>
    <w:p>
      <w:pPr>
        <w:spacing w:after="0" w:line="171" w:lineRule="exact"/>
        <w:rPr>
          <w:sz w:val="20"/>
          <w:szCs w:val="20"/>
          <w:color w:val="auto"/>
        </w:rPr>
      </w:pPr>
    </w:p>
    <w:p>
      <w:pPr>
        <w:ind w:left="760" w:right="11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There may not be an active trading market for Factorial Energy Common Stock, which may make it difficult to sell shares of Factorial Energy Common Stock.</w:t>
      </w:r>
    </w:p>
    <w:p>
      <w:pPr>
        <w:spacing w:after="0" w:line="124"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An active trading market for Factorial Energy Common Stock may not develop or be sustained. If an active trading market for Factorial Energy Common Stock does not develop or is not sustained, you may not be able to sell your shares at an attractive price or at all. Furthermore, an inactive market may also impair Factorial Energy’s ability to raise capital by selling shares of Factorial Energy Common Stock in the future, and may impair Factorial Energy’s ability to enter into strategic collaborations or acquire companies or products by using shares of Factorial Energy’s common stock as consideration.</w:t>
      </w:r>
    </w:p>
    <w:p>
      <w:pPr>
        <w:spacing w:after="0" w:line="140" w:lineRule="exact"/>
        <w:rPr>
          <w:sz w:val="20"/>
          <w:szCs w:val="20"/>
          <w:color w:val="auto"/>
        </w:rPr>
      </w:pPr>
    </w:p>
    <w:p>
      <w:pPr>
        <w:ind w:left="760" w:right="11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p>
      <w:pPr>
        <w:spacing w:after="0" w:line="136" w:lineRule="exact"/>
        <w:rPr>
          <w:sz w:val="20"/>
          <w:szCs w:val="20"/>
          <w:color w:val="auto"/>
        </w:rPr>
      </w:pPr>
    </w:p>
    <w:p>
      <w:pPr>
        <w:ind w:left="760" w:right="799" w:firstLine="249"/>
        <w:spacing w:after="0" w:line="269" w:lineRule="auto"/>
        <w:rPr>
          <w:sz w:val="20"/>
          <w:szCs w:val="20"/>
          <w:color w:val="auto"/>
        </w:rPr>
      </w:pPr>
      <w:r>
        <w:rPr>
          <w:rFonts w:ascii="Times New Roman" w:cs="Times New Roman" w:eastAsia="Times New Roman" w:hAnsi="Times New Roman"/>
          <w:sz w:val="13"/>
          <w:szCs w:val="13"/>
          <w:color w:val="auto"/>
        </w:rPr>
        <w:t>The sale or issuance of Factorial Energy’s securities in the public market, or the perception that such sales or issuances could occur, including through the conversion of the Series B Common Stock into Series A Common Stock or any additional issuances of the Series B Common Stock, could harm the prevailing market price of Factorial Energy’s securities and cause dilution to Factorial Energy’s stockholders. These sales, issuances or conversions, or the possibility that these sales, issuances or conversions may occur, also might make it more difficult for Factorial Energy to sell equity securities in the future at a time and at a price that Factorial Energy deems appropriate. Pursuant to the Factorial Energy Bylaws, the Sponsor and certain Factorial Energy stockholders are prohibited from transferring (except for certain permitted transfers) Lock-Up Shares held by such holder (including any shares of Series A Common Stock issued upon conversion of Series B Common Stock) beginning on the Closing Date and ending (i) with respect to 25% of the Lock-Up Shares, on the date 180 days after the Closing Date, (ii) with respect to 25% of the Lock-Up Shares, on the date 270 days after the Closing Date and (iii) with respect to 50% of the Lock-Up Shares, on the first anniversary of the Closing Date; provided, however, that early release of the Lock-Up Shares is permitted upon achievement of specified share price thresholds, as measured by the 20-day volume-weighted average price (“VWAP”). One-third of the remaining Lock-Up Shares will be released if the VWAP reaches $12.00 per share, an additional one-third will be released if the VWAP reaches $14.00 per share and the final one-third will be released upon the VWAP reaching $16.00 per share. An aggregate of approximately 121,936,243 Lock-Up Shares are subject to such transfer restrictions and approximately 274,500 shares issued to the Factorial Energy stockholders are not subject to such transfer restrictions, representing approximately 92% and 0.2%, respectively, of the total issued and outstanding shares of Series A Common Stock following the Business Combination (and shares issuable upon exercise of Options and RSUs), assuming the Maximum Redemptions Scenario, and that an aggregate of approximately $100 million of PIPE Investments were funded at the Closing (inclusive of the proceeds from the trust account resulting from NRA Shares acquired by PIPE Investors to satisfy their obligations under the applicable Investor Stock Purchase Agreement). The sale of the Lock-Up Shares upon release, or the possibility that these sales may occur, could have an adverse effect on the market price of the Series A Common Stock.</w:t>
      </w:r>
    </w:p>
    <w:p>
      <w:pPr>
        <w:spacing w:after="0" w:line="306" w:lineRule="exact"/>
        <w:rPr>
          <w:sz w:val="20"/>
          <w:szCs w:val="20"/>
          <w:color w:val="auto"/>
        </w:rPr>
      </w:pPr>
    </w:p>
    <w:p>
      <w:pPr>
        <w:ind w:left="760" w:right="799" w:firstLine="249"/>
        <w:spacing w:after="0" w:line="274" w:lineRule="auto"/>
        <w:rPr>
          <w:sz w:val="20"/>
          <w:szCs w:val="20"/>
          <w:color w:val="auto"/>
        </w:rPr>
      </w:pPr>
      <w:r>
        <w:rPr>
          <w:rFonts w:ascii="Times New Roman" w:cs="Times New Roman" w:eastAsia="Times New Roman" w:hAnsi="Times New Roman"/>
          <w:sz w:val="13"/>
          <w:szCs w:val="13"/>
          <w:color w:val="auto"/>
        </w:rPr>
        <w:t>Shares of Factorial Energy Common Stock reserved for future issuance under its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the Factorial Energy Board may determine the exact number of shares to be reserved for future issuance under Factorial Energy’s equity incentive plans at its discretion. Factorial Energy has filed, and expects to continue to file, registration statements on Form S-8 under the Securities Act to register 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551" w:right="1440"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In the future, Factorial Energy may also issue its securities in connection with investments or acquisitions. The number of shares of Factorial Energy’s common stock issued in connection with an investment or acquisition could constitute a material portion of Factorial Energy’s then-outstanding shares of common stock. Any issuance of additional securities in connection with investments or acquisitions may result in additional dilution to Factorial Energy’s stockholders.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Factorial Energy Common Stock may be volatile, and investors could lose all or part of their investment.</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trading price of Factorial Energy Common Stock has been, and is likely to continue to be, highly volatile and subject to wide fluctuations in response to various factors, many of which Factorial Energy cannot control. The stock market in general, and emerging technology companies in particular, have experienced extreme price and volume fluctuations that have often been unrelated or disproportionate to the operating performance of these companies.</w:t>
      </w:r>
    </w:p>
    <w:p>
      <w:pPr>
        <w:spacing w:after="0" w:line="142"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Broad market and industry factors may negatively affect the market price of Factorial Energy’s common stock, regardless of its actual operating performance. In addition to the factors discussed in this “Risk Factors” section and elsewhere in this prospectus, these factors include, without limitation:</w:t>
      </w:r>
    </w:p>
    <w:p>
      <w:pPr>
        <w:spacing w:after="0" w:line="138" w:lineRule="exact"/>
        <w:rPr>
          <w:sz w:val="20"/>
          <w:szCs w:val="20"/>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success of competitive products or announcements by potential competitors of their product development efforts;</w:t>
      </w:r>
    </w:p>
    <w:p>
      <w:pPr>
        <w:spacing w:after="0" w:line="171" w:lineRule="exact"/>
        <w:rPr>
          <w:rFonts w:ascii="Times New Roman" w:cs="Times New Roman" w:eastAsia="Times New Roman" w:hAnsi="Times New Roman"/>
          <w:sz w:val="14"/>
          <w:szCs w:val="14"/>
          <w:color w:val="auto"/>
        </w:rPr>
      </w:pPr>
    </w:p>
    <w:p>
      <w:pPr>
        <w:ind w:left="1280" w:right="1279" w:hanging="246"/>
        <w:spacing w:after="0" w:line="278" w:lineRule="auto"/>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regulatory actions with respect to Factorial Energy’s products or Factorial Energy’s competitors’ products or product candidates;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actual or anticipated changes in Factorial Energy’s growth rate relative to its competitors;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regulatory or legal developments in the United States and other countries;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developments or disputes concerning Factorial Energy’s patent applications, issued patents, or other proprietary rights;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recruitment or departure of key personnel;</w:t>
      </w:r>
    </w:p>
    <w:p>
      <w:pPr>
        <w:spacing w:after="0" w:line="171" w:lineRule="exact"/>
        <w:rPr>
          <w:rFonts w:ascii="Times New Roman" w:cs="Times New Roman" w:eastAsia="Times New Roman" w:hAnsi="Times New Roman"/>
          <w:sz w:val="14"/>
          <w:szCs w:val="14"/>
          <w:color w:val="auto"/>
        </w:rPr>
      </w:pPr>
    </w:p>
    <w:p>
      <w:pPr>
        <w:ind w:left="1280" w:right="1059" w:hanging="246"/>
        <w:spacing w:after="0" w:line="278" w:lineRule="auto"/>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announcements by Factorial Energy or its competitors of significant acquisitions, strategic collaborations, joint ventures, collaborations or capital commitments;</w:t>
      </w:r>
    </w:p>
    <w:p>
      <w:pPr>
        <w:spacing w:after="0" w:line="125" w:lineRule="exact"/>
        <w:rPr>
          <w:rFonts w:ascii="Times New Roman" w:cs="Times New Roman" w:eastAsia="Times New Roman" w:hAnsi="Times New Roman"/>
          <w:sz w:val="14"/>
          <w:szCs w:val="14"/>
          <w:color w:val="auto"/>
        </w:rPr>
      </w:pPr>
    </w:p>
    <w:p>
      <w:pPr>
        <w:ind w:left="1280" w:right="999" w:hanging="246"/>
        <w:spacing w:after="0" w:line="278" w:lineRule="auto"/>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actual or anticipated changes in estimates as to financial results, development timelines or recommendations by securities analysts;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fluctuations in the valuation of companies perceived by investors to be comparable to Factorial Energy;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market conditions in the EV or battery sectors;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share price and volume fluctuations attributable to inconsistent trading volume levels of Factorial Energy Common Stock;</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announcement or expectation of additional financing efforts;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sales of Series A Common Stock and Series B Common Stock by Factorial Energy, its insiders or its other stockholders;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expiration of market stand-off or lock-up agreements;</w:t>
      </w:r>
    </w:p>
    <w:p>
      <w:pPr>
        <w:spacing w:after="0" w:line="171" w:lineRule="exact"/>
        <w:rPr>
          <w:rFonts w:ascii="Times New Roman" w:cs="Times New Roman" w:eastAsia="Times New Roman" w:hAnsi="Times New Roman"/>
          <w:sz w:val="14"/>
          <w:szCs w:val="14"/>
          <w:color w:val="auto"/>
        </w:rPr>
      </w:pPr>
    </w:p>
    <w:p>
      <w:pPr>
        <w:ind w:left="1280" w:right="1039" w:hanging="246"/>
        <w:spacing w:after="0" w:line="278" w:lineRule="auto"/>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impact of any public health emergencies, natural disasters, or geopolitical events, including civil or political unrest or military conflicts; and</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general economic, political, industry and market conditions.</w:t>
      </w:r>
    </w:p>
    <w:p>
      <w:pPr>
        <w:spacing w:after="0" w:line="171"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“Risk Factors” section, could have a dramatic and adverse impact on the market price of Factorial Energy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551" w:right="1440"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Factorial Energy’s management has limited experience in operating a public company.</w:t>
      </w:r>
    </w:p>
    <w:p>
      <w:pPr>
        <w:spacing w:after="0" w:line="173"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Some of Factorial Energy’s executive officers have limited experience in the management of a publicly traded company. As a public company, Factorial Energy is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Factorial Energy. Additionally, Factorial Energy may not have adequate personnel with the appropriate level of knowledge, experience, and training in the accounting policies, practices or internal controls over financial reporting required of public companies in the United States.</w:t>
      </w:r>
    </w:p>
    <w:p>
      <w:pPr>
        <w:spacing w:after="0" w:line="144" w:lineRule="exact"/>
        <w:rPr>
          <w:sz w:val="20"/>
          <w:szCs w:val="20"/>
          <w:color w:val="auto"/>
        </w:rPr>
      </w:pPr>
    </w:p>
    <w:p>
      <w:pPr>
        <w:ind w:left="760" w:right="8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Factorial Energy incurs significant expenses and administrative burdens as a public company, which could have an adverse effect on Factorial Energy’s business, financial condition, and results of operations.</w:t>
      </w:r>
    </w:p>
    <w:p>
      <w:pPr>
        <w:spacing w:after="0" w:line="124"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As a public company, Factorial Energy incurs significant legal, accounting and other expenses. Factorial Energy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Factorial Energy has hired, and continues to hire, additional accounting, finance, and other personnel in connection with being a public company. Factorial Energy’s management and other personnel devote a substantial amount of time to these compliance initiatives and Factorial Energy cannot accurately predict or estimate the amount or timing of additional costs it may incur to respond to these requirements.</w:t>
      </w:r>
    </w:p>
    <w:p>
      <w:pPr>
        <w:spacing w:after="0" w:line="147" w:lineRule="exact"/>
        <w:rPr>
          <w:sz w:val="20"/>
          <w:szCs w:val="20"/>
          <w:color w:val="auto"/>
        </w:rPr>
      </w:pPr>
    </w:p>
    <w:p>
      <w:pPr>
        <w:ind w:left="760" w:right="799" w:firstLine="249"/>
        <w:spacing w:after="0" w:line="292" w:lineRule="auto"/>
        <w:rPr>
          <w:sz w:val="20"/>
          <w:szCs w:val="20"/>
          <w:color w:val="auto"/>
        </w:rPr>
      </w:pPr>
      <w:r>
        <w:rPr>
          <w:rFonts w:ascii="Times New Roman" w:cs="Times New Roman" w:eastAsia="Times New Roman" w:hAnsi="Times New Roman"/>
          <w:sz w:val="13"/>
          <w:szCs w:val="13"/>
          <w:color w:val="auto"/>
        </w:rPr>
        <w:t>In addition, as a public company, Factorial Energy is required to incur additional costs and obligations in order to comply with SEC rules that implement Section 404 of the Sarbanes-Oxley Act. Under these rules, Factorial Energy is required to maintain effective disclosure and financial controls and to make a formal assessment of the effectiveness of its internal control over financial reporting.</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Legacy Factorial is required to develop and maintain proper and effective internal control over financial reporting.</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 xml:space="preserve">As a private company, Legacy Factorial was not required to perform an evaluation of internal control over financial reporting as of December 31, 2025 in accordance with the provisions of the Sarbanes-Oxley Act of 2002. Nevertheless, Legacy Factorial identified a material weakness, as described above. This material weakness remains with Factorial Energy. Had such an evaluation been performed, control deficiencies may have been identified by Factorial Energy’s management, and those control deficiencies could have represented one or more additional material weaknesses. See “- </w:t>
      </w:r>
      <w:r>
        <w:rPr>
          <w:rFonts w:ascii="Times New Roman" w:cs="Times New Roman" w:eastAsia="Times New Roman" w:hAnsi="Times New Roman"/>
          <w:sz w:val="14"/>
          <w:szCs w:val="14"/>
          <w:i w:val="1"/>
          <w:iCs w:val="1"/>
          <w:color w:val="auto"/>
        </w:rPr>
        <w:t>Risks Related to Factorial  Energy - Risks Related to Our Limited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Operating History - 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As of the date of this prospectus, management began remediation actions in 2026 and expects to complete the remediation actions with respect to the identified material weakness during 2027 and to incur approximately $0.8 million in associated costs. However, the remediation process is ongoing, and we cannot assure that it will be completed within this timeframe or that additional remediation costs will not be incurred. In addition, in connection with its transition to operating as a public company, Factorial Energy has taken, and intends to continue to take, certain steps, such as recruiting additional personnel, in addition to utilizing third-party consultants and specialists, to supplement its internal resources, and to enhance its internal control environment. Factorial Energy cannot assure you that the measures it takes will be sufficient to prevent or avoid potential future material weaknesses.</w:t>
      </w:r>
    </w:p>
    <w:p>
      <w:pPr>
        <w:spacing w:after="0" w:line="146"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If Factorial Energy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Factorial Energy’s investors could lose confidence in Factorial Energy’s reported financial information, the market price of Factorial Energy Common Stock could decline, and Factorial Energy could be subject to sanctions or investigations by Nasdaq, the SEC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551" w:right="1440"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10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Factorial Energy is controlled or substantially influenced by the Legacy Factorial Founders, whose interests may conflict with other stockholders.</w:t>
      </w:r>
    </w:p>
    <w:p>
      <w:pPr>
        <w:spacing w:after="0" w:line="124"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Upon the completion of the Business Combination, the Legacy Factorial Founders owned, collectively, approximately 19.1% of the outstanding Factorial Energy Common Stock. Additionally, as the Legacy Factorial Founders own shares of Series B Common Stock, representing ten votes per share, the Legacy Factorial Founders have, collectively, approximately 62.9% of the total voting power of the outstanding Factorial Energy Common Stock. As a result of this dual-class structure, the Legacy Factorial Founders control Factorial Energy. As long as the Legacy Factorial Founders continue to hold at least 62.7% of the Series B Common Stock, the Legacy Factorial Founders will hold a majority of the total voting power of Factorial Energy Common Stock and, accordingly, may be deemed to control Factorial Energy. Although Factorial Energy does not intend to avail itself of any exemptions for a “controlled company” under Nasdaq rules, for so long as the Legacy Factorial Founders hold a majority of the voting power of the Factorial Energy Common Stock, Factorial Energy qualifies as a “controlled company.” As a “controlled company” under the corporate governance requirements of Nasdaq, Factorial Energy is eligible for exemptions from certain corporate governance requirements, including the requirement that a majority of its board of directors be composed of “independent directors” under Nasdaq rules and that its compensation committee consist entirely of independent directors.</w:t>
      </w:r>
    </w:p>
    <w:p>
      <w:pPr>
        <w:spacing w:after="0" w:line="148"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The Legacy Factorial Founders may have interests different than yours and may make decisions, including with respect to business combinations, financings, issuances of additional equity, restructurings or other transactions, that conflict with your interests. Additionally, the Legacy Factorial Founders’ concentrated control could have the effect of delaying, preventing or deterring a change in control of Factorial Energy, could deprive you of an opportunity to receive a premium for your shares as part of a sale of Factorial Energy and could ultimately affect the market price of Factorial Energy’s securities. For example, because the Legacy Factorial Founders may have purchased their shares at prices substantially below the price at which shares are being sold in this transaction and have held their shares for a longer period, they may be more interested in selling Factorial Energy to an acquirer than other investors or they may want Factorial Energy to pursue strategies that deviate from the interests of other stockholders. This disproportionate voting control is expected to persist for the foreseeable future. So long as the Legacy Factorial Founders continue to hold Series B Common Stock, you will have limited ability to influence corporate matters and could be outvoted on any matter submitted to a vote of stockholders.</w:t>
      </w:r>
    </w:p>
    <w:p>
      <w:pPr>
        <w:spacing w:after="0" w:line="148" w:lineRule="exact"/>
        <w:rPr>
          <w:sz w:val="20"/>
          <w:szCs w:val="20"/>
          <w:color w:val="auto"/>
        </w:rPr>
      </w:pPr>
    </w:p>
    <w:p>
      <w:pPr>
        <w:ind w:left="760" w:right="87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Factorial Energy is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1"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Factorial Energy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the last day of the fiscal year ending after the fifth anniversary of the effectiveness of CGC’s IPO registration statement, although circumstances could cause us to lose that status earlier, including if the market value of our Series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6"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551" w:right="1440"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19" w:firstLine="249"/>
        <w:spacing w:after="0" w:line="262" w:lineRule="auto"/>
        <w:rPr>
          <w:sz w:val="20"/>
          <w:szCs w:val="20"/>
          <w:color w:val="auto"/>
        </w:rPr>
      </w:pPr>
      <w:r>
        <w:rPr>
          <w:rFonts w:ascii="Times New Roman" w:cs="Times New Roman" w:eastAsia="Times New Roman" w:hAnsi="Times New Roman"/>
          <w:sz w:val="14"/>
          <w:szCs w:val="14"/>
          <w:color w:val="auto"/>
        </w:rPr>
        <w:t>Additionally, CGC was a “smaller reporting company” as defined in Item 10(f)(1) of Regulation S-K. Smaller reporting companies may take advantage of certain reduced disclosure obligations, including, among other things, providing only two years of audited financial statements.</w:t>
      </w:r>
    </w:p>
    <w:p>
      <w:pPr>
        <w:spacing w:after="0" w:line="138"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Following the Closing, the Company has determined it remains a smaller reporting company. The Company will be able to continue to take advantage of the smaller reporting company scaled disclosures since its voting and non-voting common stock held by non-affiliates is less than $250.0 million measured as of a date within four business days after the consummation of the Business Combination, or the Company’s annual revenue is less than $100.0 million as of the most recently completed fiscal year reported in the Current Report on Form 8-K filed with Form 10 Information (as defined in Rule 144(i)(3)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551" w:right="1440"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760" w:right="919" w:firstLine="249"/>
        <w:spacing w:after="0" w:line="262" w:lineRule="auto"/>
        <w:rPr>
          <w:sz w:val="20"/>
          <w:szCs w:val="20"/>
          <w:color w:val="auto"/>
        </w:rPr>
      </w:pPr>
      <w:r>
        <w:rPr>
          <w:rFonts w:ascii="Times New Roman" w:cs="Times New Roman" w:eastAsia="Times New Roman" w:hAnsi="Times New Roman"/>
          <w:sz w:val="14"/>
          <w:szCs w:val="14"/>
          <w:color w:val="auto"/>
        </w:rPr>
        <w:t>We are filing the registration statement of which this prospectus is a part to permit the Selling Securityholders to resell shares of Series A Common Stock. We will not receive any proceeds from the sale of shares of Series A Common Stock to be offered by the Selling Securityholders pursuant to this prospectus, except to the extent the Options and the Warrants are exercised for cash.</w:t>
      </w:r>
    </w:p>
    <w:p>
      <w:pPr>
        <w:spacing w:after="0" w:line="138"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We would receive up to an aggregate of $158,700,000 from the exercise of the Warrants, assuming the exercise in full of all such for cash, and up to approximately $13,461,119.90 from the exercise in full of the Options for cash, for a combined aggregate of up to approximately $172,161,119.90. We expect to use any net proceeds from the exercise of the Warrants and Options for general corporate purposes. We will have broad discretion over any use of proceeds from the exercise of the Warrants and Options. There is no assurance that the holders of the Warrants and Options will elect to exercise any or all of such warrants or options. The exercise price of the Warrants is $11.50 per share. The exercise prices of the Options range from $0.08 to $2.64 per share. We believe the likelihood that holders will exercise their Warrants, and therefore the amount of cash proceeds that we would receive, is dependent upon the trading price of the Series A Common Stock. If the trading price for the Series A Common Stock is less than $11.50 per share, we believe holders of Warrants will be unlikely to exercise their Warrants. To the extent that the Warrants or Options are exercised on a “cashless basis,” the amount of cash we would receive from the exercise of such warrants or options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551" w:right="1440"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73" w:lineRule="exact"/>
        <w:rPr>
          <w:sz w:val="20"/>
          <w:szCs w:val="20"/>
          <w:color w:val="auto"/>
        </w:rPr>
      </w:pPr>
    </w:p>
    <w:p>
      <w:pPr>
        <w:ind w:left="760" w:right="1099" w:firstLine="249"/>
        <w:spacing w:after="0" w:line="278" w:lineRule="auto"/>
        <w:rPr>
          <w:sz w:val="20"/>
          <w:szCs w:val="20"/>
          <w:color w:val="auto"/>
        </w:rPr>
      </w:pPr>
      <w:r>
        <w:rPr>
          <w:rFonts w:ascii="Times New Roman" w:cs="Times New Roman" w:eastAsia="Times New Roman" w:hAnsi="Times New Roman"/>
          <w:sz w:val="14"/>
          <w:szCs w:val="14"/>
          <w:color w:val="auto"/>
        </w:rPr>
        <w:t>We cannot currently determine the price or prices at which shares of our Series A Common Stock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551" w:right="1440"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3" w:lineRule="exact"/>
        <w:rPr>
          <w:sz w:val="20"/>
          <w:szCs w:val="20"/>
          <w:color w:val="auto"/>
        </w:rPr>
      </w:pPr>
    </w:p>
    <w:p>
      <w:pPr>
        <w:jc w:val="both"/>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38" w:lineRule="exact"/>
        <w:rPr>
          <w:sz w:val="20"/>
          <w:szCs w:val="20"/>
          <w:color w:val="auto"/>
        </w:rPr>
      </w:pPr>
    </w:p>
    <w:p>
      <w:pPr>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551" w:right="1440"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3" w:lineRule="exact"/>
        <w:rPr>
          <w:sz w:val="20"/>
          <w:szCs w:val="20"/>
          <w:color w:val="auto"/>
        </w:rPr>
      </w:pPr>
    </w:p>
    <w:p>
      <w:pPr>
        <w:ind w:left="760" w:right="1139" w:firstLine="249"/>
        <w:spacing w:after="0" w:line="278" w:lineRule="auto"/>
        <w:rPr>
          <w:sz w:val="20"/>
          <w:szCs w:val="20"/>
          <w:color w:val="auto"/>
        </w:rPr>
      </w:pPr>
      <w:r>
        <w:rPr>
          <w:rFonts w:ascii="Times New Roman" w:cs="Times New Roman" w:eastAsia="Times New Roman" w:hAnsi="Times New Roman"/>
          <w:sz w:val="14"/>
          <w:szCs w:val="14"/>
          <w:color w:val="auto"/>
        </w:rPr>
        <w:t>On June 8, 2026, the Series A Common Stock began trading on the Nasdaq under the symbol “FAC”. On June 26, 2026, the closing sale price of our Series A Common Stock was $11.41 per share.</w:t>
      </w:r>
    </w:p>
    <w:p>
      <w:pPr>
        <w:spacing w:after="0" w:line="126" w:lineRule="exact"/>
        <w:rPr>
          <w:sz w:val="20"/>
          <w:szCs w:val="20"/>
          <w:color w:val="auto"/>
        </w:rPr>
      </w:pPr>
    </w:p>
    <w:p>
      <w:pPr>
        <w:ind w:left="760" w:right="859" w:firstLine="249"/>
        <w:spacing w:after="0" w:line="278" w:lineRule="auto"/>
        <w:rPr>
          <w:sz w:val="20"/>
          <w:szCs w:val="20"/>
          <w:color w:val="auto"/>
        </w:rPr>
      </w:pPr>
      <w:r>
        <w:rPr>
          <w:rFonts w:ascii="Times New Roman" w:cs="Times New Roman" w:eastAsia="Times New Roman" w:hAnsi="Times New Roman"/>
          <w:sz w:val="14"/>
          <w:szCs w:val="14"/>
          <w:color w:val="auto"/>
        </w:rPr>
        <w:t>The Public Warrants are currently listed on the Nasdaq under the symbol “FACWW”. On June 26, 2026, the closing sale price of our Public Warrant was $1.40 per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551" w:right="1440"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 unless otherwise stated)</w:t>
      </w:r>
    </w:p>
    <w:p>
      <w:pPr>
        <w:spacing w:after="0" w:line="154" w:lineRule="exact"/>
        <w:rPr>
          <w:sz w:val="20"/>
          <w:szCs w:val="20"/>
          <w:color w:val="auto"/>
        </w:rPr>
      </w:pPr>
    </w:p>
    <w:p>
      <w:pPr>
        <w:ind w:left="760" w:right="779" w:firstLine="249"/>
        <w:spacing w:after="0" w:line="284" w:lineRule="auto"/>
        <w:rPr>
          <w:sz w:val="20"/>
          <w:szCs w:val="20"/>
          <w:color w:val="auto"/>
        </w:rPr>
      </w:pPr>
      <w:r>
        <w:rPr>
          <w:rFonts w:ascii="Times New Roman" w:cs="Times New Roman" w:eastAsia="Times New Roman" w:hAnsi="Times New Roman"/>
          <w:sz w:val="13"/>
          <w:szCs w:val="13"/>
          <w:i w:val="1"/>
          <w:iCs w:val="1"/>
          <w:color w:val="auto"/>
        </w:rPr>
        <w:t>Capitalized terms used but not defined in this section shall have the meanings ascribed to them in the Current Report on Form 8-K (“Form 8-K”) filed with the SEC on June 10, 2026 and, if not defined in the Form 8-K, capitalized terms used but not defined in this section shall have the meanings ascribed to them in the definitive proxy statement/prospectus filed by Cartesian Growth Corporation III with the SEC on May 6, 2026, prior to the consummation of the Business Combination (the “Proxy Statement/Prospectus”).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Introduction</w:t>
      </w:r>
    </w:p>
    <w:p>
      <w:pPr>
        <w:spacing w:after="0" w:line="173" w:lineRule="exact"/>
        <w:rPr>
          <w:sz w:val="20"/>
          <w:szCs w:val="20"/>
          <w:color w:val="auto"/>
        </w:rPr>
      </w:pPr>
    </w:p>
    <w:p>
      <w:pPr>
        <w:ind w:left="760" w:right="1179" w:firstLine="249"/>
        <w:spacing w:after="0" w:line="278" w:lineRule="auto"/>
        <w:rPr>
          <w:sz w:val="20"/>
          <w:szCs w:val="20"/>
          <w:color w:val="auto"/>
        </w:rPr>
      </w:pPr>
      <w:r>
        <w:rPr>
          <w:rFonts w:ascii="Times New Roman" w:cs="Times New Roman" w:eastAsia="Times New Roman" w:hAnsi="Times New Roman"/>
          <w:sz w:val="14"/>
          <w:szCs w:val="14"/>
          <w:color w:val="auto"/>
        </w:rPr>
        <w:t>The following is selected unaudited pro forma condensed combined financial information to aid you in your analysis of the financial aspects of the Business Combination and related transactions.</w:t>
      </w:r>
    </w:p>
    <w:p>
      <w:pPr>
        <w:spacing w:after="0" w:line="126"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March 31, 2026 gives pro forma effect to the Business Combination as if it was consummated on March 31, 2026. The unaudited pro forma condensed combined statements of operations for the three months ended March 31, 2026 and the year ended December 31, 2025 give pro forma effect to the Business Combination as if it was consummated on January 1, 2025, the beginning of the earliest period presented.</w:t>
      </w:r>
    </w:p>
    <w:p>
      <w:pPr>
        <w:spacing w:after="0" w:line="142"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derived from and should be read in conjunction with the following, which are included elsewhere in this prospectus:</w:t>
      </w:r>
    </w:p>
    <w:p>
      <w:pPr>
        <w:spacing w:after="0" w:line="126" w:lineRule="exact"/>
        <w:rPr>
          <w:sz w:val="20"/>
          <w:szCs w:val="20"/>
          <w:color w:val="auto"/>
        </w:rPr>
      </w:pPr>
    </w:p>
    <w:p>
      <w:pPr>
        <w:ind w:left="1280" w:hanging="246"/>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Factorial’s unaudited condensed consolidated financial statements as of and for the three months ended March 31, 2026;</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Factorial’s audited consolidated financial statements for the year ended December 31, 2025;</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CGC’s unaudited condensed financial statements as of and for the three months ended March 31, 2026;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CGC’s audited financial statements for the year ended December 31, 2025; and</w:t>
      </w:r>
    </w:p>
    <w:p>
      <w:pPr>
        <w:spacing w:after="0" w:line="171" w:lineRule="exact"/>
        <w:rPr>
          <w:rFonts w:ascii="Times New Roman" w:cs="Times New Roman" w:eastAsia="Times New Roman" w:hAnsi="Times New Roman"/>
          <w:sz w:val="14"/>
          <w:szCs w:val="14"/>
          <w:color w:val="auto"/>
        </w:rPr>
      </w:pPr>
    </w:p>
    <w:p>
      <w:pPr>
        <w:ind w:left="1280" w:right="939" w:hanging="246"/>
        <w:spacing w:after="0" w:line="318"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Factorial Common Stock is calculated based on shares outstanding as of the Merger Effective Time, and shares underlying vested and outstanding Options as of the Merger Effective Time for purposes of determining the Consideration Ratio.</w:t>
      </w:r>
    </w:p>
    <w:p>
      <w:pPr>
        <w:spacing w:after="0" w:line="103"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presented for illustrative purposes only and does not necessarily reflect what the actual results of operations of the combined company would have been had the Business Combination occurred on March 31, 2026 or January 1, 2025, respectively. The unaudited pro forma condensed combined financial information has been prepared, in accordance with Article 11 of Regulation S-X and is for informational purposes only. It is subject to several uncertainties and assumptions as described in the accompanying notes.</w:t>
      </w:r>
    </w:p>
    <w:p>
      <w:pPr>
        <w:spacing w:after="0" w:line="142" w:lineRule="exact"/>
        <w:rPr>
          <w:sz w:val="20"/>
          <w:szCs w:val="20"/>
          <w:color w:val="auto"/>
        </w:rPr>
      </w:pPr>
    </w:p>
    <w:p>
      <w:pPr>
        <w:ind w:left="760" w:right="1019" w:firstLine="249"/>
        <w:spacing w:after="0" w:line="279" w:lineRule="auto"/>
        <w:rPr>
          <w:sz w:val="20"/>
          <w:szCs w:val="20"/>
          <w:color w:val="auto"/>
        </w:rPr>
      </w:pPr>
      <w:r>
        <w:rPr>
          <w:rFonts w:ascii="Times New Roman" w:cs="Times New Roman" w:eastAsia="Times New Roman" w:hAnsi="Times New Roman"/>
          <w:sz w:val="13"/>
          <w:szCs w:val="13"/>
          <w:color w:val="auto"/>
        </w:rPr>
        <w:t>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Transaction</w:t>
      </w:r>
    </w:p>
    <w:p>
      <w:pPr>
        <w:spacing w:after="0" w:line="173"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On December 17, 2025, CGC entered into the Business Combination Agreement with Factorial and Merger Sub, pursuant to which on June 5, 2026 (the “Merger Effective Time”) Merger Sub merged with and into Factorial, with Factorial surviving the merger as a wholly-owned subsidiary of CGC.</w:t>
      </w:r>
    </w:p>
    <w:p>
      <w:pPr>
        <w:spacing w:after="0" w:line="138"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The board of directors of CGC has approved the Business Combination and the Domestication. In connection with, and as part of, the Domestication, CGC became a Delaware corporation and changed its corporate name to Factorial Energy Inc. (“PubCo”) and all outstanding securities of CGC converted into securities of PubCo, as described in more detail in the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551" w:right="1440"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jc w:val="both"/>
        <w:ind w:left="760" w:right="819" w:firstLine="249"/>
        <w:spacing w:after="0" w:line="292" w:lineRule="auto"/>
        <w:rPr>
          <w:sz w:val="20"/>
          <w:szCs w:val="20"/>
          <w:color w:val="auto"/>
        </w:rPr>
      </w:pPr>
      <w:r>
        <w:rPr>
          <w:rFonts w:ascii="Times New Roman" w:cs="Times New Roman" w:eastAsia="Times New Roman" w:hAnsi="Times New Roman"/>
          <w:sz w:val="13"/>
          <w:szCs w:val="13"/>
          <w:color w:val="auto"/>
        </w:rPr>
        <w:t>By virtue of the Merger and without any action on the part of any Party or any other person, the Aggregate Merger Consideration, equal to the Equity Value of $1.1 billion, consisting of a number of shares of PubCo Common Stock equal to the Equity Value divided by the Redemption Price, was issued as set forth in (i)-(iv) or reserved for issuance as set forth in (v)-(vi) below:</w:t>
      </w:r>
    </w:p>
    <w:p>
      <w:pPr>
        <w:spacing w:after="0" w:line="119" w:lineRule="exact"/>
        <w:rPr>
          <w:sz w:val="20"/>
          <w:szCs w:val="20"/>
          <w:color w:val="auto"/>
        </w:rPr>
      </w:pPr>
    </w:p>
    <w:p>
      <w:pPr>
        <w:ind w:left="1260" w:right="779" w:hanging="320"/>
        <w:spacing w:after="0" w:line="252" w:lineRule="auto"/>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Merger Effective Time, each share of Factorial Common Stock that was issued and outstanding as of immediately prior to the Merger Effective Time (excluding treasury shares, dissenting shares and shares held by the Factorial Founders) was automatically canceled and converted into the right to receive a corresponding number of shares of PubCo Series A Common Stock equal to the Consideration Ratio and each share of Factorial’s capital stock that was issued and outstanding as of immediately prior to the Merger Effective Time held by the Factorial Founders was automatically canceled and converted into the right to receive a corresponding number of shares of PubCo Series B Common Stock equal to the Consideration Ratio;</w:t>
      </w:r>
    </w:p>
    <w:p>
      <w:pPr>
        <w:spacing w:after="0" w:line="146" w:lineRule="exact"/>
        <w:rPr>
          <w:rFonts w:ascii="Times New Roman" w:cs="Times New Roman" w:eastAsia="Times New Roman" w:hAnsi="Times New Roman"/>
          <w:sz w:val="14"/>
          <w:szCs w:val="14"/>
          <w:color w:val="auto"/>
        </w:rPr>
      </w:pPr>
    </w:p>
    <w:p>
      <w:pPr>
        <w:ind w:left="1260" w:hanging="358"/>
        <w:spacing w:after="0"/>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Factorial Common Stock set forth in (i) above gave effect to:</w:t>
      </w:r>
    </w:p>
    <w:p>
      <w:pPr>
        <w:spacing w:after="0" w:line="171" w:lineRule="exact"/>
        <w:rPr>
          <w:rFonts w:ascii="Times New Roman" w:cs="Times New Roman" w:eastAsia="Times New Roman" w:hAnsi="Times New Roman"/>
          <w:sz w:val="14"/>
          <w:szCs w:val="14"/>
          <w:color w:val="auto"/>
        </w:rPr>
      </w:pPr>
    </w:p>
    <w:p>
      <w:pPr>
        <w:ind w:left="1540" w:right="1159" w:hanging="256"/>
        <w:spacing w:after="0" w:line="278" w:lineRule="auto"/>
        <w:tabs>
          <w:tab w:leader="none" w:pos="15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each outstanding convertible debt instrument including accrued interest (including the Factorial Convertible Notes) into Factorial Common Stock pursuant to its terms;</w:t>
      </w:r>
    </w:p>
    <w:p>
      <w:pPr>
        <w:spacing w:after="0" w:line="125" w:lineRule="exact"/>
        <w:rPr>
          <w:rFonts w:ascii="Times New Roman" w:cs="Times New Roman" w:eastAsia="Times New Roman" w:hAnsi="Times New Roman"/>
          <w:sz w:val="14"/>
          <w:szCs w:val="14"/>
          <w:color w:val="auto"/>
        </w:rPr>
      </w:pPr>
    </w:p>
    <w:p>
      <w:pPr>
        <w:ind w:left="1540" w:right="979" w:hanging="256"/>
        <w:spacing w:after="0" w:line="262" w:lineRule="auto"/>
        <w:tabs>
          <w:tab w:leader="none" w:pos="15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each issued and outstanding share of Factorial Preferred Stock into a number of shares of Factorial Common Stock in accordance with the terms of Section 5.1 of the Factorial Certificate of Incorporation in effect immediately prior to the Merger Effective Time; and</w:t>
      </w:r>
    </w:p>
    <w:p>
      <w:pPr>
        <w:spacing w:after="0" w:line="137" w:lineRule="exact"/>
        <w:rPr>
          <w:rFonts w:ascii="Times New Roman" w:cs="Times New Roman" w:eastAsia="Times New Roman" w:hAnsi="Times New Roman"/>
          <w:sz w:val="14"/>
          <w:szCs w:val="14"/>
          <w:color w:val="auto"/>
        </w:rPr>
      </w:pPr>
    </w:p>
    <w:p>
      <w:pPr>
        <w:ind w:left="1540" w:right="839" w:hanging="256"/>
        <w:spacing w:after="0" w:line="278" w:lineRule="auto"/>
        <w:tabs>
          <w:tab w:leader="none" w:pos="15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each issued and outstanding Factorial Warrant into a number of shares of Factorial Common Stock in accordance with the terms of the corresponding warrant agreements;</w:t>
      </w:r>
    </w:p>
    <w:p>
      <w:pPr>
        <w:spacing w:after="0" w:line="125" w:lineRule="exact"/>
        <w:rPr>
          <w:rFonts w:ascii="Times New Roman" w:cs="Times New Roman" w:eastAsia="Times New Roman" w:hAnsi="Times New Roman"/>
          <w:sz w:val="14"/>
          <w:szCs w:val="14"/>
          <w:color w:val="auto"/>
        </w:rPr>
      </w:pPr>
    </w:p>
    <w:p>
      <w:pPr>
        <w:ind w:left="1260" w:right="999" w:hanging="396"/>
        <w:spacing w:after="0" w:line="278" w:lineRule="auto"/>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Factorial Common Stock held immediately prior to the Merger Effective Time by Factorial as treasury stock was automatically cancelled and extinguished, and no consideration was paid with respect thereto;</w:t>
      </w:r>
    </w:p>
    <w:p>
      <w:pPr>
        <w:spacing w:after="0" w:line="125" w:lineRule="exact"/>
        <w:rPr>
          <w:rFonts w:ascii="Times New Roman" w:cs="Times New Roman" w:eastAsia="Times New Roman" w:hAnsi="Times New Roman"/>
          <w:sz w:val="14"/>
          <w:szCs w:val="14"/>
          <w:color w:val="auto"/>
        </w:rPr>
      </w:pPr>
    </w:p>
    <w:p>
      <w:pPr>
        <w:ind w:left="1260" w:right="1239" w:hanging="380"/>
        <w:spacing w:after="0" w:line="278" w:lineRule="auto"/>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capital stock of Merger Sub issued and outstanding immediately prior to the Merger Effective Time was automatically cancelled and extinguished and converted into one share of Factorial Common Stock;</w:t>
      </w:r>
    </w:p>
    <w:p>
      <w:pPr>
        <w:spacing w:after="0" w:line="125" w:lineRule="exact"/>
        <w:rPr>
          <w:rFonts w:ascii="Times New Roman" w:cs="Times New Roman" w:eastAsia="Times New Roman" w:hAnsi="Times New Roman"/>
          <w:sz w:val="14"/>
          <w:szCs w:val="14"/>
          <w:color w:val="auto"/>
        </w:rPr>
      </w:pPr>
    </w:p>
    <w:p>
      <w:pPr>
        <w:ind w:left="1260" w:right="919" w:hanging="341"/>
        <w:spacing w:after="0" w:line="252" w:lineRule="auto"/>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and unexercised vested Factorial Option to purchase shares of Factorial Common Stock became a PubCo Option containing the same terms, conditions, vesting and other provisions as were historically applicable to such Factorial Options and each resulting PubCo Option became exercisable for the number of shares of PubCo Series A Common Stock equal to the Consideration Ratio multiplied by the number of shares of Factorial common stock subject to the Factorial Option as of immediately prior to the Merger Effective Time, rounded down to the nearest whole share, at an exercise price equal to the per share exercise price of the Factorial Option divided by the Consideration Ratio, rounded up to the nearest whole cent; and</w:t>
      </w:r>
    </w:p>
    <w:p>
      <w:pPr>
        <w:spacing w:after="0" w:line="146" w:lineRule="exact"/>
        <w:rPr>
          <w:rFonts w:ascii="Times New Roman" w:cs="Times New Roman" w:eastAsia="Times New Roman" w:hAnsi="Times New Roman"/>
          <w:sz w:val="14"/>
          <w:szCs w:val="14"/>
          <w:color w:val="auto"/>
        </w:rPr>
      </w:pPr>
    </w:p>
    <w:p>
      <w:pPr>
        <w:ind w:left="1260" w:right="899" w:hanging="389"/>
        <w:spacing w:after="0" w:line="255" w:lineRule="auto"/>
        <w:tabs>
          <w:tab w:leader="none" w:pos="1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Factorial RSU that was outstanding with respect to shares of Factorial Common Stock was cancelled in exchange for a PubCo RSU under the PubCo Incentive Plan containing the same terms, conditions, vesting and other provisions as were historically applicable to such Factorial RSU, and each resulting PubCo RSU will settle into a number of shares of PubCo Series A Common Stock equal to a number of shares of PubCo Series A Common Stock as set forth on an allocation schedule, rounded down to the nearest whole share.</w:t>
      </w:r>
    </w:p>
    <w:p>
      <w:pPr>
        <w:spacing w:after="0" w:line="142"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In addition, PubCo consummated the PIPE Financing pursuant to the PIPE Purchase Agreements. Under the Institutional Investor Stock Purchase Agreement, the Institutional Investor committed to purchase 7,500,000 shares of PubCo Series A Common Stock for an aggregate purchase price of $75.0 million at $10.00 per share. Prior to Closing, the Institutional Investor purchased 2,000,000 Class A ordinary shares of CGC in open market or privately negotiated transactions, which reduced its remaining PIPE Financing purchase commitment on a share-for-share basis. Accordingly, through the PIPE Financing, PubCo issued 5,500,000 shares of PubCo Series A Common Stock to the Institutional Investor for an aggregate purchase price of $55.0 million. Under the Sponsor Investor Stock Purchase Agreement, the Sponsor Investor committed to purchase 2,400,168 shares of PubCo Series A Common Stock (based on the Merger Effective Time Redemption Price) for an aggregate purchase price of $25.0 million. Prior to Closing, the Sponsor Investor purchased 1,470,764 Class A ordinary shares of CGC in the open market, which reduced its remaining PIPE Financing purchase commitment on a share-for-share basis. Accordingly, through the PIPE Financing, PubCo issued 929,404 shares of PubCo Series A Common Stock to the Sponsor Investor at the closing Redemption Price of $10.41593671 per share, for an aggregate purchase price of approximately $9.7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551" w:right="1440"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In connection with the Institutional Investor’s open market purchases, and pursuant to the Letter Agreement among the Institutional Investor, Factorial and the Sponsor executed on May 18, 2026, the Sponsor transferred at Closing 90,000 shares of PubCo Series A Common Stock to the Institutional Investor, representing the $900,000 Differential Amount divided by $10.00, and Factorial reimbursed the Sponsor in cash for such Differential Amount. In addition, pursuant to the Investor Stock Purchase Agreements, the Sponsor transferred, directly or indirectly through forfeiture and reissuance, an aggregate of 750,000 shares of PubCo Series A Common Stock to the Institutional Investor and 250,000 shares of PubCo Series A Common Stock to the Sponsor Investor. After giving effect to these Sponsor share transfers, the Institutional Investor received 6,340,000 shares for $55.0 million, or an effective purchase price of approximately $8.68 per share, and the Sponsor Investor effectively received 1,179,404 shares for $9.7 million, or an effective purchase price of approximately $8.21 per share. Note that based on the nature of such Sponsor to investor transfers, no expense is recorded by PubCo as a result of the transfers.</w:t>
      </w:r>
    </w:p>
    <w:p>
      <w:pPr>
        <w:spacing w:after="0" w:line="145" w:lineRule="exact"/>
        <w:rPr>
          <w:sz w:val="20"/>
          <w:szCs w:val="20"/>
          <w:color w:val="auto"/>
        </w:rPr>
      </w:pPr>
    </w:p>
    <w:p>
      <w:pPr>
        <w:ind w:left="760" w:right="959" w:firstLine="249"/>
        <w:spacing w:after="0" w:line="278" w:lineRule="auto"/>
        <w:rPr>
          <w:sz w:val="20"/>
          <w:szCs w:val="20"/>
          <w:color w:val="auto"/>
        </w:rPr>
      </w:pPr>
      <w:r>
        <w:rPr>
          <w:rFonts w:ascii="Times New Roman" w:cs="Times New Roman" w:eastAsia="Times New Roman" w:hAnsi="Times New Roman"/>
          <w:sz w:val="14"/>
          <w:szCs w:val="14"/>
          <w:color w:val="auto"/>
        </w:rPr>
        <w:t>The diagram below depicts a simplified version of the combined company’s organizational structure immediately following the consummation of the Business Combination and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Set forth below is a calculation, on a per CGC Class A Ordinary Share basis, of the approximate net cash received by PubCo from the Trust Account and PIPE Financing. Such calculations are based upon (i) cash held in the Trust Account as of March 31, 2026 assuming the Merger Effective Time redemption price of $10.41593671 (“Redemption Price”) per Public Share and (ii) $64,681 of gross cash proceeds received from the PIPE Financing, and (iii) approximate transaction expenses of $22,057 including the estimated PIPE Financing transaction expenses of $3,750, Factorial’s approximate transaction expenses of $10,259, and CGC’s approximate transaction expenses of $8,048. Pursuant to the Investor Stock Purchase Agreements, the PIPE Investors were entitled to satisfy a portion of their respective purchase obligations through the acquisition of Public Shares and the non-redemption of such shares. In connection with the Closing, the Institutional Investor acquired 2,000,000 Public Shares and the Sponsor Investor acquired 1,470,764 Public Shares, each of which reduced such investor’s obligation to purchase shares of PubCo Common Stock at Closing on a share-for-share basis. The calculations set forth below give effect to those Public Share purchases in determining the number of shares of PubCo Common Stock issued to the PIPE Investors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551" w:right="1440"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Below is a calculation, on a per CGC Class A Share basis, of the cash received by PubCo from the Trust Account and PIPE Financing, net of transaction expenses. The total number of shares outstanding in the table below gives effect to the issuance of shares of PubCo Common Stock upon consummation of the Business Combination.</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1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1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Actual</w:t>
            </w:r>
          </w:p>
        </w:tc>
      </w:tr>
      <w:tr>
        <w:trPr>
          <w:trHeight w:val="136"/>
        </w:trPr>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amounts)</w:t>
            </w:r>
          </w:p>
        </w:tc>
        <w:tc>
          <w:tcPr>
            <w:tcW w:w="20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5"/>
              <w:spacing w:after="0" w:line="136" w:lineRule="exact"/>
              <w:rPr>
                <w:sz w:val="20"/>
                <w:szCs w:val="20"/>
                <w:color w:val="auto"/>
              </w:rPr>
            </w:pPr>
            <w:r>
              <w:rPr>
                <w:rFonts w:ascii="Times New Roman" w:cs="Times New Roman" w:eastAsia="Times New Roman" w:hAnsi="Times New Roman"/>
                <w:sz w:val="10"/>
                <w:szCs w:val="10"/>
                <w:b w:val="1"/>
                <w:bCs w:val="1"/>
                <w:color w:val="auto"/>
              </w:rPr>
              <w:t>Redemptions</w:t>
            </w:r>
            <w:r>
              <w:rPr>
                <w:rFonts w:ascii="Times New Roman" w:cs="Times New Roman" w:eastAsia="Times New Roman" w:hAnsi="Times New Roman"/>
                <w:sz w:val="15"/>
                <w:szCs w:val="15"/>
                <w:b w:val="1"/>
                <w:bCs w:val="1"/>
                <w:color w:val="auto"/>
                <w:vertAlign w:val="superscript"/>
              </w:rPr>
              <w:t>(1)</w:t>
            </w:r>
          </w:p>
        </w:tc>
      </w:tr>
      <w:tr>
        <w:trPr>
          <w:trHeight w:val="157"/>
        </w:trPr>
        <w:tc>
          <w:tcPr>
            <w:tcW w:w="45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CGC Class A Ordinary Shares Not Redeemed</w:t>
            </w: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4,548,687</w:t>
            </w:r>
          </w:p>
        </w:tc>
      </w:tr>
      <w:tr>
        <w:trPr>
          <w:trHeight w:val="166"/>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Cash Proceeds of Trust Account</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47,379</w:t>
            </w:r>
          </w:p>
        </w:tc>
      </w:tr>
      <w:tr>
        <w:trPr>
          <w:trHeight w:val="16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Cash Proceeds from the PIPE Financing</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64,681</w:t>
            </w:r>
          </w:p>
        </w:tc>
      </w:tr>
      <w:tr>
        <w:trPr>
          <w:trHeight w:val="166"/>
        </w:trPr>
        <w:tc>
          <w:tcPr>
            <w:tcW w:w="450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Transaction Expenses</w:t>
            </w:r>
            <w:r>
              <w:rPr>
                <w:rFonts w:ascii="Times New Roman" w:cs="Times New Roman" w:eastAsia="Times New Roman" w:hAnsi="Times New Roman"/>
                <w:sz w:val="19"/>
                <w:szCs w:val="19"/>
                <w:color w:val="auto"/>
                <w:vertAlign w:val="superscript"/>
              </w:rPr>
              <w:t>(2)</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21,410</w:t>
            </w:r>
          </w:p>
        </w:tc>
      </w:tr>
      <w:tr>
        <w:trPr>
          <w:trHeight w:val="16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107,023,245</w:t>
            </w:r>
          </w:p>
        </w:tc>
      </w:tr>
      <w:tr>
        <w:trPr>
          <w:trHeight w:val="166"/>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per share of CGC Class A Shares</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r>
      <w:tr>
        <w:trPr>
          <w:trHeight w:val="20"/>
        </w:trPr>
        <w:tc>
          <w:tcPr>
            <w:tcW w:w="1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bl>
    <w:p>
      <w:pPr>
        <w:spacing w:after="0" w:line="48" w:lineRule="exact"/>
        <w:rPr>
          <w:sz w:val="20"/>
          <w:szCs w:val="20"/>
          <w:color w:val="auto"/>
        </w:rPr>
      </w:pPr>
    </w:p>
    <w:p>
      <w:pPr>
        <w:ind w:left="1020" w:right="899" w:hanging="256"/>
        <w:spacing w:after="0" w:line="25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redemption of 23,051,313 of CGC Class A Shares out of the 27,600,000 of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p>
      <w:pPr>
        <w:spacing w:after="0" w:line="141" w:lineRule="exact"/>
        <w:rPr>
          <w:rFonts w:ascii="Times New Roman" w:cs="Times New Roman" w:eastAsia="Times New Roman" w:hAnsi="Times New Roman"/>
          <w:sz w:val="14"/>
          <w:szCs w:val="14"/>
          <w:color w:val="auto"/>
        </w:rPr>
      </w:pPr>
    </w:p>
    <w:p>
      <w:pPr>
        <w:ind w:left="1020" w:hanging="25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transaction expenses relating to both the Business Combination and the PIPE Financing. This amount includes</w:t>
      </w:r>
    </w:p>
    <w:p>
      <w:pPr>
        <w:spacing w:after="0" w:line="20" w:lineRule="exact"/>
        <w:rPr>
          <w:rFonts w:ascii="Times New Roman" w:cs="Times New Roman" w:eastAsia="Times New Roman" w:hAnsi="Times New Roman"/>
          <w:sz w:val="14"/>
          <w:szCs w:val="14"/>
          <w:color w:val="auto"/>
        </w:rPr>
      </w:pPr>
    </w:p>
    <w:p>
      <w:pPr>
        <w:ind w:left="1020" w:right="8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$1,346 of cash transaction expenses paid prior to the Closing and $20,064. However, this amount excludes $647 that was payable in Pubco Series A Common Stock for the merger underwriter fee as it’s a non-cash transaction expense. Refer to Note (c) of the unaudited condensed combined pro forma balance sheets as of March 31, 2026 for more information.</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the Business Combination</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Business Combination will be accounted for as a reverse recapitalization in accordance with U.S. GAAP. Under a reverse recapitalization, CGC will be treated as the “acquired” company for financial reporting purposes. Factorial has been determined to be the accounting acquirer based on evaluation of the following facts and circumstances:</w:t>
      </w:r>
    </w:p>
    <w:p>
      <w:pPr>
        <w:spacing w:after="0" w:line="138" w:lineRule="exact"/>
        <w:rPr>
          <w:sz w:val="20"/>
          <w:szCs w:val="20"/>
          <w:color w:val="auto"/>
        </w:rPr>
      </w:pPr>
    </w:p>
    <w:p>
      <w:pPr>
        <w:ind w:left="1280" w:hanging="246"/>
        <w:spacing w:after="0"/>
        <w:tabs>
          <w:tab w:leader="none" w:pos="1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Factorial’s shareholders will have the largest voting interest in PubCo;</w:t>
      </w:r>
    </w:p>
    <w:p>
      <w:pPr>
        <w:spacing w:after="0" w:line="171" w:lineRule="exact"/>
        <w:rPr>
          <w:rFonts w:ascii="Times New Roman" w:cs="Times New Roman" w:eastAsia="Times New Roman" w:hAnsi="Times New Roman"/>
          <w:sz w:val="14"/>
          <w:szCs w:val="14"/>
          <w:color w:val="auto"/>
        </w:rPr>
      </w:pPr>
    </w:p>
    <w:p>
      <w:pPr>
        <w:ind w:left="1280" w:right="799" w:hanging="246"/>
        <w:spacing w:after="0" w:line="278" w:lineRule="auto"/>
        <w:tabs>
          <w:tab w:leader="none" w:pos="1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such voting interest, Factorial’s shareholders will have the ability to nominate a majority of the members of the PubCo Board of Directors;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Factorial’s senior management will be the senior management of PubCo;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 is the larger entity, in terms of substantive operations and employee base.</w:t>
      </w:r>
    </w:p>
    <w:p>
      <w:pPr>
        <w:spacing w:after="0" w:line="171"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Accordingly, for accounting purposes, the Business Combination will be treated as the equivalent of Factorial issuing shares for the net assets of CGC, accompanied by a recapitalization. The net assets of CGC will be stated at fair value, with no goodwill or other intangible assets recorded. Operations prior to the Business Combination will be those of Factorial.</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Basis of Pro Forma Presentation</w:t>
      </w:r>
    </w:p>
    <w:p>
      <w:pPr>
        <w:spacing w:after="0" w:line="173"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The historical financial information has been adjusted to give pro forma effect to Factorial’s issuance of Factorial Convertible Notes in May 2026, that converted into Pubco Series A Common Stock in connection with the Business Combination. Although the Factorial Convertible Notes converted into Pubco Series A Common Stock in connection with the Business Combination, such Factorial Convertible Notes were not issued in connection with, or contingent upon, the Business Combination, as the August 2025 Factorial Convertible Notes were issued to existing investors in Factorial prior to the negotiation of the Business Combination Agreement and the January and May 2026 Factorial Convertible Notes were issued to strategic partners with whom Factorial is party to commercial arrangements and all of the shares issuable upon conversion of the Factorial Convertible Notes have been included in the Aggregate Fully Diluted Factorial Shares. For the Factorial Convertible Notes issued in May 2026, the Company estimated the pro forma effect for proceeds received under such convertible notes through the Merger Effective Time. The pro forma effect of the May 2026 Factorial Convertible Notes issuance has been assumed to have occurred as of March 31, 2026 for balance sheet purposes. The adjustments presented on the unaudited pro forma condensed combined financial statements have been identified and presented to provide relevant information necessary for a more accurate understanding of the combined company upon consummation of the Business Combination.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551" w:right="1440"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92" w:lineRule="auto"/>
        <w:rPr>
          <w:sz w:val="20"/>
          <w:szCs w:val="20"/>
          <w:color w:val="auto"/>
        </w:rPr>
      </w:pPr>
      <w:r>
        <w:rPr>
          <w:rFonts w:ascii="Times New Roman" w:cs="Times New Roman" w:eastAsia="Times New Roman" w:hAnsi="Times New Roman"/>
          <w:sz w:val="13"/>
          <w:szCs w:val="13"/>
          <w:color w:val="auto"/>
        </w:rPr>
        <w:t>The pro forma adjustments included in the unaudited pro forma condensed combined balance sheet as of March 31, 2026 and in the unaudited pro forma condensed combined statements of operations for the three months ended March 31, 2026 and for the year ended December 31, 2025 are based on preliminary estimates. The final amounts recorded may differ from the information presented.</w:t>
      </w:r>
    </w:p>
    <w:p>
      <w:pPr>
        <w:spacing w:after="0" w:line="119" w:lineRule="exact"/>
        <w:rPr>
          <w:sz w:val="20"/>
          <w:szCs w:val="20"/>
          <w:color w:val="auto"/>
        </w:rPr>
      </w:pPr>
    </w:p>
    <w:p>
      <w:pPr>
        <w:ind w:left="760" w:right="1279" w:firstLine="249"/>
        <w:spacing w:after="0" w:line="278" w:lineRule="auto"/>
        <w:rPr>
          <w:sz w:val="20"/>
          <w:szCs w:val="20"/>
          <w:color w:val="auto"/>
        </w:rPr>
      </w:pPr>
      <w:r>
        <w:rPr>
          <w:rFonts w:ascii="Times New Roman" w:cs="Times New Roman" w:eastAsia="Times New Roman" w:hAnsi="Times New Roman"/>
          <w:sz w:val="14"/>
          <w:szCs w:val="14"/>
          <w:color w:val="auto"/>
        </w:rPr>
        <w:t>Factorial and CGC did not have any historical relationship prior to the Business Combination. Accordingly, no pro forma adjustments were required to eliminate activities between the companies.</w:t>
      </w:r>
    </w:p>
    <w:p>
      <w:pPr>
        <w:spacing w:after="0" w:line="126" w:lineRule="exact"/>
        <w:rPr>
          <w:sz w:val="20"/>
          <w:szCs w:val="20"/>
          <w:color w:val="auto"/>
        </w:rPr>
      </w:pPr>
    </w:p>
    <w:p>
      <w:pPr>
        <w:ind w:left="760" w:right="1039" w:firstLine="249"/>
        <w:spacing w:after="0" w:line="278" w:lineRule="auto"/>
        <w:rPr>
          <w:sz w:val="20"/>
          <w:szCs w:val="20"/>
          <w:color w:val="auto"/>
        </w:rPr>
      </w:pPr>
      <w:r>
        <w:rPr>
          <w:rFonts w:ascii="Times New Roman" w:cs="Times New Roman" w:eastAsia="Times New Roman" w:hAnsi="Times New Roman"/>
          <w:sz w:val="14"/>
          <w:szCs w:val="14"/>
          <w:color w:val="auto"/>
        </w:rPr>
        <w:t>The pro forma shares of the combined common stock issued and outstanding immediately after the Business Combination are presented below:</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1880" w:type="dxa"/>
            <w:vAlign w:val="bottom"/>
          </w:tcPr>
          <w:p>
            <w:pPr>
              <w:spacing w:after="0"/>
              <w:rPr>
                <w:sz w:val="11"/>
                <w:szCs w:val="11"/>
                <w:color w:val="auto"/>
              </w:rPr>
            </w:pP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Pro Forma Combined</w:t>
            </w:r>
          </w:p>
        </w:tc>
      </w:tr>
      <w:tr>
        <w:trPr>
          <w:trHeight w:val="157"/>
        </w:trPr>
        <w:tc>
          <w:tcPr>
            <w:tcW w:w="18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CGC’s Public Shareholders</w:t>
            </w:r>
            <w:r>
              <w:rPr>
                <w:rFonts w:ascii="Times New Roman" w:cs="Times New Roman" w:eastAsia="Times New Roman" w:hAnsi="Times New Roman"/>
                <w:sz w:val="18"/>
                <w:szCs w:val="18"/>
                <w:color w:val="auto"/>
                <w:vertAlign w:val="superscript"/>
              </w:rPr>
              <w:t>(1)</w:t>
            </w:r>
          </w:p>
        </w:tc>
        <w:tc>
          <w:tcPr>
            <w:tcW w:w="44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4,548,687</w:t>
            </w:r>
          </w:p>
        </w:tc>
      </w:tr>
      <w:tr>
        <w:trPr>
          <w:trHeight w:val="166"/>
        </w:trPr>
        <w:tc>
          <w:tcPr>
            <w:tcW w:w="18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Sponsor and DirectorCo</w:t>
            </w:r>
            <w:r>
              <w:rPr>
                <w:rFonts w:ascii="Times New Roman" w:cs="Times New Roman" w:eastAsia="Times New Roman" w:hAnsi="Times New Roman"/>
                <w:sz w:val="19"/>
                <w:szCs w:val="19"/>
                <w:color w:val="auto"/>
                <w:vertAlign w:val="superscript"/>
              </w:rPr>
              <w:t>(2)</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5,810,000</w:t>
            </w:r>
          </w:p>
        </w:tc>
      </w:tr>
      <w:tr>
        <w:trPr>
          <w:trHeight w:val="166"/>
        </w:trPr>
        <w:tc>
          <w:tcPr>
            <w:tcW w:w="1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PIPE Institutional Investor</w:t>
            </w:r>
            <w:r>
              <w:rPr>
                <w:rFonts w:ascii="Times New Roman" w:cs="Times New Roman" w:eastAsia="Times New Roman" w:hAnsi="Times New Roman"/>
                <w:sz w:val="19"/>
                <w:szCs w:val="19"/>
                <w:color w:val="auto"/>
                <w:vertAlign w:val="superscript"/>
              </w:rPr>
              <w:t>(3)</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6,340,000</w:t>
            </w:r>
          </w:p>
        </w:tc>
      </w:tr>
      <w:tr>
        <w:trPr>
          <w:trHeight w:val="166"/>
        </w:trPr>
        <w:tc>
          <w:tcPr>
            <w:tcW w:w="18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PIPE Sponsor Investor</w:t>
            </w:r>
            <w:r>
              <w:rPr>
                <w:rFonts w:ascii="Times New Roman" w:cs="Times New Roman" w:eastAsia="Times New Roman" w:hAnsi="Times New Roman"/>
                <w:sz w:val="19"/>
                <w:szCs w:val="19"/>
                <w:color w:val="auto"/>
                <w:vertAlign w:val="superscript"/>
              </w:rPr>
              <w:t>(4)</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1,179,404</w:t>
            </w:r>
          </w:p>
        </w:tc>
      </w:tr>
      <w:tr>
        <w:trPr>
          <w:trHeight w:val="166"/>
        </w:trPr>
        <w:tc>
          <w:tcPr>
            <w:tcW w:w="1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Factorial Shareholders</w:t>
            </w:r>
            <w:r>
              <w:rPr>
                <w:rFonts w:ascii="Times New Roman" w:cs="Times New Roman" w:eastAsia="Times New Roman" w:hAnsi="Times New Roman"/>
                <w:sz w:val="19"/>
                <w:szCs w:val="19"/>
                <w:color w:val="auto"/>
                <w:vertAlign w:val="superscript"/>
              </w:rPr>
              <w:t>(5)</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89,083,036</w:t>
            </w:r>
          </w:p>
        </w:tc>
      </w:tr>
      <w:tr>
        <w:trPr>
          <w:trHeight w:val="166"/>
        </w:trPr>
        <w:tc>
          <w:tcPr>
            <w:tcW w:w="18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Cantor Advisory Fee</w:t>
            </w:r>
            <w:r>
              <w:rPr>
                <w:rFonts w:ascii="Times New Roman" w:cs="Times New Roman" w:eastAsia="Times New Roman" w:hAnsi="Times New Roman"/>
                <w:sz w:val="19"/>
                <w:szCs w:val="19"/>
                <w:color w:val="auto"/>
                <w:vertAlign w:val="superscript"/>
              </w:rPr>
              <w:t>(6)</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62,118</w:t>
            </w:r>
          </w:p>
        </w:tc>
      </w:tr>
      <w:tr>
        <w:trPr>
          <w:trHeight w:val="157"/>
        </w:trPr>
        <w:tc>
          <w:tcPr>
            <w:tcW w:w="188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shares outstanding</w:t>
            </w:r>
          </w:p>
        </w:tc>
        <w:tc>
          <w:tcPr>
            <w:tcW w:w="442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107,023,245</w:t>
            </w:r>
          </w:p>
        </w:tc>
      </w:tr>
      <w:tr>
        <w:trPr>
          <w:trHeight w:val="20"/>
        </w:trPr>
        <w:tc>
          <w:tcPr>
            <w:tcW w:w="1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4420" w:type="dxa"/>
            <w:vAlign w:val="bottom"/>
          </w:tcPr>
          <w:p>
            <w:pPr>
              <w:spacing w:after="0"/>
              <w:rPr>
                <w:sz w:val="4"/>
                <w:szCs w:val="4"/>
                <w:color w:val="auto"/>
              </w:rPr>
            </w:pPr>
          </w:p>
        </w:tc>
        <w:tc>
          <w:tcPr>
            <w:tcW w:w="1180" w:type="dxa"/>
            <w:vAlign w:val="bottom"/>
          </w:tcPr>
          <w:p>
            <w:pPr>
              <w:spacing w:after="0"/>
              <w:rPr>
                <w:sz w:val="4"/>
                <w:szCs w:val="4"/>
                <w:color w:val="auto"/>
              </w:rPr>
            </w:pPr>
          </w:p>
        </w:tc>
      </w:tr>
    </w:tbl>
    <w:p>
      <w:pPr>
        <w:spacing w:after="0" w:line="48" w:lineRule="exact"/>
        <w:rPr>
          <w:sz w:val="20"/>
          <w:szCs w:val="20"/>
          <w:color w:val="auto"/>
        </w:rPr>
      </w:pPr>
    </w:p>
    <w:p>
      <w:pPr>
        <w:ind w:left="1020" w:right="1199" w:hanging="256"/>
        <w:spacing w:after="0" w:line="257"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redemption of 23,051,313 CGC Class A Shares out of the 27,600,000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p>
      <w:pPr>
        <w:spacing w:after="0" w:line="141" w:lineRule="exact"/>
        <w:rPr>
          <w:rFonts w:ascii="Times New Roman" w:cs="Times New Roman" w:eastAsia="Times New Roman" w:hAnsi="Times New Roman"/>
          <w:sz w:val="14"/>
          <w:szCs w:val="14"/>
          <w:color w:val="auto"/>
        </w:rPr>
      </w:pPr>
    </w:p>
    <w:p>
      <w:pPr>
        <w:ind w:left="1020" w:right="819" w:hanging="256"/>
        <w:spacing w:after="0" w:line="27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5,710,000 Founder Shares held by the Sponsor and 100,000 Founder Shares held by DirectorCo (in which, each of CGC’s independent directors hold an interest in 30,000 Founder Shares).</w:t>
      </w:r>
    </w:p>
    <w:p>
      <w:pPr>
        <w:spacing w:after="0" w:line="125" w:lineRule="exact"/>
        <w:rPr>
          <w:rFonts w:ascii="Times New Roman" w:cs="Times New Roman" w:eastAsia="Times New Roman" w:hAnsi="Times New Roman"/>
          <w:sz w:val="14"/>
          <w:szCs w:val="14"/>
          <w:color w:val="auto"/>
        </w:rPr>
      </w:pPr>
    </w:p>
    <w:p>
      <w:pPr>
        <w:ind w:left="1020" w:right="1079" w:hanging="256"/>
        <w:spacing w:after="0" w:line="253"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(i) the Institutional Investor’s subscription for 5,500,000 shares of PubCo Series A Common Stock at a subscription price of $10.00 per share; plus (ii) the constructive transfer at the Closing of an aggregate of 750,000 shares of PubCo Series A Common Stock from the Sponsor to the Institutional Investor; and plus (iii) an aggregate of 90,000 shares of Pubco Series A Common Stock constructively transferred to the Institutional Investor by the Sponsor as part of the Letter Agreement. The effective subscription price of the Institutional Investor is $8.68 per share, taking into account the foregoing transfers from the Sponsor.</w:t>
      </w:r>
    </w:p>
    <w:p>
      <w:pPr>
        <w:spacing w:after="0" w:line="145" w:lineRule="exact"/>
        <w:rPr>
          <w:rFonts w:ascii="Times New Roman" w:cs="Times New Roman" w:eastAsia="Times New Roman" w:hAnsi="Times New Roman"/>
          <w:sz w:val="14"/>
          <w:szCs w:val="14"/>
          <w:color w:val="auto"/>
        </w:rPr>
      </w:pPr>
    </w:p>
    <w:p>
      <w:pPr>
        <w:ind w:left="1020" w:right="879" w:hanging="256"/>
        <w:spacing w:after="0" w:line="257"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(i) the Sponsor Investor’s subscription for 929,404 shares of PubCo Series A Common Stock at a subscription price equal to the Redemption Price; plus (ii) the constructive transfer at the Closing of an aggregate of 250,000 shares of PubCo Series A Common Stock from the Sponsor to the Sponsor Investor. The effective subscription price of the Sponsor Investor is $8.21 per share, taking into account the foregoing transfer from the Sponsor.</w:t>
      </w:r>
    </w:p>
    <w:p>
      <w:pPr>
        <w:spacing w:after="0" w:line="141" w:lineRule="exact"/>
        <w:rPr>
          <w:rFonts w:ascii="Times New Roman" w:cs="Times New Roman" w:eastAsia="Times New Roman" w:hAnsi="Times New Roman"/>
          <w:sz w:val="14"/>
          <w:szCs w:val="14"/>
          <w:color w:val="auto"/>
        </w:rPr>
      </w:pPr>
    </w:p>
    <w:p>
      <w:pPr>
        <w:ind w:left="1020" w:right="779" w:hanging="256"/>
        <w:spacing w:after="0" w:line="250"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an aggregate of 3,081,263 shares of PubCo Series A Common Stock issued to holder of Factorial Common Stock from conversion of Factorial Common Stock based upon the Consideration Ratio; (ii) an aggregate of 15,512,744 shares of PubCo Series B Common Stock issued to the Factorial Founders from the exchange of shares of Factorial Common Stock based upon the Consideration Ratio; (iii) an aggregate of 67,314,957 shares of PubCo Series A Common Stock issued to holders of Factorial Preferred Stock from the exchange of shares of Factorial Preferred Stock; (iv) an aggregate of 2,811,447 shares of PubCo Series A Common Stock issued to holders of the Factorial Convertible Notes from conversion of the Factorial Convertible Notes along with accrued interest into shares of Factorial Common Stock immediately before the Business Combination and the subsequent exchange into shares of PubCo Series A Common Stock; and (v) an aggregate of 362,625 shares of PubCo Series A Common Stock issued to holders of the Factorial Warrants from their cashless exercise of the warrants for shares of Factorial Preferred Stock and converted into shares of Factorial Common Stock immediately before the Business Combination and subsequent exchange for PubCo Series A Common Stock.</w:t>
      </w:r>
    </w:p>
    <w:p>
      <w:pPr>
        <w:spacing w:after="0" w:line="149" w:lineRule="exact"/>
        <w:rPr>
          <w:rFonts w:ascii="Times New Roman" w:cs="Times New Roman" w:eastAsia="Times New Roman" w:hAnsi="Times New Roman"/>
          <w:sz w:val="14"/>
          <w:szCs w:val="14"/>
          <w:color w:val="auto"/>
        </w:rPr>
      </w:pPr>
    </w:p>
    <w:p>
      <w:pPr>
        <w:ind w:left="1020" w:right="839" w:hanging="256"/>
        <w:spacing w:after="0" w:line="262"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62,118 shares of PubCo Series A Common Stock issued to Cantor pursuant to the financial advisor engagement letter as outlined in the section entitled “</w:t>
      </w:r>
      <w:r>
        <w:rPr>
          <w:rFonts w:ascii="Times New Roman" w:cs="Times New Roman" w:eastAsia="Times New Roman" w:hAnsi="Times New Roman"/>
          <w:sz w:val="14"/>
          <w:szCs w:val="14"/>
          <w:i w:val="1"/>
          <w:iCs w:val="1"/>
          <w:color w:val="auto"/>
        </w:rPr>
        <w:t>Certain Engagements in Connection with the Business Combination</w:t>
      </w:r>
      <w:r>
        <w:rPr>
          <w:rFonts w:ascii="Times New Roman" w:cs="Times New Roman" w:eastAsia="Times New Roman" w:hAnsi="Times New Roman"/>
          <w:sz w:val="14"/>
          <w:szCs w:val="14"/>
          <w:color w:val="auto"/>
        </w:rPr>
        <w:t>” of the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551" w:right="1440"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Condensed Combined Pro Forma Balance Sheets as of March 31, 2026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50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gridSpan w:val="6"/>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9"/>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jc w:val="center"/>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for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8"/>
              </w:rPr>
              <w:t>Transaction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Q2 2026</w:t>
            </w:r>
          </w:p>
        </w:tc>
        <w:tc>
          <w:tcPr>
            <w:tcW w:w="80" w:type="dxa"/>
            <w:vAlign w:val="bottom"/>
          </w:tcPr>
          <w:p>
            <w:pPr>
              <w:spacing w:after="0"/>
              <w:rPr>
                <w:sz w:val="11"/>
                <w:szCs w:val="11"/>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Accounting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Balance</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CGCT</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​​​Factorial</w:t>
            </w: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​​Transactions​</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Sheet</w:t>
            </w: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Current assets: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396</w:t>
            </w:r>
          </w:p>
        </w:tc>
        <w:tc>
          <w:tcPr>
            <w:tcW w:w="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25,449</w:t>
            </w:r>
          </w:p>
        </w:tc>
        <w:tc>
          <w:tcPr>
            <w:tcW w:w="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(a)</w:t>
            </w:r>
          </w:p>
        </w:tc>
        <w:tc>
          <w:tcPr>
            <w:tcW w:w="18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287,480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14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118,808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(240,101)</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(16,386)</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60,931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Deferred offering costs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3,468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(3,468)</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current assets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33,995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88,455</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123,999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Restricted cash</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Property and equipment, net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20,206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20,206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Operating lease right-of-use assets, net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7,266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7,266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CGC Investments held in Trust Account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285,869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(285,869)</w:t>
            </w:r>
          </w:p>
        </w:tc>
        <w:tc>
          <w:tcPr>
            <w:tcW w:w="8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(b)</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286,388</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62,391</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(197,414)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152,405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26" w:lineRule="exact"/>
              <w:rPr>
                <w:sz w:val="20"/>
                <w:szCs w:val="20"/>
                <w:color w:val="auto"/>
              </w:rPr>
            </w:pPr>
            <w:r>
              <w:rPr>
                <w:rFonts w:ascii="Times New Roman" w:cs="Times New Roman" w:eastAsia="Times New Roman" w:hAnsi="Times New Roman"/>
                <w:sz w:val="11"/>
                <w:szCs w:val="11"/>
                <w:b w:val="1"/>
                <w:bCs w:val="1"/>
                <w:color w:val="auto"/>
              </w:rPr>
              <w:t>Liabilities, convertible preferred stock and stockholders’ equity (deficit)</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Current liabilities: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656</w:t>
            </w:r>
          </w:p>
        </w:tc>
        <w:tc>
          <w:tcPr>
            <w:tcW w:w="20" w:type="dxa"/>
            <w:vAlign w:val="bottom"/>
          </w:tcPr>
          <w:p>
            <w:pPr>
              <w:spacing w:after="0"/>
              <w:rPr>
                <w:sz w:val="10"/>
                <w:szCs w:val="10"/>
                <w:color w:val="auto"/>
              </w:rPr>
            </w:pPr>
          </w:p>
        </w:tc>
        <w:tc>
          <w:tcPr>
            <w:tcW w:w="16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Accrued expenses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1,312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4,128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(3,352)</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2,088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Accrued offering costs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 current portion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current liabilities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1,387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6,185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(3,352)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6,817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6,817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Convertible notes liability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24,896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(25,936)</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Deferred UW fee payable</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13,140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(13,140)</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Warrant liability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(3,484)</w:t>
            </w:r>
          </w:p>
        </w:tc>
        <w:tc>
          <w:tcPr>
            <w:tcW w:w="8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14,527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41,382</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(45,912)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11,037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Redeemable convertible preferred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Factorial Series A-1 redeemable convertible preferred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327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(327)</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Factorial Series A-2 redeemable convertible preferred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655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(655)</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Factorial Series B-1 redeemable convertible preferred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2,169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(2,169)</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Factorial Series C-1 redeemable convertible preferred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28,303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(28,303)</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Factorial Series C-2 redeemable convertible preferred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26,013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(26,013)</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Factorial Series D redeemable convertible preferred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192,185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(192,185)</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CGC Class A common stock subject to redemption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285,869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(285,869)</w:t>
            </w: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redeemable convertible preferred stock</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285,869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249,652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(535,521)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Stockholders’ equity (deficit)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PubCo Series A 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Pubco Series B 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CGC Class B Common Stock</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36,285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(3,362)</w:t>
            </w: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409,374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268,142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47,379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60,931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(d)</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Accumulated deficit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(14,009)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7"/>
              </w:rPr>
              <w:t>(264,151)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7"/>
              </w:rPr>
              <w:t>(267,274)</w:t>
            </w:r>
          </w:p>
        </w:tc>
        <w:tc>
          <w:tcPr>
            <w:tcW w:w="0" w:type="dxa"/>
            <w:vAlign w:val="bottom"/>
          </w:tcPr>
          <w:p>
            <w:pPr>
              <w:spacing w:after="0"/>
              <w:rPr>
                <w:sz w:val="1"/>
                <w:szCs w:val="1"/>
                <w:color w:val="auto"/>
              </w:rPr>
            </w:pPr>
          </w:p>
        </w:tc>
      </w:tr>
      <w:tr>
        <w:trPr>
          <w:trHeight w:val="125"/>
        </w:trPr>
        <w:tc>
          <w:tcPr>
            <w:tcW w:w="35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(743)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(743)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Factorial Treasury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stockholders’ equity (deficit)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(14,008)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7"/>
              </w:rPr>
              <w:t>(228,643)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384,020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liabilities, convertible preferred stock and stockholders’ equity (deficit)</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286,388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62,391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1,040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(197,414)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152,405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551" w:right="1440"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819" w:firstLine="249"/>
        <w:spacing w:after="0" w:line="281" w:lineRule="auto"/>
        <w:rPr>
          <w:sz w:val="20"/>
          <w:szCs w:val="20"/>
          <w:color w:val="auto"/>
        </w:rPr>
      </w:pPr>
      <w:r>
        <w:rPr>
          <w:rFonts w:ascii="Times New Roman" w:cs="Times New Roman" w:eastAsia="Times New Roman" w:hAnsi="Times New Roman"/>
          <w:sz w:val="14"/>
          <w:szCs w:val="14"/>
          <w:b w:val="1"/>
          <w:bCs w:val="1"/>
          <w:color w:val="auto"/>
        </w:rPr>
        <w:t>The pro forma adjustments to the unaudited condensed combined pro forma balance sheet as of March 31, 2026 consist of the following:</w:t>
      </w:r>
    </w:p>
    <w:p>
      <w:pPr>
        <w:spacing w:after="0" w:line="124" w:lineRule="exact"/>
        <w:rPr>
          <w:sz w:val="20"/>
          <w:szCs w:val="20"/>
          <w:color w:val="auto"/>
        </w:rPr>
      </w:pPr>
    </w:p>
    <w:p>
      <w:pPr>
        <w:ind w:left="1020" w:right="799" w:hanging="256"/>
        <w:spacing w:after="0" w:line="252"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Factorial’s issuance of additional Convertible Notes in May 2026 for an aggregate $1,040 face value, which were converted, along with accrued interest, into Factorial Common Stock immediately before the consummation of the Business Combination necessitating inclusion in these pro forma adjustments. Note that Factorial has elected the Fair Value Option for the Convertible Notes in accordance with ASC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however, these pro forma adjustments for the May 2026 transaction herein are not giving effect to any change in fair value of the notes on the date of issuance stemming from such election. Assumptions regarding changes in fair value, including accrued interest, of the Factorial Convertible Notes, are recorded as transaction accounting adjustments in (e).</w:t>
      </w:r>
    </w:p>
    <w:p>
      <w:pPr>
        <w:spacing w:after="0" w:line="146" w:lineRule="exact"/>
        <w:rPr>
          <w:rFonts w:ascii="Times New Roman" w:cs="Times New Roman" w:eastAsia="Times New Roman" w:hAnsi="Times New Roman"/>
          <w:sz w:val="14"/>
          <w:szCs w:val="14"/>
          <w:color w:val="auto"/>
        </w:rPr>
      </w:pPr>
    </w:p>
    <w:p>
      <w:pPr>
        <w:ind w:left="1020" w:right="779" w:hanging="256"/>
        <w:spacing w:after="0" w:line="253"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interest earned, based on the Redemption Price of $10.41593671 per CGC Class A Ordinary Share, on investments held in the Trust Account held by CGC of $1,611, and the transfer of both CGC’s investments held in the Trust Account, and the interest earned to cash and cash equivalents prior to the consideration of Redemptions as outlined in (f). Refer to the below table for the pro forma entries. The interest earned is recorded as income for CGC through accumulated deficit and then reclassified into additional paid-in capital because of the Business Combination as described in (f)(i). Refer to the below table for the pro forma entries:</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940" w:type="dxa"/>
            <w:vAlign w:val="bottom"/>
          </w:tcPr>
          <w:p>
            <w:pPr>
              <w:spacing w:after="0"/>
              <w:rPr>
                <w:sz w:val="11"/>
                <w:szCs w:val="11"/>
                <w:color w:val="auto"/>
              </w:rPr>
            </w:pPr>
          </w:p>
        </w:tc>
        <w:tc>
          <w:tcPr>
            <w:tcW w:w="2840" w:type="dxa"/>
            <w:vAlign w:val="bottom"/>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​​​Cash and cash ​​​ CGC Investments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w:t>
            </w:r>
          </w:p>
        </w:tc>
      </w:tr>
      <w:tr>
        <w:trPr>
          <w:trHeight w:val="133"/>
        </w:trPr>
        <w:tc>
          <w:tcPr>
            <w:tcW w:w="3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equivalents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held in Trust Account</w:t>
            </w:r>
          </w:p>
        </w:tc>
        <w:tc>
          <w:tcPr>
            <w:tcW w:w="80" w:type="dxa"/>
            <w:vAlign w:val="bottom"/>
          </w:tcPr>
          <w:p>
            <w:pPr>
              <w:spacing w:after="0"/>
              <w:rPr>
                <w:sz w:val="11"/>
                <w:szCs w:val="11"/>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deficit</w:t>
            </w:r>
          </w:p>
        </w:tc>
      </w:tr>
      <w:tr>
        <w:trPr>
          <w:trHeight w:val="157"/>
        </w:trPr>
        <w:tc>
          <w:tcPr>
            <w:tcW w:w="39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Transfer of CGC’s investments held in trust account</w:t>
            </w:r>
          </w:p>
        </w:tc>
        <w:tc>
          <w:tcPr>
            <w:tcW w:w="10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287,480</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(287,480)</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77"/>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Interest Earned on Investments Held in Trust Account</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(1,611)</w:t>
            </w:r>
          </w:p>
        </w:tc>
      </w:tr>
      <w:tr>
        <w:trPr>
          <w:trHeight w:val="157"/>
        </w:trPr>
        <w:tc>
          <w:tcPr>
            <w:tcW w:w="39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287,480</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(285,869)</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(1,611)</w:t>
            </w:r>
          </w:p>
        </w:tc>
      </w:tr>
    </w:tbl>
    <w:p>
      <w:pPr>
        <w:spacing w:after="0" w:line="151" w:lineRule="exact"/>
        <w:rPr>
          <w:sz w:val="20"/>
          <w:szCs w:val="20"/>
          <w:color w:val="auto"/>
        </w:rPr>
      </w:pPr>
    </w:p>
    <w:p>
      <w:pPr>
        <w:ind w:left="1020" w:right="819" w:hanging="256"/>
        <w:spacing w:after="0" w:line="278"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following pro forma adjustments for transaction costs associated with the Business Combination (refer to below table for pro forma entries):</w:t>
      </w:r>
    </w:p>
    <w:p>
      <w:pPr>
        <w:spacing w:after="0" w:line="125" w:lineRule="exact"/>
        <w:rPr>
          <w:rFonts w:ascii="Times New Roman" w:cs="Times New Roman" w:eastAsia="Times New Roman" w:hAnsi="Times New Roman"/>
          <w:sz w:val="14"/>
          <w:szCs w:val="14"/>
          <w:color w:val="auto"/>
        </w:rPr>
      </w:pPr>
    </w:p>
    <w:p>
      <w:pPr>
        <w:ind w:left="1020" w:right="89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CGC’s transaction expenses of approximately $8,048 related to the Business Combination, of which $11 had been paid as of March 31, 2026 and $8,037 was paid in cash at Closing. The transaction expenses of $8,048 includes a $4,311 underwriting fee, and other transaction costs of $3,737, including $1,147 incurred and expensed through March 31, 2026 (of which $11 had been paid as of March 31, 2026), and $2,590 incurred after March 31, 2026 through the Closing of the Business Combination. The expenses incurred after March 31, 2026, are recorded as expense for CGC through accumulated deficit and then reclassified into additional paid-in capital in consummation of the Business Combination.</w:t>
      </w:r>
    </w:p>
    <w:p>
      <w:pPr>
        <w:spacing w:after="0" w:line="145" w:lineRule="exact"/>
        <w:rPr>
          <w:rFonts w:ascii="Times New Roman" w:cs="Times New Roman" w:eastAsia="Times New Roman" w:hAnsi="Times New Roman"/>
          <w:sz w:val="14"/>
          <w:szCs w:val="14"/>
          <w:color w:val="auto"/>
        </w:rPr>
      </w:pPr>
    </w:p>
    <w:p>
      <w:pPr>
        <w:ind w:left="1020" w:right="8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will be accounted for as a reverse recapitalization in accordance with U.S. GAAP ASC 805. Under this method of accounting, Factorial is the accounting acquirer, and as a result, qualifying transaction costs incurred by Factorial are treated as deferred offering costs and any balance below the net proceeds from this reverse recapitalization will be charged directly to equity. This recording complies with the requirements of FASB ASC Topic 340-10-S99-1, “Other Assets and Deferred Costs - SEC Materials” (“ASC 340-10-S99”) and Commission Staff Accounting Bulletin Topic 5A, “Expenses of Offering”. Deferred offering costs consist of legal and other professional expenses incurred through the balance sheet date that are directly related to the Business Combination and are reflected in shareholders’ equity (deficit) in these pro formas of the Business Combination with any balance below the net proceeds from this Business Combination.</w:t>
      </w:r>
    </w:p>
    <w:p>
      <w:pPr>
        <w:spacing w:after="0" w:line="143" w:lineRule="exact"/>
        <w:rPr>
          <w:rFonts w:ascii="Times New Roman" w:cs="Times New Roman" w:eastAsia="Times New Roman" w:hAnsi="Times New Roman"/>
          <w:sz w:val="14"/>
          <w:szCs w:val="14"/>
          <w:color w:val="auto"/>
        </w:rPr>
      </w:pPr>
    </w:p>
    <w:p>
      <w:pPr>
        <w:ind w:left="1020" w:right="8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Factorial’s transaction expenses are approximately $10,259 for transaction expenses related to the Business Combination. The transaction expenses of $10,259 include a $5,000 merger underwriting fee paid in both cash and PubCo Series A Common Stock, $3,468 of other related transaction expenses incurred through March 31, 2026 (of which $1,263 had been paid as of March 31, 2026), and $1,791 of other related transaction expenses incurred after March 31, 2026 through the close of the Business Combination. These costs are reflected in additional paid-in capital in these pro formas.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551" w:right="1440"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779"/>
        <w:spacing w:after="0" w:line="252" w:lineRule="auto"/>
        <w:rPr>
          <w:sz w:val="20"/>
          <w:szCs w:val="20"/>
          <w:color w:val="auto"/>
        </w:rPr>
      </w:pPr>
      <w:r>
        <w:rPr>
          <w:rFonts w:ascii="Times New Roman" w:cs="Times New Roman" w:eastAsia="Times New Roman" w:hAnsi="Times New Roman"/>
          <w:sz w:val="14"/>
          <w:szCs w:val="14"/>
          <w:color w:val="auto"/>
        </w:rPr>
        <w:t>The $5,000 merger underwriter fee was payable in $2,500 in cash and the remaining $2,500 in a combination of cash and publicly traded common equity securities of the post-combination company. The cash portion of this remaining amount equaled (a) a fraction, the numerator of which is the amount by which the total proceeds received by the combined company in connection with any equity financing consummated in connection with the Business Combination and the cash delivered from CGC’s trust account at the Closing exceed $75,000, and the denominator of which is $50,000, multiplied by (b) $2,500, with the remainder payable in shares of common equity of the post-combination company. Based on actual redemptions, $1,853 was payable in cash, and the remaining $647 was payable in Pubco Series A Common Stock. The adjustment of the $1,853 payment in PubCo Series A Common Stock is reflected in additional paid-in capital in these pro formas.</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200" w:type="dxa"/>
            <w:vAlign w:val="bottom"/>
            <w:gridSpan w:val="4"/>
          </w:tcPr>
          <w:p>
            <w:pPr>
              <w:jc w:val="center"/>
              <w:ind w:left="365"/>
              <w:spacing w:after="0"/>
              <w:rPr>
                <w:sz w:val="20"/>
                <w:szCs w:val="20"/>
                <w:color w:val="auto"/>
              </w:rPr>
            </w:pPr>
            <w:r>
              <w:rPr>
                <w:rFonts w:ascii="Times New Roman" w:cs="Times New Roman" w:eastAsia="Times New Roman" w:hAnsi="Times New Roman"/>
                <w:sz w:val="11"/>
                <w:szCs w:val="11"/>
                <w:b w:val="1"/>
                <w:bCs w:val="1"/>
                <w:color w:val="auto"/>
              </w:rPr>
              <w:t>​​​ Deferred  ​​​</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Deferred</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 Cash and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​​​Additional</w:t>
            </w:r>
          </w:p>
        </w:tc>
      </w:tr>
      <w:tr>
        <w:trPr>
          <w:trHeight w:val="135"/>
        </w:trPr>
        <w:tc>
          <w:tcPr>
            <w:tcW w:w="3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UW Fee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8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cash</w:t>
            </w:r>
          </w:p>
        </w:tc>
        <w:tc>
          <w:tcPr>
            <w:tcW w:w="100" w:type="dxa"/>
            <w:vAlign w:val="bottom"/>
          </w:tcPr>
          <w:p>
            <w:pPr>
              <w:spacing w:after="0"/>
              <w:rPr>
                <w:sz w:val="11"/>
                <w:szCs w:val="11"/>
                <w:color w:val="auto"/>
              </w:rPr>
            </w:pP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paid-in</w:t>
            </w:r>
          </w:p>
        </w:tc>
      </w:tr>
      <w:tr>
        <w:trPr>
          <w:trHeight w:val="133"/>
        </w:trPr>
        <w:tc>
          <w:tcPr>
            <w:tcW w:w="3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Payable</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80" w:type="dxa"/>
            <w:vAlign w:val="bottom"/>
          </w:tcPr>
          <w:p>
            <w:pPr>
              <w:spacing w:after="0"/>
              <w:rPr>
                <w:sz w:val="11"/>
                <w:szCs w:val="11"/>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equivalents</w:t>
            </w:r>
          </w:p>
        </w:tc>
        <w:tc>
          <w:tcPr>
            <w:tcW w:w="100" w:type="dxa"/>
            <w:vAlign w:val="bottom"/>
          </w:tcPr>
          <w:p>
            <w:pPr>
              <w:spacing w:after="0"/>
              <w:rPr>
                <w:sz w:val="11"/>
                <w:szCs w:val="11"/>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capital</w:t>
            </w:r>
          </w:p>
        </w:tc>
      </w:tr>
      <w:tr>
        <w:trPr>
          <w:trHeight w:val="157"/>
        </w:trPr>
        <w:tc>
          <w:tcPr>
            <w:tcW w:w="38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CGC cash payments of transaction expenses and adjustments</w:t>
            </w:r>
          </w:p>
        </w:tc>
        <w:tc>
          <w:tcPr>
            <w:tcW w:w="5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rPr>
              <w:t>(13,140)</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(1,147)</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(8,037)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6,250</w:t>
            </w:r>
          </w:p>
        </w:tc>
      </w:tr>
      <w:tr>
        <w:trPr>
          <w:trHeight w:val="17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Factorial cash payments of transaction expenses</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(2,205)</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(3,468)</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(8,349)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(9,612)</w:t>
            </w:r>
          </w:p>
        </w:tc>
      </w:tr>
      <w:tr>
        <w:trPr>
          <w:trHeight w:val="157"/>
        </w:trPr>
        <w:tc>
          <w:tcPr>
            <w:tcW w:w="38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(13,140)</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(3,352)</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w w:val="92"/>
              </w:rPr>
              <w:t>(3,468)</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(16,386)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(3,362)</w:t>
            </w:r>
          </w:p>
        </w:tc>
      </w:tr>
    </w:tbl>
    <w:p>
      <w:pPr>
        <w:spacing w:after="0" w:line="151" w:lineRule="exact"/>
        <w:rPr>
          <w:sz w:val="20"/>
          <w:szCs w:val="20"/>
          <w:color w:val="auto"/>
        </w:rPr>
      </w:pPr>
    </w:p>
    <w:p>
      <w:pPr>
        <w:ind w:left="1280" w:right="779" w:hanging="246"/>
        <w:spacing w:after="0" w:line="252" w:lineRule="auto"/>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Merger Effective Time, the Institutional Investor purchased from PubCo an aggregate of 6,340,000 shares of PubCo Series A Common Stock for an aggregate purchase price of $55,000, pursuant to a stock purchase agreement and the Sponsor Investor purchased from PubCo an aggregate of 1,179,404 shares of PubCo Series A Common Stock, for an aggregate purchase price of $9,681 pursuant to a stock purchase agreement. The Institutional Investor and the Sponsor Investor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 CGC incurred PIPE Financing transactions costs of $3,750, leading to net PIPE Financing proceeds of $60,931.</w:t>
      </w:r>
    </w:p>
    <w:p>
      <w:pPr>
        <w:spacing w:after="0" w:line="143" w:lineRule="exact"/>
        <w:rPr>
          <w:rFonts w:ascii="Times New Roman" w:cs="Times New Roman" w:eastAsia="Times New Roman" w:hAnsi="Times New Roman"/>
          <w:sz w:val="14"/>
          <w:szCs w:val="14"/>
          <w:color w:val="auto"/>
        </w:rPr>
      </w:pPr>
    </w:p>
    <w:p>
      <w:pPr>
        <w:ind w:left="1280" w:right="859" w:hanging="246"/>
        <w:spacing w:after="0" w:line="278" w:lineRule="auto"/>
        <w:tabs>
          <w:tab w:leader="none" w:pos="1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following pro forma adjustments for conversion of historical Factorial instruments associated with the Business Combination and the elimination of CGC accumulated deficit:</w:t>
      </w:r>
    </w:p>
    <w:p>
      <w:pPr>
        <w:spacing w:after="0" w:line="125" w:lineRule="exact"/>
        <w:rPr>
          <w:rFonts w:ascii="Times New Roman" w:cs="Times New Roman" w:eastAsia="Times New Roman" w:hAnsi="Times New Roman"/>
          <w:sz w:val="14"/>
          <w:szCs w:val="14"/>
          <w:color w:val="auto"/>
        </w:rPr>
      </w:pPr>
    </w:p>
    <w:p>
      <w:pPr>
        <w:ind w:left="1520" w:right="799" w:hanging="330"/>
        <w:spacing w:after="0" w:line="250" w:lineRule="auto"/>
        <w:tabs>
          <w:tab w:leader="none" w:pos="1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assumption includes the conversion of the $15,340 face value of the Factorial Convertible Notes which converted, at fair value, in accordance with the respective agreements resulting in 766,397 shares of Factorial Common Stock. The resulting 766,397 shares of Factorial Common Stock were then exchanged into 2,811,447 shares of PubCo Series A Common Stock with a $0.0001 par value per share in accordance with the Business Combination. The Company elected the Fair Value Option for the Factorial Convertible Notes in accordance with </w:t>
      </w:r>
      <w:r>
        <w:rPr>
          <w:rFonts w:ascii="Times New Roman" w:cs="Times New Roman" w:eastAsia="Times New Roman" w:hAnsi="Times New Roman"/>
          <w:sz w:val="14"/>
          <w:szCs w:val="14"/>
          <w:i w:val="1"/>
          <w:iCs w:val="1"/>
          <w:color w:val="auto"/>
        </w:rPr>
        <w:t>ASC 825, Financial Instruments</w:t>
      </w:r>
      <w:r>
        <w:rPr>
          <w:rFonts w:ascii="Times New Roman" w:cs="Times New Roman" w:eastAsia="Times New Roman" w:hAnsi="Times New Roman"/>
          <w:sz w:val="14"/>
          <w:szCs w:val="14"/>
          <w:color w:val="auto"/>
        </w:rPr>
        <w:t>. The Factorial Convertible Notes issued from issuance respectively through the three months ended March 31, 2026, included an aggregate fair value adjustment of $10,596 as of March 31, 2026. The pro forma adjustments also give effect to the change in conversion value of the Factorial Convertible Notes issued in May 2026 as a result of the Business Combination representing its carrying value of May 2026 Notes plus assumed interest through June 5, 2026 for pro forma purposes. As such, the estimated carrying value of the Factorial Convertible Notes required an incremental adjustment to accumulated deficit of $3,123, which consists of incremental value inclusive of the conversion value of interest to adjust the Factorial Convertible Notes to $29,059 as of the Merger Effective Time.</w:t>
      </w:r>
    </w:p>
    <w:p>
      <w:pPr>
        <w:spacing w:after="0" w:line="148" w:lineRule="exact"/>
        <w:rPr>
          <w:rFonts w:ascii="Times New Roman" w:cs="Times New Roman" w:eastAsia="Times New Roman" w:hAnsi="Times New Roman"/>
          <w:sz w:val="14"/>
          <w:szCs w:val="14"/>
          <w:color w:val="auto"/>
        </w:rPr>
      </w:pPr>
    </w:p>
    <w:p>
      <w:pPr>
        <w:ind w:left="1520" w:right="999" w:hanging="369"/>
        <w:spacing w:after="0" w:line="318" w:lineRule="auto"/>
        <w:tabs>
          <w:tab w:leader="none" w:pos="152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of 18,349,937 shares of Factorial Preferred Stock into Factorial Common Stock on a one-to-one basis and then exchanged into 67,314,957 shares of PubCo Series A Common Stock with a $0.0001 par value per share.</w:t>
      </w:r>
    </w:p>
    <w:p>
      <w:pPr>
        <w:spacing w:after="0" w:line="102" w:lineRule="exact"/>
        <w:rPr>
          <w:rFonts w:ascii="Times New Roman" w:cs="Times New Roman" w:eastAsia="Times New Roman" w:hAnsi="Times New Roman"/>
          <w:sz w:val="13"/>
          <w:szCs w:val="13"/>
          <w:color w:val="auto"/>
        </w:rPr>
      </w:pPr>
    </w:p>
    <w:p>
      <w:pPr>
        <w:ind w:left="1520" w:right="819" w:hanging="407"/>
        <w:spacing w:after="0" w:line="318" w:lineRule="auto"/>
        <w:tabs>
          <w:tab w:leader="none" w:pos="152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cashless exercise of 295,558 Factorial Warrants into 362,625 shares of Factorial Common Stock immediately before the consummation of the Business Combination and then exchanged into 372,907 PubCo Series A Common Stock.</w:t>
      </w:r>
    </w:p>
    <w:p>
      <w:pPr>
        <w:spacing w:after="0" w:line="102" w:lineRule="exact"/>
        <w:rPr>
          <w:rFonts w:ascii="Times New Roman" w:cs="Times New Roman" w:eastAsia="Times New Roman" w:hAnsi="Times New Roman"/>
          <w:sz w:val="13"/>
          <w:szCs w:val="13"/>
          <w:color w:val="auto"/>
        </w:rPr>
      </w:pPr>
    </w:p>
    <w:p>
      <w:pPr>
        <w:ind w:left="1520" w:right="959" w:hanging="390"/>
        <w:spacing w:after="0" w:line="278" w:lineRule="auto"/>
        <w:tabs>
          <w:tab w:leader="none" w:pos="1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839,951 shares of Factorial Common Stock into 3,081,263 shares of PubCo Series A Common Stock with a $0.0001 par value per share.</w:t>
      </w:r>
    </w:p>
    <w:p>
      <w:pPr>
        <w:spacing w:after="0" w:line="125" w:lineRule="exact"/>
        <w:rPr>
          <w:rFonts w:ascii="Times New Roman" w:cs="Times New Roman" w:eastAsia="Times New Roman" w:hAnsi="Times New Roman"/>
          <w:sz w:val="14"/>
          <w:szCs w:val="14"/>
          <w:color w:val="auto"/>
        </w:rPr>
      </w:pPr>
    </w:p>
    <w:p>
      <w:pPr>
        <w:ind w:left="1520" w:right="779" w:hanging="352"/>
        <w:spacing w:after="0" w:line="278" w:lineRule="auto"/>
        <w:tabs>
          <w:tab w:leader="none" w:pos="1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4,228,739 shares of Factorial Common Stock into 15,512,744 shares of PubCo Series B Common Stock with a $0.0001 par value per share. This adjustment has no impact on additional paid-in capital.</w:t>
      </w:r>
    </w:p>
    <w:p>
      <w:pPr>
        <w:spacing w:after="0" w:line="125" w:lineRule="exact"/>
        <w:rPr>
          <w:rFonts w:ascii="Times New Roman" w:cs="Times New Roman" w:eastAsia="Times New Roman" w:hAnsi="Times New Roman"/>
          <w:sz w:val="14"/>
          <w:szCs w:val="14"/>
          <w:color w:val="auto"/>
        </w:rPr>
      </w:pPr>
    </w:p>
    <w:p>
      <w:pPr>
        <w:jc w:val="both"/>
        <w:ind w:left="1520" w:right="879" w:hanging="399"/>
        <w:spacing w:after="0" w:line="262" w:lineRule="auto"/>
        <w:tabs>
          <w:tab w:leader="none" w:pos="1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removal of Factorial Treasury Stock into additional paid-in capital immediately prior to the Merger Effective Time by the Company as treasury stock was be automatically cancelled and extinguished, and no consideration was paid with respect thereto.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551" w:right="1440"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520" w:right="879" w:hanging="438"/>
        <w:spacing w:after="0" w:line="253" w:lineRule="auto"/>
        <w:tabs>
          <w:tab w:leader="none" w:pos="1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of historical CGC accumulated deficit of $14,009, through additional paid-in capital, net of the accumulated deficit impact of the assumed $3,123 change in fair value on the Factorial Convertible Notes discussed in footnote (e)(i). The income impact of the CGC pro forma interest earned on investments held in Trust of $1,611 discussed in footnotes (b) and (f)(i) and the accumulated deficit impact of the CGC transaction costs estimated to be incurred after May 31, 2026 of $2,590 discussed in footnote (c) are reclassified into additional paid-in capital due to the effects of the Business Combination as they represent income and expenses of CGC that are eliminated.</w:t>
      </w:r>
    </w:p>
    <w:p>
      <w:pPr>
        <w:spacing w:after="0" w:line="145" w:lineRule="exact"/>
        <w:rPr>
          <w:rFonts w:ascii="Times New Roman" w:cs="Times New Roman" w:eastAsia="Times New Roman" w:hAnsi="Times New Roman"/>
          <w:sz w:val="14"/>
          <w:szCs w:val="14"/>
          <w:color w:val="auto"/>
        </w:rPr>
      </w:pPr>
    </w:p>
    <w:p>
      <w:pPr>
        <w:ind w:left="1280" w:right="779" w:hanging="246"/>
        <w:spacing w:after="0" w:line="278" w:lineRule="auto"/>
        <w:tabs>
          <w:tab w:leader="none" w:pos="1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following pro forma adjustments for redemptions associated with the Business Combination (refer to below table for pro forma entries):</w:t>
      </w:r>
    </w:p>
    <w:p>
      <w:pPr>
        <w:spacing w:after="0" w:line="125" w:lineRule="exact"/>
        <w:rPr>
          <w:rFonts w:ascii="Times New Roman" w:cs="Times New Roman" w:eastAsia="Times New Roman" w:hAnsi="Times New Roman"/>
          <w:sz w:val="14"/>
          <w:szCs w:val="14"/>
          <w:color w:val="auto"/>
        </w:rPr>
      </w:pPr>
    </w:p>
    <w:p>
      <w:pPr>
        <w:ind w:left="1520" w:right="899" w:hanging="330"/>
        <w:spacing w:after="0" w:line="262" w:lineRule="auto"/>
        <w:tabs>
          <w:tab w:leader="none" w:pos="15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4,548,687 CGC Class A Ordinary shares previously subject to redemption for cash but not redeemed (accreted to the Redemption Price through an adjustment to accumulated deficit of $1,611 through the adjustment discussed in footnote (b)) and transferred to shareholders’ equity at $0.00001 par value.</w:t>
      </w:r>
    </w:p>
    <w:p>
      <w:pPr>
        <w:spacing w:after="0" w:line="137" w:lineRule="exact"/>
        <w:rPr>
          <w:rFonts w:ascii="Times New Roman" w:cs="Times New Roman" w:eastAsia="Times New Roman" w:hAnsi="Times New Roman"/>
          <w:sz w:val="14"/>
          <w:szCs w:val="14"/>
          <w:color w:val="auto"/>
        </w:rPr>
      </w:pPr>
    </w:p>
    <w:p>
      <w:pPr>
        <w:jc w:val="both"/>
        <w:ind w:left="1520" w:right="919" w:hanging="369"/>
        <w:spacing w:after="0" w:line="292" w:lineRule="auto"/>
        <w:tabs>
          <w:tab w:leader="none" w:pos="152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of 6,900,000 CGC Class B Shares into 6,900,000 shares of PubCo Series A Common Stock, with a par value $0.00001 per share. Additionally, both the CGC Private Warrants and CGC Public Warrants survive the Business Combination and convert into PubCo Warrants and therefore result in no pro forma financial statement impact.</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880" w:type="dxa"/>
            <w:vAlign w:val="bottom"/>
            <w:gridSpan w:val="2"/>
          </w:tcPr>
          <w:p>
            <w:pPr>
              <w:ind w:left="378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CGC</w:t>
            </w:r>
          </w:p>
        </w:tc>
        <w:tc>
          <w:tcPr>
            <w:tcW w:w="560" w:type="dxa"/>
            <w:vAlign w:val="bottom"/>
            <w:gridSpan w:val="2"/>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ind w:right="565"/>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5"/>
        </w:trPr>
        <w:tc>
          <w:tcPr>
            <w:tcW w:w="3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5"/>
        </w:trPr>
        <w:tc>
          <w:tcPr>
            <w:tcW w:w="3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CGC</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41"/>
              <w:spacing w:after="0" w:line="125" w:lineRule="exact"/>
              <w:rPr>
                <w:sz w:val="20"/>
                <w:szCs w:val="20"/>
                <w:color w:val="auto"/>
              </w:rPr>
            </w:pPr>
            <w:r>
              <w:rPr>
                <w:rFonts w:ascii="Times New Roman" w:cs="Times New Roman" w:eastAsia="Times New Roman" w:hAnsi="Times New Roman"/>
                <w:sz w:val="11"/>
                <w:szCs w:val="11"/>
                <w:b w:val="1"/>
                <w:bCs w:val="1"/>
                <w:color w:val="auto"/>
                <w:w w:val="98"/>
              </w:rPr>
              <w:t>PubCo</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Cash</w:t>
            </w:r>
          </w:p>
        </w:tc>
      </w:tr>
      <w:tr>
        <w:trPr>
          <w:trHeight w:val="125"/>
        </w:trPr>
        <w:tc>
          <w:tcPr>
            <w:tcW w:w="3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1"/>
                <w:szCs w:val="11"/>
                <w:b w:val="1"/>
                <w:bCs w:val="1"/>
                <w:color w:val="auto"/>
                <w:w w:val="97"/>
              </w:rPr>
              <w:t>Series A</w:t>
            </w: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and</w:t>
            </w:r>
          </w:p>
        </w:tc>
      </w:tr>
      <w:tr>
        <w:trPr>
          <w:trHeight w:val="135"/>
        </w:trPr>
        <w:tc>
          <w:tcPr>
            <w:tcW w:w="3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Subject to</w:t>
            </w:r>
          </w:p>
        </w:tc>
        <w:tc>
          <w:tcPr>
            <w:tcW w:w="10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cash</w:t>
            </w:r>
          </w:p>
        </w:tc>
      </w:tr>
      <w:tr>
        <w:trPr>
          <w:trHeight w:val="133"/>
        </w:trPr>
        <w:tc>
          <w:tcPr>
            <w:tcW w:w="38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equivalents</w:t>
            </w:r>
          </w:p>
        </w:tc>
      </w:tr>
      <w:tr>
        <w:trPr>
          <w:trHeight w:val="32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(285,869)</w:t>
            </w:r>
          </w:p>
        </w:tc>
        <w:tc>
          <w:tcPr>
            <w:tcW w:w="10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47,379</w:t>
            </w:r>
          </w:p>
        </w:tc>
        <w:tc>
          <w:tcPr>
            <w:tcW w:w="6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4"/>
                <w:szCs w:val="14"/>
                <w:color w:val="auto"/>
                <w:w w:val="98"/>
              </w:rPr>
              <w:t>(240,101)</w:t>
            </w:r>
          </w:p>
        </w:tc>
      </w:tr>
      <w:tr>
        <w:trPr>
          <w:trHeight w:val="177"/>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CGC Class B Conversion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388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gridSpan w:val="2"/>
            <w:shd w:val="clear" w:color="auto" w:fill="CCEEFF"/>
          </w:tcPr>
          <w:p>
            <w:pPr>
              <w:spacing w:after="0" w:line="20" w:lineRule="exact"/>
              <w:rPr>
                <w:sz w:val="1"/>
                <w:szCs w:val="1"/>
                <w:color w:val="auto"/>
              </w:rPr>
            </w:pPr>
          </w:p>
        </w:tc>
      </w:tr>
      <w:tr>
        <w:trPr>
          <w:trHeight w:val="31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(285,869)</w:t>
            </w:r>
          </w:p>
        </w:tc>
        <w:tc>
          <w:tcPr>
            <w:tcW w:w="10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(1,611)</w:t>
            </w:r>
          </w:p>
        </w:tc>
        <w:tc>
          <w:tcPr>
            <w:tcW w:w="5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14</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47,379</w:t>
            </w:r>
          </w:p>
        </w:tc>
        <w:tc>
          <w:tcPr>
            <w:tcW w:w="6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(240,101)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551" w:right="1440" w:bottom="1440" w:gutter="0" w:footer="0" w:header="0"/>
        </w:sectPr>
      </w:pPr>
    </w:p>
    <w:bookmarkStart w:id="60" w:name="page61"/>
    <w:bookmarkEnd w:id="6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Condensed Combined Pro Forma Statement of Operations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69"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3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w w:val="94"/>
              </w:rPr>
              <w:t>Historical</w:t>
            </w:r>
          </w:p>
        </w:tc>
        <w:tc>
          <w:tcPr>
            <w:tcW w:w="58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gridSpan w:val="9"/>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3"/>
          </w:tcPr>
          <w:p>
            <w:pPr>
              <w:jc w:val="right"/>
              <w:ind w:right="25"/>
              <w:spacing w:after="0" w:line="106" w:lineRule="exact"/>
              <w:rPr>
                <w:sz w:val="20"/>
                <w:szCs w:val="20"/>
                <w:color w:val="auto"/>
              </w:rPr>
            </w:pPr>
            <w:r>
              <w:rPr>
                <w:rFonts w:ascii="Times New Roman" w:cs="Times New Roman" w:eastAsia="Times New Roman" w:hAnsi="Times New Roman"/>
                <w:sz w:val="11"/>
                <w:szCs w:val="11"/>
                <w:b w:val="1"/>
                <w:bCs w:val="1"/>
                <w:color w:val="auto"/>
                <w:w w:val="98"/>
              </w:rPr>
              <w:t>Transaction</w:t>
            </w: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5"/>
              <w:spacing w:after="0" w:line="106"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tcPr>
          <w:p>
            <w:pPr>
              <w:jc w:val="right"/>
              <w:ind w:right="25"/>
              <w:spacing w:after="0" w:line="114"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gridSpan w:val="2"/>
          </w:tcPr>
          <w:p>
            <w:pPr>
              <w:jc w:val="center"/>
              <w:ind w:right="205"/>
              <w:spacing w:after="0" w:line="114"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30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vMerge w:val="restart"/>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CGCT</w:t>
            </w:r>
          </w:p>
        </w:tc>
        <w:tc>
          <w:tcPr>
            <w:tcW w:w="220" w:type="dxa"/>
            <w:vAlign w:val="bottom"/>
            <w:gridSpan w:val="2"/>
            <w:vMerge w:val="continue"/>
          </w:tcPr>
          <w:p>
            <w:pPr>
              <w:spacing w:after="0"/>
              <w:rPr>
                <w:sz w:val="9"/>
                <w:szCs w:val="9"/>
                <w:color w:val="auto"/>
              </w:rPr>
            </w:pPr>
          </w:p>
        </w:tc>
        <w:tc>
          <w:tcPr>
            <w:tcW w:w="58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98"/>
              </w:rPr>
              <w:t>Factorial</w:t>
            </w:r>
          </w:p>
        </w:tc>
        <w:tc>
          <w:tcPr>
            <w:tcW w:w="2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940" w:type="dxa"/>
            <w:vAlign w:val="bottom"/>
            <w:gridSpan w:val="2"/>
            <w:vMerge w:val="restart"/>
          </w:tcPr>
          <w:p>
            <w:pPr>
              <w:jc w:val="center"/>
              <w:ind w:right="185"/>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vMerge w:val="continue"/>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Operating expenses:</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3520" w:type="dxa"/>
            <w:vAlign w:val="bottom"/>
          </w:tcPr>
          <w:p>
            <w:pPr>
              <w:ind w:left="80"/>
              <w:spacing w:after="0" w:line="125" w:lineRule="exact"/>
              <w:rPr>
                <w:sz w:val="20"/>
                <w:szCs w:val="20"/>
                <w:color w:val="auto"/>
              </w:rPr>
            </w:pPr>
            <w:r>
              <w:rPr>
                <w:rFonts w:ascii="Times New Roman" w:cs="Times New Roman" w:eastAsia="Times New Roman" w:hAnsi="Times New Roman"/>
                <w:sz w:val="11"/>
                <w:szCs w:val="11"/>
                <w:color w:val="auto"/>
              </w:rPr>
              <w:t>Research and development, net</w:t>
            </w:r>
          </w:p>
        </w:tc>
        <w:tc>
          <w:tcPr>
            <w:tcW w:w="300" w:type="dxa"/>
            <w:vAlign w:val="bottom"/>
            <w:gridSpan w:val="2"/>
          </w:tcPr>
          <w:p>
            <w:pPr>
              <w:jc w:val="right"/>
              <w:ind w:right="45"/>
              <w:spacing w:after="0" w:line="12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1,942</w:t>
            </w:r>
          </w:p>
        </w:tc>
        <w:tc>
          <w:tcPr>
            <w:tcW w:w="280" w:type="dxa"/>
            <w:vAlign w:val="bottom"/>
            <w:gridSpan w:val="2"/>
          </w:tcPr>
          <w:p>
            <w:pPr>
              <w:jc w:val="right"/>
              <w:ind w:right="65"/>
              <w:spacing w:after="0" w:line="12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45"/>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1,942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(a)</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7,950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1"/>
                <w:szCs w:val="11"/>
                <w:color w:val="auto"/>
              </w:rPr>
              <w:t>Total operating expense</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rPr>
              <w:t>811</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6,491</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2,590</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rPr>
              <w:t>9,892</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Loss from operations</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ind w:left="420"/>
              <w:spacing w:after="0" w:line="115" w:lineRule="exact"/>
              <w:rPr>
                <w:sz w:val="20"/>
                <w:szCs w:val="20"/>
                <w:color w:val="auto"/>
              </w:rPr>
            </w:pPr>
            <w:r>
              <w:rPr>
                <w:rFonts w:ascii="Times New Roman" w:cs="Times New Roman" w:eastAsia="Times New Roman" w:hAnsi="Times New Roman"/>
                <w:sz w:val="11"/>
                <w:szCs w:val="11"/>
                <w:color w:val="auto"/>
                <w:w w:val="92"/>
              </w:rPr>
              <w:t>(811)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(6,491)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(2,590)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(9,892)</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2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Financing costs related to issuance of convertible promissory note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65"/>
              <w:spacing w:after="0" w:line="12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35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Change in fair value of warrant liability</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gridSpan w:val="2"/>
            <w:shd w:val="clear" w:color="auto" w:fill="CCEEFF"/>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5"/>
              <w:spacing w:after="0" w:line="12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352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Change in fair value of convertible promissory notes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(1,707)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1,707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165"/>
              <w:spacing w:after="0" w:line="12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(2,492)</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(c)</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(234)</w:t>
            </w:r>
          </w:p>
        </w:tc>
        <w:tc>
          <w:tcPr>
            <w:tcW w:w="0" w:type="dxa"/>
            <w:vAlign w:val="bottom"/>
          </w:tcPr>
          <w:p>
            <w:pPr>
              <w:spacing w:after="0"/>
              <w:rPr>
                <w:sz w:val="1"/>
                <w:szCs w:val="1"/>
                <w:color w:val="auto"/>
              </w:rPr>
            </w:pPr>
          </w:p>
        </w:tc>
      </w:tr>
      <w:tr>
        <w:trPr>
          <w:trHeight w:val="115"/>
        </w:trPr>
        <w:tc>
          <w:tcPr>
            <w:tcW w:w="35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Income (loss) before provision for income taxes</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rPr>
              <w:t>1,680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(8,575)</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(3,232)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 tax expense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352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income/(loss)</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rPr>
              <w:t>1,680</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(8,575)</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(3,232)</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(10,126)</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352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Basic and diluted weighted average shares outstanding, Class A Common</w:t>
            </w: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 Subject to Redemption</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27,600,000</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Basic and diluted net income per share, Class A Common Stock Subject to</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Redemption</w:t>
            </w:r>
          </w:p>
        </w:tc>
        <w:tc>
          <w:tcPr>
            <w:tcW w:w="30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0.06</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2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Basic and diluted weighted average common stock outstanding, CGC Class B</w:t>
            </w: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Stock, non-redeemable</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6,900,000</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Basic net loss per share, CGC Class B Common Stock, non-redeemable</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rPr>
              <w:t>0.24</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weighted average common stock outstanding</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5,056,994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net loss per share, common stock</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(1.70)</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pro forma weighted average shares outstanding</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ind w:left="180"/>
              <w:spacing w:after="0" w:line="115" w:lineRule="exact"/>
              <w:rPr>
                <w:sz w:val="20"/>
                <w:szCs w:val="20"/>
                <w:color w:val="auto"/>
              </w:rPr>
            </w:pPr>
            <w:r>
              <w:rPr>
                <w:rFonts w:ascii="Times New Roman" w:cs="Times New Roman" w:eastAsia="Times New Roman" w:hAnsi="Times New Roman"/>
                <w:sz w:val="11"/>
                <w:szCs w:val="11"/>
                <w:color w:val="auto"/>
              </w:rPr>
              <w:t xml:space="preserve">107,023,245 </w:t>
            </w:r>
            <w:r>
              <w:rPr>
                <w:rFonts w:ascii="Times New Roman" w:cs="Times New Roman" w:eastAsia="Times New Roman" w:hAnsi="Times New Roman"/>
                <w:sz w:val="11"/>
                <w:szCs w:val="11"/>
                <w:b w:val="1"/>
                <w:bCs w:val="1"/>
                <w:color w:val="auto"/>
              </w:rPr>
              <w:t>(d)</w:t>
            </w:r>
          </w:p>
        </w:tc>
        <w:tc>
          <w:tcPr>
            <w:tcW w:w="0" w:type="dxa"/>
            <w:vAlign w:val="bottom"/>
          </w:tcPr>
          <w:p>
            <w:pPr>
              <w:spacing w:after="0"/>
              <w:rPr>
                <w:sz w:val="1"/>
                <w:szCs w:val="1"/>
                <w:color w:val="auto"/>
              </w:rPr>
            </w:pPr>
          </w:p>
        </w:tc>
      </w:tr>
      <w:tr>
        <w:trPr>
          <w:trHeight w:val="115"/>
        </w:trPr>
        <w:tc>
          <w:tcPr>
            <w:tcW w:w="35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pro forma net loss per share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(0.09)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760" w:right="819" w:firstLine="249"/>
        <w:spacing w:after="0" w:line="281" w:lineRule="auto"/>
        <w:rPr>
          <w:sz w:val="20"/>
          <w:szCs w:val="20"/>
          <w:color w:val="auto"/>
        </w:rPr>
      </w:pPr>
      <w:r>
        <w:rPr>
          <w:rFonts w:ascii="Times New Roman" w:cs="Times New Roman" w:eastAsia="Times New Roman" w:hAnsi="Times New Roman"/>
          <w:sz w:val="14"/>
          <w:szCs w:val="14"/>
          <w:b w:val="1"/>
          <w:bCs w:val="1"/>
          <w:color w:val="auto"/>
        </w:rPr>
        <w:t>The pro forma adjustments to the unaudited condensed combined pro forma statement of operations for the three months ended March 31, 2026 consist of the following:</w:t>
      </w:r>
    </w:p>
    <w:p>
      <w:pPr>
        <w:spacing w:after="0" w:line="93" w:lineRule="exact"/>
        <w:rPr>
          <w:sz w:val="20"/>
          <w:szCs w:val="20"/>
          <w:color w:val="auto"/>
        </w:rPr>
      </w:pPr>
    </w:p>
    <w:p>
      <w:pPr>
        <w:ind w:left="1280" w:right="779" w:hanging="246"/>
        <w:spacing w:after="0" w:line="255" w:lineRule="auto"/>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CGC’s transaction expenses of approximately $2,590 ($3,737 total less $1,147 expensed by CGC through March 31, 2026)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p>
      <w:pPr>
        <w:spacing w:after="0" w:line="110" w:lineRule="exact"/>
        <w:rPr>
          <w:rFonts w:ascii="Times New Roman" w:cs="Times New Roman" w:eastAsia="Times New Roman" w:hAnsi="Times New Roman"/>
          <w:sz w:val="14"/>
          <w:szCs w:val="14"/>
          <w:color w:val="auto"/>
        </w:rPr>
      </w:pPr>
    </w:p>
    <w:p>
      <w:pPr>
        <w:ind w:left="1280" w:right="819" w:hanging="246"/>
        <w:spacing w:after="0" w:line="253" w:lineRule="auto"/>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eliminate the financing costs related to Factorial’s issuance of Factorial Convertible Notes during the three months ended March 31, 2026, the change in fair value of the Factorial Convertible Notes issued during the three months ended March 31, 2026, and change in the fair value of the Factorial Warrants during the three months ended March 31, 2026,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p>
      <w:pPr>
        <w:spacing w:after="0" w:line="124" w:lineRule="exact"/>
        <w:rPr>
          <w:rFonts w:ascii="Times New Roman" w:cs="Times New Roman" w:eastAsia="Times New Roman" w:hAnsi="Times New Roman"/>
          <w:sz w:val="14"/>
          <w:szCs w:val="14"/>
          <w:color w:val="auto"/>
        </w:rPr>
      </w:pPr>
    </w:p>
    <w:p>
      <w:pPr>
        <w:ind w:left="1280" w:right="879" w:hanging="246"/>
        <w:spacing w:after="0" w:line="278" w:lineRule="auto"/>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eliminate interest earned on marketable securities held in the Trust Account associated with the proceeds from CGC’s IPO held in Trust for the three months ended March 31, 2026.</w:t>
      </w:r>
    </w:p>
    <w:p>
      <w:pPr>
        <w:spacing w:after="0" w:line="94" w:lineRule="exact"/>
        <w:rPr>
          <w:rFonts w:ascii="Times New Roman" w:cs="Times New Roman" w:eastAsia="Times New Roman" w:hAnsi="Times New Roman"/>
          <w:sz w:val="14"/>
          <w:szCs w:val="14"/>
          <w:color w:val="auto"/>
        </w:rPr>
      </w:pPr>
    </w:p>
    <w:p>
      <w:pPr>
        <w:ind w:left="1280" w:right="779" w:hanging="246"/>
        <w:spacing w:after="0" w:line="255" w:lineRule="auto"/>
        <w:tabs>
          <w:tab w:leader="none" w:pos="1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53"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Net loss per share was calculated using the historical weighted average shares outstanding, and the issuance of additional shares in connection with the Business Combination, assuming the shares were outstanding since January 1, 2025.</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551" w:right="1440"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firstLine="249"/>
        <w:spacing w:after="0" w:line="274" w:lineRule="auto"/>
        <w:rPr>
          <w:sz w:val="20"/>
          <w:szCs w:val="20"/>
          <w:color w:val="auto"/>
        </w:rPr>
      </w:pPr>
      <w:r>
        <w:rPr>
          <w:rFonts w:ascii="Times New Roman" w:cs="Times New Roman" w:eastAsia="Times New Roman" w:hAnsi="Times New Roman"/>
          <w:sz w:val="13"/>
          <w:szCs w:val="13"/>
          <w:color w:val="auto"/>
        </w:rPr>
        <w:t>The following unaudited pro forma condensed combined financial information has been prepared to present the actual impact of redemptions of ordinary shares by Public Shareholders at the time of the Business Combination for the three months ended March 31, 2026.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spacing w:after="0" w:line="110"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380" w:type="dxa"/>
            <w:vAlign w:val="bottom"/>
          </w:tcPr>
          <w:p>
            <w:pPr>
              <w:spacing w:after="0"/>
              <w:rPr>
                <w:sz w:val="11"/>
                <w:szCs w:val="11"/>
                <w:color w:val="auto"/>
              </w:rPr>
            </w:pPr>
          </w:p>
        </w:tc>
        <w:tc>
          <w:tcPr>
            <w:tcW w:w="3140" w:type="dxa"/>
            <w:vAlign w:val="bottom"/>
            <w:gridSpan w:val="4"/>
          </w:tcPr>
          <w:p>
            <w:pPr>
              <w:ind w:left="1800"/>
              <w:spacing w:after="0"/>
              <w:rPr>
                <w:sz w:val="20"/>
                <w:szCs w:val="20"/>
                <w:color w:val="auto"/>
              </w:rPr>
            </w:pPr>
            <w:r>
              <w:rPr>
                <w:rFonts w:ascii="Times New Roman" w:cs="Times New Roman" w:eastAsia="Times New Roman" w:hAnsi="Times New Roman"/>
                <w:sz w:val="11"/>
                <w:szCs w:val="11"/>
                <w:b w:val="1"/>
                <w:bCs w:val="1"/>
                <w:color w:val="auto"/>
              </w:rPr>
              <w:t>​​​  Pro Forma Combined</w:t>
            </w:r>
          </w:p>
        </w:tc>
        <w:tc>
          <w:tcPr>
            <w:tcW w:w="0" w:type="dxa"/>
            <w:vAlign w:val="bottom"/>
          </w:tcPr>
          <w:p>
            <w:pPr>
              <w:spacing w:after="0"/>
              <w:rPr>
                <w:sz w:val="1"/>
                <w:szCs w:val="1"/>
                <w:color w:val="auto"/>
              </w:rPr>
            </w:pPr>
          </w:p>
        </w:tc>
      </w:tr>
      <w:tr>
        <w:trPr>
          <w:trHeight w:val="157"/>
        </w:trPr>
        <w:tc>
          <w:tcPr>
            <w:tcW w:w="43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8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loss</w:t>
            </w:r>
          </w:p>
        </w:tc>
        <w:tc>
          <w:tcPr>
            <w:tcW w:w="2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Pro forma basic and diluted net loss per share</w:t>
            </w:r>
          </w:p>
        </w:tc>
        <w:tc>
          <w:tcPr>
            <w:tcW w:w="18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(0.09)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 of PubCo Common Stock</w:t>
            </w: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CGC’s Public Shareholders</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4,548,687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Sponsor and DirectorCo</w:t>
            </w: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Institutional Investor</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PIPE Sponsor Investor</w:t>
            </w: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Factorial Shareholders</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89,083,036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Cantor Advisory Fee</w:t>
            </w:r>
          </w:p>
        </w:tc>
        <w:tc>
          <w:tcPr>
            <w:tcW w:w="18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shares outstanding</w:t>
            </w:r>
          </w:p>
        </w:tc>
        <w:tc>
          <w:tcPr>
            <w:tcW w:w="18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107,023,245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551" w:right="1440"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Condensed Combined Pro Forma Statement of Operations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0"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060" w:type="dxa"/>
            <w:vAlign w:val="bottom"/>
          </w:tcPr>
          <w:p>
            <w:pPr>
              <w:spacing w:after="0"/>
              <w:rPr>
                <w:sz w:val="11"/>
                <w:szCs w:val="11"/>
                <w:color w:val="auto"/>
              </w:rPr>
            </w:pPr>
          </w:p>
        </w:tc>
        <w:tc>
          <w:tcPr>
            <w:tcW w:w="1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3"/>
          </w:tcPr>
          <w:p>
            <w:pPr>
              <w:jc w:val="center"/>
              <w:ind w:left="285"/>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8"/>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8"/>
              </w:rPr>
              <w:t>Transaction</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25"/>
              <w:spacing w:after="0" w:line="106" w:lineRule="exact"/>
              <w:rPr>
                <w:sz w:val="20"/>
                <w:szCs w:val="20"/>
                <w:color w:val="auto"/>
              </w:rPr>
            </w:pPr>
            <w:r>
              <w:rPr>
                <w:rFonts w:ascii="Times New Roman" w:cs="Times New Roman" w:eastAsia="Times New Roman" w:hAnsi="Times New Roman"/>
                <w:sz w:val="11"/>
                <w:szCs w:val="11"/>
                <w:b w:val="1"/>
                <w:bCs w:val="1"/>
                <w:color w:val="auto"/>
                <w:w w:val="96"/>
              </w:rPr>
              <w:t>Pro Forma</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Accounting</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Statement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CGCT</w:t>
            </w: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 Factorial</w:t>
            </w:r>
          </w:p>
        </w:tc>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720" w:type="dxa"/>
            <w:vAlign w:val="bottom"/>
            <w:gridSpan w:val="3"/>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 Operations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Operating expenses:</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jc w:val="center"/>
              <w:ind w:right="25"/>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4060" w:type="dxa"/>
            <w:vAlign w:val="bottom"/>
          </w:tcPr>
          <w:p>
            <w:pPr>
              <w:ind w:left="80"/>
              <w:spacing w:after="0" w:line="125" w:lineRule="exact"/>
              <w:rPr>
                <w:sz w:val="20"/>
                <w:szCs w:val="20"/>
                <w:color w:val="auto"/>
              </w:rPr>
            </w:pPr>
            <w:r>
              <w:rPr>
                <w:rFonts w:ascii="Times New Roman" w:cs="Times New Roman" w:eastAsia="Times New Roman" w:hAnsi="Times New Roman"/>
                <w:sz w:val="11"/>
                <w:szCs w:val="11"/>
                <w:color w:val="auto"/>
              </w:rPr>
              <w:t>Research and development, net</w:t>
            </w:r>
          </w:p>
        </w:tc>
        <w:tc>
          <w:tcPr>
            <w:tcW w:w="1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45"/>
              <w:spacing w:after="0" w:line="125"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24,323</w:t>
            </w:r>
          </w:p>
        </w:tc>
        <w:tc>
          <w:tcPr>
            <w:tcW w:w="60" w:type="dxa"/>
            <w:vAlign w:val="bottom"/>
          </w:tcPr>
          <w:p>
            <w:pPr>
              <w:spacing w:after="0"/>
              <w:rPr>
                <w:sz w:val="10"/>
                <w:szCs w:val="10"/>
                <w:color w:val="auto"/>
              </w:rPr>
            </w:pPr>
          </w:p>
        </w:tc>
        <w:tc>
          <w:tcPr>
            <w:tcW w:w="220" w:type="dxa"/>
            <w:vAlign w:val="bottom"/>
            <w:gridSpan w:val="2"/>
          </w:tcPr>
          <w:p>
            <w:pPr>
              <w:jc w:val="right"/>
              <w:ind w:right="76"/>
              <w:spacing w:after="0" w:line="12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25"/>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24,323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1,158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22,202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3,061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rPr>
              <w:t>(a)</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26,421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Loss and impairment on lease termination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tcBorders>
            <w:shd w:val="clear" w:color="auto" w:fill="CCEEFF"/>
          </w:tcPr>
          <w:p>
            <w:pPr>
              <w:ind w:left="180"/>
              <w:spacing w:after="0" w:line="115" w:lineRule="exact"/>
              <w:rPr>
                <w:sz w:val="20"/>
                <w:szCs w:val="20"/>
                <w:color w:val="auto"/>
              </w:rPr>
            </w:pPr>
            <w:r>
              <w:rPr>
                <w:rFonts w:ascii="Times New Roman" w:cs="Times New Roman" w:eastAsia="Times New Roman" w:hAnsi="Times New Roman"/>
                <w:sz w:val="11"/>
                <w:szCs w:val="11"/>
                <w:color w:val="auto"/>
              </w:rPr>
              <w:t>Total operating expense</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1,158</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63,588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3,061</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67,807</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Loss from operations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(1,158)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(63,588)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(3,061)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(67,807)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Financing costs related to issuance of convertible promissory note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(4,608)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4,608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Change in fair value of warrant liability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(2,230)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2,230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Change in fair value of convertible promissory notes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(4,389)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4,389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rPr>
              <w:t>(b)</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(7,377)</w:t>
            </w:r>
          </w:p>
        </w:tc>
        <w:tc>
          <w:tcPr>
            <w:tcW w:w="60" w:type="dxa"/>
            <w:vAlign w:val="bottom"/>
          </w:tcPr>
          <w:p>
            <w:pPr>
              <w:spacing w:after="0"/>
              <w:rPr>
                <w:sz w:val="11"/>
                <w:szCs w:val="11"/>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Income (loss) before provision for income taxes</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6,219</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(73,845)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789</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(66,837)</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tax expense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Net income/(loss)</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6,219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(73,845)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789</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(66,837)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Basic and diluted weighted average shares outstanding, Class A Common Stock Subject to</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Redemption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18,197,802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net income per share, Class A Common Stock Subject to Redemption</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0.25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Basic weighted average common stock outstanding, CGC Class B Common Stock, non-</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redeemable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6,593,407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Basic net loss per share, CGC Class B Common Stock, non-redeemable</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0.25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Diluted weighted average common stock outstanding, CGC Class B Common Stock, non-</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redeemable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Diluted net loss per share, CGC Class B Common Stock, non-redeemable</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0.25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Basic and diluted weighted average common stock outstanding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5,026,704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0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Basic and diluted net loss per share, common stock</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(14.69)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Basic and diluted pro forma weighted average shares outstanding</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107,023,245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88"/>
              </w:rPr>
              <w:t>(d)</w:t>
            </w:r>
          </w:p>
        </w:tc>
        <w:tc>
          <w:tcPr>
            <w:tcW w:w="0" w:type="dxa"/>
            <w:vAlign w:val="bottom"/>
          </w:tcPr>
          <w:p>
            <w:pPr>
              <w:spacing w:after="0" w:line="20" w:lineRule="exact"/>
              <w:rPr>
                <w:sz w:val="1"/>
                <w:szCs w:val="1"/>
                <w:color w:val="auto"/>
              </w:rPr>
            </w:pPr>
          </w:p>
        </w:tc>
      </w:tr>
      <w:tr>
        <w:trPr>
          <w:trHeight w:val="179"/>
        </w:trPr>
        <w:tc>
          <w:tcPr>
            <w:tcW w:w="4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Basic and diluted pro forma net loss per share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(0.62)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The pro forma adjustments to the unaudited condensed combined pro forma statement of operations for the year ended</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 consist of the following:</w:t>
      </w:r>
    </w:p>
    <w:p>
      <w:pPr>
        <w:spacing w:after="0" w:line="156" w:lineRule="exact"/>
        <w:rPr>
          <w:sz w:val="20"/>
          <w:szCs w:val="20"/>
          <w:color w:val="auto"/>
        </w:rPr>
      </w:pPr>
    </w:p>
    <w:p>
      <w:pPr>
        <w:ind w:left="1280" w:right="779" w:hanging="246"/>
        <w:spacing w:after="0" w:line="255" w:lineRule="auto"/>
        <w:tabs>
          <w:tab w:leader="none" w:pos="1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CGC’s transaction expenses of approximately $3,061 ($3,737 total less $676 expensed by CGC through December 31, 2025)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p>
      <w:pPr>
        <w:spacing w:after="0" w:line="142" w:lineRule="exact"/>
        <w:rPr>
          <w:rFonts w:ascii="Times New Roman" w:cs="Times New Roman" w:eastAsia="Times New Roman" w:hAnsi="Times New Roman"/>
          <w:sz w:val="14"/>
          <w:szCs w:val="14"/>
          <w:color w:val="auto"/>
        </w:rPr>
      </w:pPr>
    </w:p>
    <w:p>
      <w:pPr>
        <w:ind w:left="1280" w:right="859" w:hanging="246"/>
        <w:spacing w:after="0" w:line="253" w:lineRule="auto"/>
        <w:tabs>
          <w:tab w:leader="none" w:pos="1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eliminate the financing costs related to Factorial’s issuance of Factorial Convertible Notes during the year ended December 31, 2025, the change in fair value of the Factorial Convertible Notes issued during the year ended December 31, 2025, and change in the fair value of the Factorial Warrants during the year ended December 31, 2025,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p>
      <w:pPr>
        <w:spacing w:after="0" w:line="145" w:lineRule="exact"/>
        <w:rPr>
          <w:rFonts w:ascii="Times New Roman" w:cs="Times New Roman" w:eastAsia="Times New Roman" w:hAnsi="Times New Roman"/>
          <w:sz w:val="14"/>
          <w:szCs w:val="14"/>
          <w:color w:val="auto"/>
        </w:rPr>
      </w:pPr>
    </w:p>
    <w:p>
      <w:pPr>
        <w:ind w:left="1280" w:right="879" w:hanging="246"/>
        <w:spacing w:after="0" w:line="278" w:lineRule="auto"/>
        <w:tabs>
          <w:tab w:leader="none" w:pos="1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eliminate interest earned on marketable securities held in the Trust Account associated with the proceeds from CGC’s IPO held in Trust for the year ended December 31, 2025.</w:t>
      </w:r>
    </w:p>
    <w:p>
      <w:pPr>
        <w:spacing w:after="0" w:line="125" w:lineRule="exact"/>
        <w:rPr>
          <w:rFonts w:ascii="Times New Roman" w:cs="Times New Roman" w:eastAsia="Times New Roman" w:hAnsi="Times New Roman"/>
          <w:sz w:val="14"/>
          <w:szCs w:val="14"/>
          <w:color w:val="auto"/>
        </w:rPr>
      </w:pPr>
    </w:p>
    <w:p>
      <w:pPr>
        <w:ind w:left="1280" w:right="779" w:hanging="246"/>
        <w:spacing w:after="0" w:line="255" w:lineRule="auto"/>
        <w:tabs>
          <w:tab w:leader="none" w:pos="1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551" w:right="1440"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73"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Net loss per share was calculated using the historical weighted average shares outstanding, and the issuance of additional shares in connection with the Business Combination, assuming the shares were outstanding since January 1, 2025.</w:t>
      </w:r>
    </w:p>
    <w:p>
      <w:pPr>
        <w:spacing w:after="0" w:line="126" w:lineRule="exact"/>
        <w:rPr>
          <w:sz w:val="20"/>
          <w:szCs w:val="20"/>
          <w:color w:val="auto"/>
        </w:rPr>
      </w:pPr>
    </w:p>
    <w:p>
      <w:pPr>
        <w:ind w:left="760" w:right="799" w:firstLine="249"/>
        <w:spacing w:after="0" w:line="274" w:lineRule="auto"/>
        <w:rPr>
          <w:sz w:val="20"/>
          <w:szCs w:val="20"/>
          <w:color w:val="auto"/>
        </w:rPr>
      </w:pPr>
      <w:r>
        <w:rPr>
          <w:rFonts w:ascii="Times New Roman" w:cs="Times New Roman" w:eastAsia="Times New Roman" w:hAnsi="Times New Roman"/>
          <w:sz w:val="13"/>
          <w:szCs w:val="13"/>
          <w:color w:val="auto"/>
        </w:rPr>
        <w:t>The following unaudited pro forma condensed combined financial information has been prepared to present the actual impact of redemptions of ordinary shares by Public Shareholders at the time of the Business Combination for the year ended December 31, 2025.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spacing w:after="0" w:line="131"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380" w:type="dxa"/>
            <w:vAlign w:val="bottom"/>
          </w:tcPr>
          <w:p>
            <w:pPr>
              <w:spacing w:after="0"/>
              <w:rPr>
                <w:sz w:val="11"/>
                <w:szCs w:val="11"/>
                <w:color w:val="auto"/>
              </w:rPr>
            </w:pPr>
          </w:p>
        </w:tc>
        <w:tc>
          <w:tcPr>
            <w:tcW w:w="3140" w:type="dxa"/>
            <w:vAlign w:val="bottom"/>
            <w:gridSpan w:val="4"/>
          </w:tcPr>
          <w:p>
            <w:pPr>
              <w:ind w:left="1800"/>
              <w:spacing w:after="0"/>
              <w:rPr>
                <w:sz w:val="20"/>
                <w:szCs w:val="20"/>
                <w:color w:val="auto"/>
              </w:rPr>
            </w:pPr>
            <w:r>
              <w:rPr>
                <w:rFonts w:ascii="Times New Roman" w:cs="Times New Roman" w:eastAsia="Times New Roman" w:hAnsi="Times New Roman"/>
                <w:sz w:val="11"/>
                <w:szCs w:val="11"/>
                <w:b w:val="1"/>
                <w:bCs w:val="1"/>
                <w:color w:val="auto"/>
              </w:rPr>
              <w:t>​​​  Pro Forma Combined</w:t>
            </w:r>
          </w:p>
        </w:tc>
        <w:tc>
          <w:tcPr>
            <w:tcW w:w="0" w:type="dxa"/>
            <w:vAlign w:val="bottom"/>
          </w:tcPr>
          <w:p>
            <w:pPr>
              <w:spacing w:after="0"/>
              <w:rPr>
                <w:sz w:val="1"/>
                <w:szCs w:val="1"/>
                <w:color w:val="auto"/>
              </w:rPr>
            </w:pPr>
          </w:p>
        </w:tc>
      </w:tr>
      <w:tr>
        <w:trPr>
          <w:trHeight w:val="157"/>
        </w:trPr>
        <w:tc>
          <w:tcPr>
            <w:tcW w:w="43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8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loss</w:t>
            </w:r>
          </w:p>
        </w:tc>
        <w:tc>
          <w:tcPr>
            <w:tcW w:w="2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Pro forma basic and diluted net loss per share</w:t>
            </w:r>
          </w:p>
        </w:tc>
        <w:tc>
          <w:tcPr>
            <w:tcW w:w="18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 of PubCo Common Stock</w:t>
            </w: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CGC’s Public Shareholders</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4,548,687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Sponsor and DirectorCo</w:t>
            </w: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Institutional Investor</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PIPE Sponsor Investor</w:t>
            </w: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Factorial Shareholders</w:t>
            </w:r>
          </w:p>
        </w:tc>
        <w:tc>
          <w:tcPr>
            <w:tcW w:w="1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89,083,036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Cantor Advisory Fee</w:t>
            </w:r>
          </w:p>
        </w:tc>
        <w:tc>
          <w:tcPr>
            <w:tcW w:w="18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shares outstanding</w:t>
            </w:r>
          </w:p>
        </w:tc>
        <w:tc>
          <w:tcPr>
            <w:tcW w:w="18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107,023,245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551" w:right="1440"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2" w:lineRule="exact"/>
        <w:rPr>
          <w:sz w:val="20"/>
          <w:szCs w:val="20"/>
          <w:color w:val="auto"/>
        </w:rPr>
      </w:pPr>
    </w:p>
    <w:p>
      <w:pPr>
        <w:jc w:val="both"/>
        <w:ind w:left="760" w:right="1019" w:firstLine="249"/>
        <w:spacing w:after="0" w:line="262" w:lineRule="auto"/>
        <w:rPr>
          <w:sz w:val="20"/>
          <w:szCs w:val="20"/>
          <w:color w:val="auto"/>
        </w:rPr>
      </w:pPr>
      <w:r>
        <w:rPr>
          <w:rFonts w:ascii="Times New Roman" w:cs="Times New Roman" w:eastAsia="Times New Roman" w:hAnsi="Times New Roman"/>
          <w:sz w:val="14"/>
          <w:szCs w:val="14"/>
          <w:color w:val="auto"/>
        </w:rPr>
        <w:t>Factorial Energy, a U.S.-based leader in solid-state battery technology, develops next-generation battery technology with high energy density for planned use in drones, on-road vehicles, mobile robots, energy storage, and other applications that demand high energy density.</w:t>
      </w:r>
    </w:p>
    <w:p>
      <w:pPr>
        <w:sectPr>
          <w:pgSz w:w="11900" w:h="16838" w:orient="portrait"/>
          <w:cols w:equalWidth="0" w:num="1">
            <w:col w:w="9019"/>
          </w:cols>
          <w:pgMar w:left="1440" w:top="551" w:right="1440" w:bottom="1440" w:gutter="0" w:footer="0" w:header="0"/>
        </w:sectPr>
      </w:pPr>
    </w:p>
    <w:p>
      <w:pPr>
        <w:spacing w:after="0" w:line="117" w:lineRule="exact"/>
        <w:rPr>
          <w:sz w:val="20"/>
          <w:szCs w:val="20"/>
          <w:color w:val="auto"/>
        </w:rPr>
      </w:pPr>
    </w:p>
    <w:p>
      <w:pPr>
        <w:ind w:left="760" w:firstLine="249"/>
        <w:spacing w:after="0" w:line="252" w:lineRule="auto"/>
        <w:rPr>
          <w:sz w:val="20"/>
          <w:szCs w:val="20"/>
          <w:color w:val="auto"/>
        </w:rPr>
      </w:pPr>
      <w:r>
        <w:rPr>
          <w:rFonts w:ascii="Times New Roman" w:cs="Times New Roman" w:eastAsia="Times New Roman" w:hAnsi="Times New Roman"/>
          <w:sz w:val="14"/>
          <w:szCs w:val="14"/>
          <w:color w:val="auto"/>
        </w:rPr>
        <w:t>The limitations of commercially available lithium-ion (“Li-ion”) batteries are well illustrated by drones and on-road vehicles. Weight, size, and cost constraints limit their payloads, operating ranges, and potential customers. Nevertheless, even with such limitations and end-user concerns regarding safety and capability, each market has grown significantly over the past years.</w:t>
      </w:r>
    </w:p>
    <w:p>
      <w:pPr>
        <w:spacing w:after="0" w:line="126" w:lineRule="exact"/>
        <w:rPr>
          <w:sz w:val="20"/>
          <w:szCs w:val="20"/>
          <w:color w:val="auto"/>
        </w:rPr>
      </w:pPr>
    </w:p>
    <w:p>
      <w:pPr>
        <w:jc w:val="both"/>
        <w:ind w:left="760" w:right="100" w:firstLine="249"/>
        <w:spacing w:after="0" w:line="262" w:lineRule="auto"/>
        <w:rPr>
          <w:sz w:val="20"/>
          <w:szCs w:val="20"/>
          <w:color w:val="auto"/>
        </w:rPr>
      </w:pPr>
      <w:r>
        <w:rPr>
          <w:rFonts w:ascii="Times New Roman" w:cs="Times New Roman" w:eastAsia="Times New Roman" w:hAnsi="Times New Roman"/>
          <w:sz w:val="14"/>
          <w:szCs w:val="14"/>
          <w:color w:val="auto"/>
        </w:rPr>
        <w:t>Drone manufacturers, robotics engineers, and automotive companies are each seeking powerful - yet smaller, lighter, and safer - battery technology for their products.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26" w:hanging="191"/>
        <w:spacing w:after="0"/>
        <w:tabs>
          <w:tab w:leader="none" w:pos="226"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commercialization of lithium-ion (Li-ion) batteries in the</w:t>
      </w:r>
    </w:p>
    <w:p>
      <w:pPr>
        <w:spacing w:after="0" w:line="33" w:lineRule="exact"/>
        <w:rPr>
          <w:rFonts w:ascii="Times New Roman" w:cs="Times New Roman" w:eastAsia="Times New Roman" w:hAnsi="Times New Roman"/>
          <w:sz w:val="13"/>
          <w:szCs w:val="13"/>
          <w:color w:val="auto"/>
        </w:rPr>
      </w:pPr>
    </w:p>
    <w:p>
      <w:pPr>
        <w:ind w:left="226" w:right="879" w:hanging="226"/>
        <w:spacing w:after="0" w:line="248" w:lineRule="auto"/>
        <w:tabs>
          <w:tab w:leader="none" w:pos="22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1990s spurred the creation of multiple global industries, including smartphones, high-energy laptop computers, small aviation drones, and consumer-ready on-road vehicles, each of which was impracticable without high energy delivery in small, lightweight form factors. Although incremental changes and improvements have increased the capacity and durability of Li-ion batteries, the technology is likely near its physical limits. The energy storage industry has not yet commercialized a battery solution superior to Li-ion batteries as measured by, and balancing, weight, size, safety, operating temperature range, and cost.</w:t>
      </w:r>
    </w:p>
    <w:p>
      <w:pPr>
        <w:spacing w:after="0" w:line="191" w:lineRule="exact"/>
        <w:rPr>
          <w:sz w:val="20"/>
          <w:szCs w:val="20"/>
          <w:color w:val="auto"/>
        </w:rPr>
      </w:pPr>
    </w:p>
    <w:p>
      <w:pPr>
        <w:sectPr>
          <w:pgSz w:w="11900" w:h="16838" w:orient="portrait"/>
          <w:cols w:equalWidth="0" w:num="2">
            <w:col w:w="4360" w:space="134"/>
            <w:col w:w="4525"/>
          </w:cols>
          <w:pgMar w:left="1440" w:top="551" w:right="1440" w:bottom="1440" w:gutter="0" w:footer="0" w:header="0"/>
          <w:type w:val="continuous"/>
        </w:sectPr>
      </w:pPr>
    </w:p>
    <w:p>
      <w:pPr>
        <w:ind w:left="760" w:right="859" w:firstLine="249"/>
        <w:spacing w:after="0" w:line="273" w:lineRule="auto"/>
        <w:rPr>
          <w:sz w:val="20"/>
          <w:szCs w:val="20"/>
          <w:color w:val="auto"/>
        </w:rPr>
      </w:pPr>
      <w:r>
        <w:rPr>
          <w:rFonts w:ascii="Times New Roman" w:cs="Times New Roman" w:eastAsia="Times New Roman" w:hAnsi="Times New Roman"/>
          <w:sz w:val="13"/>
          <w:szCs w:val="13"/>
          <w:color w:val="auto"/>
        </w:rPr>
        <w:t>To meet these demands, Factorial Energy has developed, tested, and delivered to aerospace and automotive manufacturers commercial-grade battery cells with high energy density that are designed to equal or exceed current Li-ion batteries in multiple dimensions including weight, size, safety, and operating temperature range. These qualities have most recently been validated in a real-world test of our full-size cells on public roads in a production model vehicle only lightly modified for installation of our cells. Factorial Energy’s batteries are engineered to be integrated into current use cases, designs, and physical form factors, enabling straightforward incorporation into applications such as drones and on-road vehicles with modest modifications to their manufacturing lines and processes. Factorial Energy’s batteries are designed to deliver advantages in range, payload, and capabilities for current products as well as future designs and innovations. We believe that our philosophy of optimizing both individual battery components and their performance as a complete system will allow us to deliver advantages to end users over conventional Li-ion batteries.</w:t>
      </w:r>
    </w:p>
    <w:p>
      <w:pPr>
        <w:spacing w:after="0" w:line="80"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Factorial Energy’s battery cells deliver these advantages by using proprietary battery chemistries, designs, and fabrication techniques to create smaller, lighter batteries with higher energy density than conventional Li-ion batteries, in a manner we believe is commercially scalable. We have built and operated fabrication lines for production of our batteries and delivered thousands of battery cells to partners for use and validation in drones and on-road vehicles.</w:t>
      </w:r>
    </w:p>
    <w:p>
      <w:pPr>
        <w:spacing w:after="0" w:line="90" w:lineRule="exact"/>
        <w:rPr>
          <w:sz w:val="20"/>
          <w:szCs w:val="20"/>
          <w:color w:val="auto"/>
        </w:rPr>
      </w:pPr>
    </w:p>
    <w:p>
      <w:pPr>
        <w:ind w:left="760" w:right="779" w:firstLine="249"/>
        <w:spacing w:after="0" w:line="215" w:lineRule="auto"/>
        <w:rPr>
          <w:sz w:val="20"/>
          <w:szCs w:val="20"/>
          <w:color w:val="auto"/>
        </w:rPr>
      </w:pPr>
      <w:r>
        <w:rPr>
          <w:rFonts w:ascii="Times New Roman" w:cs="Times New Roman" w:eastAsia="Times New Roman" w:hAnsi="Times New Roman"/>
          <w:sz w:val="14"/>
          <w:szCs w:val="14"/>
          <w:color w:val="auto"/>
        </w:rPr>
        <w:t>Factorial Energy believes that its technical advantages and commercial readiness have resulted from and bolstered its collaborations with leading, global partners for adoption of its batteries, production processes, and technology. Our Factorial Electrolyte System Technology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cells are designed to meet the demands of the high-power market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 xml:space="preserve"> such as drones and on-road vehicles. Our Solstice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4"/>
          <w:szCs w:val="14"/>
          <w:color w:val="auto"/>
        </w:rPr>
        <w:t xml:space="preserve"> cells are engineered for long cycle applications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 xml:space="preserve"> such as mobile robots and AI data center energy storage solutions.</w:t>
      </w:r>
    </w:p>
    <w:p>
      <w:pPr>
        <w:spacing w:after="0" w:line="90" w:lineRule="exact"/>
        <w:rPr>
          <w:sz w:val="20"/>
          <w:szCs w:val="20"/>
          <w:color w:val="auto"/>
        </w:rPr>
      </w:pPr>
    </w:p>
    <w:p>
      <w:pPr>
        <w:ind w:left="760" w:right="779" w:firstLine="249"/>
        <w:spacing w:after="0" w:line="234" w:lineRule="auto"/>
        <w:rPr>
          <w:sz w:val="20"/>
          <w:szCs w:val="20"/>
          <w:color w:val="auto"/>
        </w:rPr>
      </w:pPr>
      <w:r>
        <w:rPr>
          <w:rFonts w:ascii="Times New Roman" w:cs="Times New Roman" w:eastAsia="Times New Roman" w:hAnsi="Times New Roman"/>
          <w:sz w:val="14"/>
          <w:szCs w:val="14"/>
          <w:color w:val="auto"/>
        </w:rPr>
        <w:t>Factorial Energy has cultivated and expanded a range of key partnerships, relationships, and collaborations with manufacturers, end users, and suppliers. Factorial Energy’s partnerships in the automotive industry comprise leading global OEMs representing 26% of the electric vehicle (“EV”) industry in the United States and Europe, as measured by 2024 unit sales.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4"/>
          <w:szCs w:val="14"/>
          <w:color w:val="auto"/>
        </w:rPr>
        <w:t xml:space="preserve"> Factorial Energy’s relationships in the aerospace industry include a material evaluation agreement with Avidrone Aerospace, a North American aerospace company, that designs and manufactures advanced unmanned aerial systems (“UAS” or “drones”), including heavy-lift and long range unmanned platforms.</w:t>
      </w:r>
    </w:p>
    <w:p>
      <w:pPr>
        <w:spacing w:after="0" w:line="269" w:lineRule="exact"/>
        <w:rPr>
          <w:sz w:val="20"/>
          <w:szCs w:val="20"/>
          <w:color w:val="auto"/>
        </w:rPr>
      </w:pPr>
    </w:p>
    <w:p>
      <w:pPr>
        <w:ind w:left="760" w:right="899" w:firstLine="4"/>
        <w:spacing w:after="0" w:line="207" w:lineRule="auto"/>
        <w:tabs>
          <w:tab w:leader="none" w:pos="847"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High power refers to applications requiring high continuous or pulse discharge rates (typically a C-Rate of 4C or greater) as is seen for vertical takeoff or rapid acceleration.</w:t>
      </w:r>
    </w:p>
    <w:p>
      <w:pPr>
        <w:ind w:left="760" w:right="999"/>
        <w:spacing w:after="0" w:line="20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 xml:space="preserve"> Long cycle indicates a demand for a battery that can undergo a high number of charge and discharge cycles before its capacity no longer meets its intended design requirements.</w:t>
      </w:r>
    </w:p>
    <w:p>
      <w:pPr>
        <w:ind w:left="760" w:right="899"/>
        <w:spacing w:after="0" w:line="22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4"/>
          <w:szCs w:val="14"/>
          <w:color w:val="auto"/>
        </w:rPr>
        <w:t xml:space="preserve"> ICCT (International Council on Clean Transportation), U.S. Passenger EV Sales and Model Availability Through 2024 - accessed January 2026, https://theicct.org/publication/us-passenger-ev- sales-and-model-availability-through-2024-apr25/; Statista, Electric Mobility - September 2025, https://www.statista.com/topics/1010/electric-mobility/; Autovista24, What Are the Global EV Market’s Most Successful Brands? - February 2025, https://autovista24.autovistagroup.com/news/what-are-the- global-ev-markets-most-successful-brands/, Factorial research and estimates.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551" w:right="1440" w:bottom="1440" w:gutter="0" w:footer="0" w:header="0"/>
          <w:type w:val="continuous"/>
        </w:sectPr>
      </w:pPr>
    </w:p>
    <w:bookmarkStart w:id="65" w:name="page66"/>
    <w:bookmarkEnd w:id="6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In 2021, Factorial Energy became the first company to announce a 40 Ah automotive-scale solid-state battery capable of operating at room temperature. Following an initial strategic investment from Hyundai/Kia, Factorial Energy expanded its partnerships with Mercedes-Benz and Stellantis, who subsequently co-led a $200 million investment round.</w:t>
      </w:r>
    </w:p>
    <w:p>
      <w:pPr>
        <w:spacing w:after="0" w:line="96" w:lineRule="exact"/>
        <w:rPr>
          <w:sz w:val="20"/>
          <w:szCs w:val="20"/>
          <w:color w:val="auto"/>
        </w:rPr>
      </w:pPr>
    </w:p>
    <w:p>
      <w:pPr>
        <w:jc w:val="both"/>
        <w:ind w:left="760" w:right="799" w:firstLine="249"/>
        <w:spacing w:after="0" w:line="292" w:lineRule="auto"/>
        <w:rPr>
          <w:sz w:val="20"/>
          <w:szCs w:val="20"/>
          <w:color w:val="auto"/>
        </w:rPr>
      </w:pPr>
      <w:r>
        <w:rPr>
          <w:rFonts w:ascii="Times New Roman" w:cs="Times New Roman" w:eastAsia="Times New Roman" w:hAnsi="Times New Roman"/>
          <w:sz w:val="13"/>
          <w:szCs w:val="13"/>
          <w:color w:val="auto"/>
        </w:rPr>
        <w:t>Factorial Energy believes that these relationships demonstrate Factorial Energy’s leadership in the solid-state battery industry and will meaningfully support the demand for its products. Moreover, Factorial Energy expects that these relationships will allow Factorial Energy to develop products tailored to meet the needs of end users and match the production demands of its partners and customers.</w:t>
      </w:r>
    </w:p>
    <w:p>
      <w:pPr>
        <w:spacing w:after="0" w:line="78" w:lineRule="exact"/>
        <w:rPr>
          <w:sz w:val="20"/>
          <w:szCs w:val="20"/>
          <w:color w:val="auto"/>
        </w:rPr>
      </w:pPr>
    </w:p>
    <w:p>
      <w:pPr>
        <w:ind w:left="760" w:right="779" w:firstLine="249"/>
        <w:spacing w:after="0" w:line="227" w:lineRule="auto"/>
        <w:rPr>
          <w:sz w:val="20"/>
          <w:szCs w:val="20"/>
          <w:color w:val="auto"/>
        </w:rPr>
      </w:pPr>
      <w:r>
        <w:rPr>
          <w:rFonts w:ascii="Times New Roman" w:cs="Times New Roman" w:eastAsia="Times New Roman" w:hAnsi="Times New Roman"/>
          <w:sz w:val="14"/>
          <w:szCs w:val="14"/>
          <w:color w:val="auto"/>
        </w:rPr>
        <w:t>We believe we have developed one of the world’s most advanced solid-state battery technologies, and the management team necessary to become a leading provider of advanced batteries. We were named by MarketsandMarkets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4"/>
          <w:szCs w:val="14"/>
          <w:color w:val="auto"/>
        </w:rPr>
        <w:t xml:space="preserve"> as one of seven “star players” in the solid-state battery market in July 2025,</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4"/>
          <w:szCs w:val="14"/>
          <w:color w:val="auto"/>
        </w:rPr>
        <w:t xml:space="preserve"> named to Time Magazine’s </w:t>
      </w:r>
      <w:r>
        <w:rPr>
          <w:rFonts w:ascii="Times New Roman" w:cs="Times New Roman" w:eastAsia="Times New Roman" w:hAnsi="Times New Roman"/>
          <w:sz w:val="14"/>
          <w:szCs w:val="14"/>
          <w:i w:val="1"/>
          <w:iCs w:val="1"/>
          <w:color w:val="auto"/>
        </w:rPr>
        <w:t>America’s Top Greentech Companies</w:t>
      </w:r>
      <w:r>
        <w:rPr>
          <w:rFonts w:ascii="Times New Roman" w:cs="Times New Roman" w:eastAsia="Times New Roman" w:hAnsi="Times New Roman"/>
          <w:sz w:val="14"/>
          <w:szCs w:val="14"/>
          <w:color w:val="auto"/>
        </w:rPr>
        <w:t xml:space="preserve"> list in 2024 and 2025,</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4"/>
          <w:szCs w:val="14"/>
          <w:color w:val="auto"/>
        </w:rPr>
        <w:t xml:space="preserve"> and ranked #25 on Bessemer’s XB100 in 2023.</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4"/>
          <w:szCs w:val="14"/>
          <w:color w:val="auto"/>
        </w:rPr>
        <w:t xml:space="preserve"> Although we are a pre-commercialization stage company, we consider ourselves to be a leader in the solid-state battery industry based upon our achievement of many industry “firsts” (including first to announce a 40 Ah automotive-scale solid-state battery capable of operating at room temperature, world’s first to announce 100+ Ah lithium-metal solid-state battery cell, first to announce the delivery of high energy density (&gt;390Wh/kg) 100+ Ah solid-state battery B sample to a global automotive OEM, and first to announce the launch of solid-state battery production program in the United States for passenger vehicles) and the strength of our relationships with collaboration partners, who collectively hold a 26% market share of the U.S. and European electric vehicle market. We believe we can scale the volume of our own manufacturing. Factorial Energy’s third-party-tested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battery technology is designed to be incorporated into the existing manufacturing lines of its collaboration partners. We have designed our technology to allow batteries with FEST® to be straightforwardly substituted for existing conventional Li-ion batteries in EVs.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32"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Factorial targets initial adoption in “high spec” markets that demand superior performance in terms of energy density, power delivery, and/or long cycle life, such as drones, robotics and ultra-high performance cars. It also plans to expand into mainstream EVs and the broader automotive market by the end of the decade. Factorial believes that its batteries will be attractive for a broad range of markets and products including many applications that currently incorporate Li-ion batteries, as well as future products that require compact power independent from a wall socket and cord.</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The Drone Market: waiting on sufficient energy</w:t>
      </w:r>
    </w:p>
    <w:p>
      <w:pPr>
        <w:spacing w:after="0" w:line="132" w:lineRule="exact"/>
        <w:rPr>
          <w:sz w:val="20"/>
          <w:szCs w:val="20"/>
          <w:color w:val="auto"/>
        </w:rPr>
      </w:pPr>
    </w:p>
    <w:p>
      <w:pPr>
        <w:ind w:left="760" w:right="939" w:firstLine="249"/>
        <w:spacing w:after="0" w:line="262" w:lineRule="auto"/>
        <w:rPr>
          <w:sz w:val="20"/>
          <w:szCs w:val="20"/>
          <w:color w:val="auto"/>
        </w:rPr>
      </w:pPr>
      <w:r>
        <w:rPr>
          <w:rFonts w:ascii="Times New Roman" w:cs="Times New Roman" w:eastAsia="Times New Roman" w:hAnsi="Times New Roman"/>
          <w:sz w:val="14"/>
          <w:szCs w:val="14"/>
          <w:color w:val="auto"/>
        </w:rPr>
        <w:t>The global drone market has evolved from serving niche applications into a cornerstone of commercial services and defense operations. The drone market is estimated to grow from $83.7 billion in 2025 to $163.6 billion by 2030 (a 14.3% CAGR), driven by expanding commercial applications in logistics, inspection, and surveillance and defense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60" w:right="2199" w:firstLine="4"/>
        <w:spacing w:after="0" w:line="207" w:lineRule="auto"/>
        <w:tabs>
          <w:tab w:leader="none" w:pos="847"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“MarketsandMarkets, Solid-State Battery Market Size, Share and Trends, July 2025 - accessed March 2026, https://www.marketsandmarkets.com/Market-Reports/solid-state-battery-market-164577856.html”</w:t>
      </w:r>
    </w:p>
    <w:p>
      <w:pPr>
        <w:ind w:left="760" w:right="1399"/>
        <w:spacing w:after="0" w:line="20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4"/>
          <w:szCs w:val="14"/>
          <w:color w:val="auto"/>
        </w:rPr>
        <w:t xml:space="preserve"> https://time.com/7344228/americas-top-greentech-companies-of-2025/, https://time.com/7372550/americas-topgreentech-companies-2024/</w:t>
      </w:r>
    </w:p>
    <w:p>
      <w:pPr>
        <w:ind w:left="7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4"/>
          <w:szCs w:val="14"/>
          <w:color w:val="auto"/>
        </w:rPr>
        <w:t xml:space="preserve"> Bessemer’s XB100, Top 100 Private Deep Tech Companies, 2023.</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551" w:right="1440"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Battery performance, measured by both weight and size, has constrained drone market growth by limiting payloads, range, and flight time. Factorial’s batteries and technology address these limitations directly. Our batteries are lighter and smaller than conventional Li-ion batteries with comparable energy storage, allowing more of their energy to be used for transporting additional cargo over longer distances and/or extending flight times. In addition, the benefits of smaller size and less mass allow other drone components to be smaller and lighter, creating a virtuous cycle of increased range and/or lower cost. Beyond performance, we believe our U.S. and South Korea-based manufacturing support a secure supply chain that meets strict component requirements for defense and public safety under the American Security Drone Act and the FCC’s Covered List. As a result, we believe that Factorial’s increased battery performance relative to conventional Li-ion technology should enable and benefit from continued expansion of the drone market.</w:t>
      </w:r>
    </w:p>
    <w:p>
      <w:pPr>
        <w:spacing w:after="0" w:line="105"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We believe that the drone market presents an attractive near-term growth opportunity because of its short development cycle and design parameters. The relative simplicity of the components incorporated into drones supports a shorter development cycle and a quicker path to market. In addition, the expected product life for many drones is shorter than for other products such as energy storage. We believe that these characteristics make the drone market attractive as a primary initial target for adoption of our products and near-term revenue generation.</w:t>
      </w:r>
    </w:p>
    <w:p>
      <w:pPr>
        <w:sectPr>
          <w:pgSz w:w="11900" w:h="16838" w:orient="portrait"/>
          <w:cols w:equalWidth="0" w:num="1">
            <w:col w:w="9019"/>
          </w:cols>
          <w:pgMar w:left="1440" w:top="551" w:right="1440" w:bottom="1440" w:gutter="0" w:footer="0" w:header="0"/>
        </w:sectPr>
      </w:pP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The Defense Market: seeking swarms, stealth, and resiliency</w:t>
      </w:r>
    </w:p>
    <w:p>
      <w:pPr>
        <w:spacing w:after="0" w:line="360" w:lineRule="exact"/>
        <w:rPr>
          <w:sz w:val="20"/>
          <w:szCs w:val="20"/>
          <w:color w:val="auto"/>
        </w:rPr>
      </w:pPr>
    </w:p>
    <w:p>
      <w:pPr>
        <w:ind w:left="760" w:firstLine="249"/>
        <w:spacing w:after="0" w:line="252" w:lineRule="auto"/>
        <w:rPr>
          <w:sz w:val="20"/>
          <w:szCs w:val="20"/>
          <w:color w:val="auto"/>
        </w:rPr>
      </w:pPr>
      <w:r>
        <w:rPr>
          <w:rFonts w:ascii="Times New Roman" w:cs="Times New Roman" w:eastAsia="Times New Roman" w:hAnsi="Times New Roman"/>
          <w:sz w:val="14"/>
          <w:szCs w:val="14"/>
          <w:color w:val="auto"/>
        </w:rPr>
        <w:t>The defense sector presents a substantial opportunity for Factorial, fueled by policies and strategies directed towards military modernization, platform electrification (in particular, drones and batteries), and secure domestic supply chains. Current U.S. defense budgeting and acquisitions regulation recognize the battery supply chain as a strategic imperative. Recent legislation both bars battery procurement from named Chinese companies and explicitly requires a transition to U.S. and U.S.-allied battery sources, including through subsidies for construction and modernization of American battery factories over the next 5 years.</w:t>
      </w:r>
    </w:p>
    <w:p>
      <w:pPr>
        <w:spacing w:after="0" w:line="144" w:lineRule="exact"/>
        <w:rPr>
          <w:sz w:val="20"/>
          <w:szCs w:val="20"/>
          <w:color w:val="auto"/>
        </w:rPr>
      </w:pPr>
    </w:p>
    <w:p>
      <w:pPr>
        <w:ind w:left="760" w:right="200" w:firstLine="249"/>
        <w:spacing w:after="0" w:line="262" w:lineRule="auto"/>
        <w:rPr>
          <w:sz w:val="20"/>
          <w:szCs w:val="20"/>
          <w:color w:val="auto"/>
        </w:rPr>
      </w:pPr>
      <w:r>
        <w:rPr>
          <w:rFonts w:ascii="Times New Roman" w:cs="Times New Roman" w:eastAsia="Times New Roman" w:hAnsi="Times New Roman"/>
          <w:sz w:val="14"/>
          <w:szCs w:val="14"/>
          <w:color w:val="auto"/>
        </w:rPr>
        <w:t>Internationally, we believe these drivers are supported by an overall expected increase in global defense spending. NATO’s commitment to increase defense expenditures to 5% of GDP could increase annual spending from $440 billion in 2025 to $1.2 trillion by 2035 to support these initiatives.</w:t>
      </w:r>
      <w:r>
        <w:rPr>
          <w:rFonts w:ascii="Times New Roman" w:cs="Times New Roman" w:eastAsia="Times New Roman" w:hAnsi="Times New Roman"/>
          <w:sz w:val="20"/>
          <w:szCs w:val="20"/>
          <w:color w:val="auto"/>
          <w:vertAlign w:val="superscript"/>
        </w:rPr>
        <w:t>7</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Legislation and Policy Statements</w:t>
      </w:r>
    </w:p>
    <w:p>
      <w:pPr>
        <w:spacing w:after="0" w:line="57" w:lineRule="exact"/>
        <w:rPr>
          <w:sz w:val="20"/>
          <w:szCs w:val="20"/>
          <w:color w:val="auto"/>
        </w:rPr>
      </w:pPr>
    </w:p>
    <w:p>
      <w:pPr>
        <w:ind w:left="780" w:right="859" w:hanging="46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Drones </w:t>
      </w:r>
      <w:r>
        <w:rPr>
          <w:rFonts w:ascii="Times New Roman" w:cs="Times New Roman" w:eastAsia="Times New Roman" w:hAnsi="Times New Roman"/>
          <w:sz w:val="14"/>
          <w:szCs w:val="14"/>
          <w:i w:val="1"/>
          <w:iCs w:val="1"/>
          <w:color w:val="auto"/>
        </w:rPr>
        <w:t>American Security Drone Act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barring certain non-US UAV sources</w:t>
      </w:r>
    </w:p>
    <w:p>
      <w:pPr>
        <w:spacing w:after="0" w:line="50" w:lineRule="exact"/>
        <w:rPr>
          <w:sz w:val="20"/>
          <w:szCs w:val="20"/>
          <w:color w:val="auto"/>
        </w:rPr>
      </w:pPr>
    </w:p>
    <w:p>
      <w:pPr>
        <w:jc w:val="both"/>
        <w:ind w:left="780" w:right="1019" w:hanging="570"/>
        <w:spacing w:after="0" w:line="294" w:lineRule="auto"/>
        <w:rPr>
          <w:sz w:val="20"/>
          <w:szCs w:val="20"/>
          <w:color w:val="auto"/>
        </w:rPr>
      </w:pPr>
      <w:r>
        <w:rPr>
          <w:rFonts w:ascii="Times New Roman" w:cs="Times New Roman" w:eastAsia="Times New Roman" w:hAnsi="Times New Roman"/>
          <w:sz w:val="13"/>
          <w:szCs w:val="13"/>
          <w:b w:val="1"/>
          <w:bCs w:val="1"/>
          <w:color w:val="auto"/>
        </w:rPr>
        <w:t xml:space="preserve">Batteries </w:t>
      </w:r>
      <w:r>
        <w:rPr>
          <w:rFonts w:ascii="Times New Roman" w:cs="Times New Roman" w:eastAsia="Times New Roman" w:hAnsi="Times New Roman"/>
          <w:sz w:val="13"/>
          <w:szCs w:val="13"/>
          <w:i w:val="1"/>
          <w:iCs w:val="1"/>
          <w:color w:val="auto"/>
        </w:rPr>
        <w:t>FY 2026 National Defense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Authorization Act §§867 &amp; 842</w:t>
      </w:r>
      <w:r>
        <w:rPr>
          <w:rFonts w:ascii="Times New Roman" w:cs="Times New Roman" w:eastAsia="Times New Roman" w:hAnsi="Times New Roman"/>
          <w:sz w:val="13"/>
          <w:szCs w:val="13"/>
          <w:color w:val="auto"/>
        </w:rPr>
        <w:t>: funding US factories</w:t>
      </w:r>
    </w:p>
    <w:p>
      <w:pPr>
        <w:spacing w:after="0" w:line="32" w:lineRule="exact"/>
        <w:rPr>
          <w:sz w:val="20"/>
          <w:szCs w:val="20"/>
          <w:color w:val="auto"/>
        </w:rPr>
      </w:pPr>
    </w:p>
    <w:p>
      <w:pPr>
        <w:ind w:left="780" w:right="1059" w:hanging="885"/>
        <w:spacing w:after="0" w:line="294" w:lineRule="auto"/>
        <w:rPr>
          <w:sz w:val="20"/>
          <w:szCs w:val="20"/>
          <w:color w:val="auto"/>
        </w:rPr>
      </w:pPr>
      <w:r>
        <w:rPr>
          <w:rFonts w:ascii="Times New Roman" w:cs="Times New Roman" w:eastAsia="Times New Roman" w:hAnsi="Times New Roman"/>
          <w:sz w:val="13"/>
          <w:szCs w:val="13"/>
          <w:b w:val="1"/>
          <w:bCs w:val="1"/>
          <w:color w:val="auto"/>
        </w:rPr>
        <w:t xml:space="preserve">Electrification </w:t>
      </w:r>
      <w:r>
        <w:rPr>
          <w:rFonts w:ascii="Times New Roman" w:cs="Times New Roman" w:eastAsia="Times New Roman" w:hAnsi="Times New Roman"/>
          <w:sz w:val="13"/>
          <w:szCs w:val="13"/>
          <w:i w:val="1"/>
          <w:iCs w:val="1"/>
          <w:color w:val="auto"/>
        </w:rPr>
        <w:t>FY 2026 National Defense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Authorization Act §2405</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funding US batteries</w:t>
      </w:r>
    </w:p>
    <w:p>
      <w:pPr>
        <w:spacing w:after="0" w:line="32" w:lineRule="exact"/>
        <w:rPr>
          <w:sz w:val="20"/>
          <w:szCs w:val="20"/>
          <w:color w:val="auto"/>
        </w:rPr>
      </w:pPr>
    </w:p>
    <w:p>
      <w:pPr>
        <w:ind w:left="780" w:right="819" w:hanging="46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Drones </w:t>
      </w:r>
      <w:r>
        <w:rPr>
          <w:rFonts w:ascii="Times New Roman" w:cs="Times New Roman" w:eastAsia="Times New Roman" w:hAnsi="Times New Roman"/>
          <w:sz w:val="13"/>
          <w:szCs w:val="13"/>
          <w:i w:val="1"/>
          <w:iCs w:val="1"/>
          <w:color w:val="auto"/>
        </w:rPr>
        <w:t>FY 2026 Department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Defense Fiscal Year 2026 Budget Request</w:t>
      </w:r>
      <w:r>
        <w:rPr>
          <w:rFonts w:ascii="Times New Roman" w:cs="Times New Roman" w:eastAsia="Times New Roman" w:hAnsi="Times New Roman"/>
          <w:sz w:val="13"/>
          <w:szCs w:val="13"/>
          <w:color w:val="auto"/>
        </w:rPr>
        <w:t>: funding R&amp;D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advanced manufacturing</w:t>
      </w:r>
    </w:p>
    <w:p>
      <w:pPr>
        <w:spacing w:after="0" w:line="40" w:lineRule="exact"/>
        <w:rPr>
          <w:sz w:val="20"/>
          <w:szCs w:val="20"/>
          <w:color w:val="auto"/>
        </w:rPr>
      </w:pPr>
    </w:p>
    <w:p>
      <w:pPr>
        <w:ind w:left="780" w:right="1059" w:hanging="901"/>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Modernization </w:t>
      </w:r>
      <w:r>
        <w:rPr>
          <w:rFonts w:ascii="Times New Roman" w:cs="Times New Roman" w:eastAsia="Times New Roman" w:hAnsi="Times New Roman"/>
          <w:sz w:val="14"/>
          <w:szCs w:val="14"/>
          <w:i w:val="1"/>
          <w:iCs w:val="1"/>
          <w:color w:val="auto"/>
        </w:rPr>
        <w:t>FY 2026 National Defense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Authorization Act §2405</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funding US supply chain resilience</w:t>
      </w:r>
    </w:p>
    <w:p>
      <w:pPr>
        <w:spacing w:after="0" w:line="56" w:lineRule="exact"/>
        <w:rPr>
          <w:sz w:val="20"/>
          <w:szCs w:val="20"/>
          <w:color w:val="auto"/>
        </w:rPr>
      </w:pPr>
    </w:p>
    <w:p>
      <w:pPr>
        <w:ind w:left="780" w:right="879" w:hanging="885"/>
        <w:spacing w:after="0" w:line="294" w:lineRule="auto"/>
        <w:rPr>
          <w:sz w:val="20"/>
          <w:szCs w:val="20"/>
          <w:color w:val="auto"/>
        </w:rPr>
      </w:pPr>
      <w:r>
        <w:rPr>
          <w:rFonts w:ascii="Times New Roman" w:cs="Times New Roman" w:eastAsia="Times New Roman" w:hAnsi="Times New Roman"/>
          <w:sz w:val="13"/>
          <w:szCs w:val="13"/>
          <w:b w:val="1"/>
          <w:bCs w:val="1"/>
          <w:color w:val="auto"/>
        </w:rPr>
        <w:t xml:space="preserve">Electrification </w:t>
      </w:r>
      <w:r>
        <w:rPr>
          <w:rFonts w:ascii="Times New Roman" w:cs="Times New Roman" w:eastAsia="Times New Roman" w:hAnsi="Times New Roman"/>
          <w:sz w:val="13"/>
          <w:szCs w:val="13"/>
          <w:i w:val="1"/>
          <w:iCs w:val="1"/>
          <w:color w:val="auto"/>
        </w:rPr>
        <w:t>Defense Logistics Agency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Strategic Plan (2025 - 2030)</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promoting US battery sources</w:t>
      </w:r>
    </w:p>
    <w:p>
      <w:pPr>
        <w:spacing w:after="0" w:line="32" w:lineRule="exact"/>
        <w:rPr>
          <w:sz w:val="20"/>
          <w:szCs w:val="20"/>
          <w:color w:val="auto"/>
        </w:rPr>
      </w:pPr>
    </w:p>
    <w:p>
      <w:pPr>
        <w:ind w:left="780" w:right="819" w:hanging="57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Batteries </w:t>
      </w:r>
      <w:r>
        <w:rPr>
          <w:rFonts w:ascii="Times New Roman" w:cs="Times New Roman" w:eastAsia="Times New Roman" w:hAnsi="Times New Roman"/>
          <w:sz w:val="14"/>
          <w:szCs w:val="14"/>
          <w:i w:val="1"/>
          <w:iCs w:val="1"/>
          <w:color w:val="auto"/>
        </w:rPr>
        <w:t>National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Determination (Dec 21, 2025)</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designating batteries as a critical UAV component</w:t>
      </w:r>
    </w:p>
    <w:p>
      <w:pPr>
        <w:spacing w:after="0" w:line="151" w:lineRule="exact"/>
        <w:rPr>
          <w:sz w:val="20"/>
          <w:szCs w:val="20"/>
          <w:color w:val="auto"/>
        </w:rPr>
      </w:pPr>
    </w:p>
    <w:p>
      <w:pPr>
        <w:sectPr>
          <w:pgSz w:w="11900" w:h="16838" w:orient="portrait"/>
          <w:cols w:equalWidth="0" w:num="2">
            <w:col w:w="5500" w:space="200"/>
            <w:col w:w="3319"/>
          </w:cols>
          <w:pgMar w:left="1440" w:top="551" w:right="1440" w:bottom="1440" w:gutter="0" w:footer="0" w:header="0"/>
          <w:type w:val="continuous"/>
        </w:sectPr>
      </w:pPr>
    </w:p>
    <w:p>
      <w:pPr>
        <w:jc w:val="both"/>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Defense modernization drives demand for high-performance energy storage across air, land, sea, and space. While UAS represent a key segment, the market is also focused on Unmanned Underwater Vehicles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UUVs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for long-endurance surveillance, Automated Guided Vehicles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AGVs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for tactical logistics, and space systems where mass efficiency is paramount.</w:t>
      </w:r>
    </w:p>
    <w:p>
      <w:pPr>
        <w:spacing w:after="0" w:line="96"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Platform electrification is the shift to electrical energy and away from internal combustion engines in order to reduce the demand and logistics burdens of liquid fuels as well as heat and noise signatures. The portability of batteries is a fundamental element of the shift to electrified platforms, including motorized equipment carriers to accompany individual troops and increase maneuverability and manage increasing physical burdens from equipment.</w:t>
      </w:r>
    </w:p>
    <w:p>
      <w:pPr>
        <w:spacing w:after="0" w:line="206" w:lineRule="exact"/>
        <w:rPr>
          <w:sz w:val="20"/>
          <w:szCs w:val="20"/>
          <w:color w:val="auto"/>
        </w:rPr>
      </w:pPr>
    </w:p>
    <w:p>
      <w:pPr>
        <w:ind w:left="860" w:hanging="96"/>
        <w:spacing w:after="0"/>
        <w:tabs>
          <w:tab w:leader="none" w:pos="8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Joint Declaration at 2025 NATO Summit in The Hague.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551" w:right="1440" w:bottom="1440" w:gutter="0" w:footer="0" w:header="0"/>
          <w:type w:val="continuous"/>
        </w:sectPr>
      </w:pPr>
    </w:p>
    <w:bookmarkStart w:id="67" w:name="page68"/>
    <w:bookmarkEnd w:id="6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The Electric Vehicle Market: superior experience waiting on lower costs</w:t>
      </w:r>
    </w:p>
    <w:p>
      <w:pPr>
        <w:spacing w:after="0" w:line="173" w:lineRule="exact"/>
        <w:rPr>
          <w:sz w:val="20"/>
          <w:szCs w:val="20"/>
          <w:color w:val="auto"/>
        </w:rPr>
      </w:pPr>
    </w:p>
    <w:p>
      <w:pPr>
        <w:ind w:left="760" w:right="799" w:firstLine="249"/>
        <w:spacing w:after="0" w:line="233" w:lineRule="auto"/>
        <w:rPr>
          <w:sz w:val="20"/>
          <w:szCs w:val="20"/>
          <w:color w:val="auto"/>
        </w:rPr>
      </w:pPr>
      <w:r>
        <w:rPr>
          <w:rFonts w:ascii="Times New Roman" w:cs="Times New Roman" w:eastAsia="Times New Roman" w:hAnsi="Times New Roman"/>
          <w:sz w:val="14"/>
          <w:szCs w:val="14"/>
          <w:color w:val="auto"/>
        </w:rPr>
        <w:t>EVs offer a lower marginal cost of ownership, with both lower operating costs and maintenance costs, making them a superior choice for many drivers over internal combustion engine automobiles. Even with reduced government incentives in some geographies, including the United States, the EV market continues its rapid expansion, with an estimated 17% year-over-year aggregate increase in Europe and the U.S. from 2024 to 2025.</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4"/>
          <w:szCs w:val="14"/>
          <w:color w:val="auto"/>
        </w:rPr>
        <w:t xml:space="preserve"> In 2025, EVs were expected to account for one in every four passenger vehicles sold globally.</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4"/>
          <w:szCs w:val="14"/>
          <w:color w:val="auto"/>
        </w:rPr>
        <w:t xml:space="preserve"> By 2030, analysts project EV sales will reach 39 million units (a 14% CAGR), capturing 42% of the global passenger vehicle market. </w:t>
      </w:r>
      <w:r>
        <w:rPr>
          <w:rFonts w:ascii="Times New Roman" w:cs="Times New Roman" w:eastAsia="Times New Roman" w:hAnsi="Times New Roman"/>
          <w:sz w:val="20"/>
          <w:szCs w:val="20"/>
          <w:color w:val="auto"/>
          <w:vertAlign w:val="superscript"/>
        </w:rPr>
        <w:t>10, 11</w:t>
      </w:r>
      <w:r>
        <w:rPr>
          <w:rFonts w:ascii="Times New Roman" w:cs="Times New Roman" w:eastAsia="Times New Roman" w:hAnsi="Times New Roman"/>
          <w:sz w:val="14"/>
          <w:szCs w:val="14"/>
          <w:color w:val="auto"/>
        </w:rPr>
        <w:t xml:space="preserve"> We believe that significant obstacles to EV adoption after cost are range anxiety, charging speed, and safety concerns. Factorial Energy’s batteries and technologies address each obstacle directly. Our lighter and smaller batteries enable EVs to deliver longer driving ranges compared to conventional Li-ion batteries. Factorial Energy was the first in the world to announce 100+ Ah solid-state battery cells with high energy density (&gt;390 Wh/kg) with a global OEM. The performance benefits of this technology have been validated through real-world testing, including integration of Factorial Energy’s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battery cells into a lightly modified Mercedes-Benz EQS test vehicle. Replacing the conventional Li-ion battery, the vehicle achieved a driving range of 1,205 km on public roads across different climate zones and route profiles with 137 km of additional range remaining available. Cells combining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technology with lithium metal anodes can deliver high power in a broad operating window. Our 77 Ah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shipped to Stellantis have demonstrated 4C discharge in a broad temperature window ranging between -30°C to 45°C. In addition, FEST</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4"/>
          <w:szCs w:val="14"/>
          <w:color w:val="auto"/>
        </w:rPr>
        <w:t xml:space="preserve"> combined with lithium metal anodes enables fast charging with high power. Our 77 Ah FEST</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4"/>
          <w:szCs w:val="14"/>
          <w:color w:val="auto"/>
        </w:rPr>
        <w:t xml:space="preserve"> cells have demonstrated charging from 15% to 90% in less than 20 minutes.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is designed to enhance safety by resisting dendrite formation, which enables the use of high-capacity anode materials such as lithium metal. In the case of silicon anodes,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helps reduce the flammability of both the active electrode material and the electrolyte. This improved stability results in a more forgiving, higher thermal runaway onset temperature compared to equivalent anode and cathode systems that rely solely on liquid electrolytes, further enhancing overall battery safety.</w:t>
      </w:r>
    </w:p>
    <w:p>
      <w:pPr>
        <w:spacing w:after="0" w:line="164" w:lineRule="exact"/>
        <w:rPr>
          <w:sz w:val="20"/>
          <w:szCs w:val="20"/>
          <w:color w:val="auto"/>
        </w:rPr>
      </w:pPr>
    </w:p>
    <w:p>
      <w:pPr>
        <w:ind w:left="760" w:right="919" w:firstLine="249"/>
        <w:spacing w:after="0" w:line="223" w:lineRule="auto"/>
        <w:rPr>
          <w:sz w:val="20"/>
          <w:szCs w:val="20"/>
          <w:color w:val="auto"/>
        </w:rPr>
      </w:pPr>
      <w:r>
        <w:rPr>
          <w:rFonts w:ascii="Times New Roman" w:cs="Times New Roman" w:eastAsia="Times New Roman" w:hAnsi="Times New Roman"/>
          <w:sz w:val="14"/>
          <w:szCs w:val="14"/>
          <w:color w:val="auto"/>
        </w:rPr>
        <w:t>As in the aviation and drone markets, higher energy density afforded by our technology not only improves performance but also allows a reduction in the cost and weight of other vehicle components such as suspension parts and frames. Current electric vehicles often weigh 500 to 3,000 pounds</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4"/>
          <w:szCs w:val="14"/>
          <w:color w:val="auto"/>
        </w:rPr>
        <w:t xml:space="preserve"> more than comparable internal combustion vehicles and up to 20 percent of the battery’s energy dedicated to moving the battery system’s own mass in some cases.</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4"/>
          <w:szCs w:val="14"/>
          <w:color w:val="auto"/>
        </w:rPr>
        <w:t xml:space="preserve"> By reducing battery size and weight, Factorial’s higher energy density enables lighter, more efficient vehicles, creating a virtuous cycle of improved range and lower material costs. Because Factorial’s batteries are lighter and more compact, a greater share of stored energy is available to power travel over longer distances, supporting both enhanced performance and improved economics for end users.</w:t>
      </w:r>
    </w:p>
    <w:p>
      <w:pPr>
        <w:spacing w:after="0" w:line="251" w:lineRule="exact"/>
        <w:rPr>
          <w:sz w:val="20"/>
          <w:szCs w:val="20"/>
          <w:color w:val="auto"/>
        </w:rPr>
      </w:pPr>
    </w:p>
    <w:p>
      <w:pPr>
        <w:ind w:left="860" w:hanging="96"/>
        <w:spacing w:after="0"/>
        <w:tabs>
          <w:tab w:leader="none" w:pos="8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Cox, U.S. Bureau of Economic Analysis, European Alternative Fuels Observatory &amp; ACEA (driving mobility for Europe).</w:t>
      </w:r>
    </w:p>
    <w:p>
      <w:pPr>
        <w:ind w:left="760" w:right="1159" w:firstLine="4"/>
        <w:spacing w:after="0" w:line="204" w:lineRule="auto"/>
        <w:tabs>
          <w:tab w:leader="none" w:pos="847"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BloombergNEF, Electric Vehicle Outlook 2025 - Key Numbers, accessed January 2026, https://about.bnef.com/insights/clean-transport/electric-vehicle-outlook/#key-numbers.</w:t>
      </w:r>
    </w:p>
    <w:p>
      <w:pPr>
        <w:ind w:left="760" w:right="1119"/>
        <w:spacing w:after="0" w:line="20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4"/>
          <w:szCs w:val="14"/>
          <w:color w:val="auto"/>
        </w:rPr>
        <w:t xml:space="preserve"> BloombergNEF, Electric Vehicle Outlook 2025 - Key Numbers, accessed January 2026, https://about.bnef.com/insights/clean-transport/electric-vehicle-outlook/#key-numbers.</w:t>
      </w:r>
    </w:p>
    <w:p>
      <w:pPr>
        <w:ind w:left="760" w:right="1119"/>
        <w:spacing w:after="0" w:line="20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11</w:t>
      </w:r>
      <w:r>
        <w:rPr>
          <w:rFonts w:ascii="Times New Roman" w:cs="Times New Roman" w:eastAsia="Times New Roman" w:hAnsi="Times New Roman"/>
          <w:sz w:val="14"/>
          <w:szCs w:val="14"/>
          <w:color w:val="auto"/>
        </w:rPr>
        <w:t xml:space="preserve"> BloombergNEF, Electric Vehicle Outlook 2025 - Key Numbers, accessed January 2026, https://about.bnef.com/insights/clean-transport/electric-vehicle-outlook/#key-numbers.</w:t>
      </w:r>
    </w:p>
    <w:p>
      <w:pPr>
        <w:jc w:val="both"/>
        <w:ind w:left="760" w:right="819"/>
        <w:spacing w:after="0" w:line="216"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9"/>
          <w:szCs w:val="19"/>
          <w:color w:val="auto"/>
          <w:vertAlign w:val="superscript"/>
        </w:rPr>
        <w:t>12</w:t>
      </w:r>
      <w:r>
        <w:rPr>
          <w:rFonts w:ascii="Times New Roman" w:cs="Times New Roman" w:eastAsia="Times New Roman" w:hAnsi="Times New Roman"/>
          <w:sz w:val="13"/>
          <w:szCs w:val="13"/>
          <w:color w:val="auto"/>
        </w:rPr>
        <w:t xml:space="preserve"> Kelley Blue Book, Heaviest Electric Vehicles - accessed January 2026, https://www.kbb.com/car-advice/heaviest-electric-vehicles/; Center for Auto Safety, Enormous Electric Vehicles - accessed January 2026, https://www.autosafety.org/enormous-electric-vehicles/.</w:t>
      </w:r>
    </w:p>
    <w:p>
      <w:pPr>
        <w:spacing w:after="0" w:line="1" w:lineRule="exact"/>
        <w:rPr>
          <w:rFonts w:ascii="Times New Roman" w:cs="Times New Roman" w:eastAsia="Times New Roman" w:hAnsi="Times New Roman"/>
          <w:sz w:val="21"/>
          <w:szCs w:val="21"/>
          <w:color w:val="auto"/>
          <w:vertAlign w:val="superscript"/>
        </w:rPr>
      </w:pPr>
    </w:p>
    <w:p>
      <w:pPr>
        <w:ind w:left="760" w:right="1039"/>
        <w:spacing w:after="0" w:line="22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4"/>
          <w:szCs w:val="14"/>
          <w:color w:val="auto"/>
        </w:rPr>
        <w:t xml:space="preserve"> Factorial Energy, Company Website - accessed January 2026, https://factorialenergy.com/; ACEEE, Electric Vehicle Efficiency: Unlocking Consumer Savings and Environmental Gains - August 2024, https://www.aceee.org/sites/default/files/pdfs/electric_vehicle_efficiency-unlocking_consumer_ savings_and_environmental_gains.pdf; ACEEE, Vehicle Lifecycle Efficiency - accessed January 2026, https://www.aceee.org/topic/vehicle-lifecycle-efficiency.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551" w:right="1440"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Factorial Energy’s addressable market for EVs is substantial and projected to exceed $200 billion by 2030, according to Bloomberg 2025 Executive Summary. In 2024, Factorial Energy’s announced strategic partners collectively held a 26% market share of the 4.4 million EVs sold in the U.S. and Europe. In February 2026, we further expanded this portfolio by entering into a Joint Development Agreement (“JDA”) with PowerCo SE, the battery subsidiary of the Volkswagen Group (“PowerCo”). Our relationships with these OEMs and cell makers are typically structured as joint development agreements designed to advance our technology through progressive sample validation stages toward series production. In February 2026, we expanded this commercial pipeline by launching a production program with Karma Automotive. This program represents the first integration of solid-state technology into a domestic U.S. passenger vehicle production platform. We believe that these development programs and production-intent partnerships provide Factorial Energy with strong momentum toward future commercial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879"/>
        <w:spacing w:after="0" w:line="256" w:lineRule="auto"/>
        <w:rPr>
          <w:sz w:val="20"/>
          <w:szCs w:val="20"/>
          <w:color w:val="auto"/>
        </w:rPr>
      </w:pPr>
      <w:r>
        <w:rPr>
          <w:rFonts w:ascii="Times New Roman" w:cs="Times New Roman" w:eastAsia="Times New Roman" w:hAnsi="Times New Roman"/>
          <w:sz w:val="14"/>
          <w:szCs w:val="14"/>
          <w:i w:val="1"/>
          <w:iCs w:val="1"/>
          <w:color w:val="auto"/>
        </w:rPr>
        <w:t>Source: ICCT (International Council on Clean Transportation), U.S. Passenger EV Sales and Model Availability Through 2024 - accessed January 2026, https://theicct.org/publication/us-passenger-ev-sales-and- model-availability-through-2024-apr25/; Statista, Electric Mobility - September 2025, https://www.statista.com/topics/1010/electric-mobility/; Autovista24, What Are the Global EV Market’s Most Successful Brands? - February 2025, https://autovista24.autovistagroup.com/news/what-are-the-global-ev- markets-most-successful-brands/; Factorial research and estimates.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Other High Spec Markets: seeking next generation power supplies</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Solid-state batteries are expected to make new products and markets practicable by delivering high energy in smaller, lighter form factors than conventional Li-ion batteries. These advantages are particularly relevant for applications where compact energy density and power is critical, ranging from super cars to power tools. The safety and power demands of modern data centers limit the use of conventional Li-ion batteries for energy storage and smoothing. The greater energy density, operating temperature flexibility, smaller size, high power delivery, and enhanced safety of our batteries make these, and other high spec markets such as medical devices and underground mining equipment, potentially suitable applications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551" w:right="1440" w:bottom="1440" w:gutter="0" w:footer="0" w:header="0"/>
        </w:sectPr>
      </w:pPr>
    </w:p>
    <w:bookmarkStart w:id="69" w:name="page70"/>
    <w:bookmarkEnd w:id="6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right"/>
        <w:ind w:right="6339"/>
        <w:spacing w:after="0"/>
        <w:rPr>
          <w:sz w:val="20"/>
          <w:szCs w:val="20"/>
          <w:color w:val="auto"/>
        </w:rPr>
      </w:pPr>
      <w:r>
        <w:rPr>
          <w:rFonts w:ascii="Times New Roman" w:cs="Times New Roman" w:eastAsia="Times New Roman" w:hAnsi="Times New Roman"/>
          <w:sz w:val="14"/>
          <w:szCs w:val="14"/>
          <w:b w:val="1"/>
          <w:bCs w:val="1"/>
          <w:color w:val="auto"/>
        </w:rPr>
        <w:t>Current Battery Technology</w:t>
      </w:r>
    </w:p>
    <w:p>
      <w:pPr>
        <w:sectPr>
          <w:pgSz w:w="11900" w:h="16838" w:orient="portrait"/>
          <w:cols w:equalWidth="0" w:num="1">
            <w:col w:w="9019"/>
          </w:cols>
          <w:pgMar w:left="1440" w:top="551" w:right="1440" w:bottom="1440" w:gutter="0" w:footer="0" w:header="0"/>
        </w:sectPr>
      </w:pPr>
    </w:p>
    <w:p>
      <w:pPr>
        <w:spacing w:after="0" w:line="184"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4"/>
          <w:szCs w:val="14"/>
          <w:color w:val="auto"/>
        </w:rPr>
        <w:t>Li-ion batteries made new markets practicable by delivering increased power in smaller, lighter form factors. Among the innovations that became commercially viable were smartphones, electric cars, and drones. In addition, countless other devices became feasible, including cordless power tools, medical devices such as insulin pumps, doorbell cameras, high-powered handheld vacuums, and portable speakers. At the same time, each of these applications remains handicapped by weight, size, operating life, and safety. Conventional Li-ion batteries are approaching practicable limits of energy density that are inherent in their fundamental design and chemistry. In particular, their reliance on liquid electrolytes contributes to their size, weight, and safety challenges.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899"/>
        <w:spacing w:after="0" w:line="251" w:lineRule="auto"/>
        <w:rPr>
          <w:sz w:val="20"/>
          <w:szCs w:val="20"/>
          <w:color w:val="auto"/>
        </w:rPr>
      </w:pPr>
      <w:r>
        <w:rPr>
          <w:rFonts w:ascii="Times New Roman" w:cs="Times New Roman" w:eastAsia="Times New Roman" w:hAnsi="Times New Roman"/>
          <w:sz w:val="14"/>
          <w:szCs w:val="14"/>
          <w:i w:val="1"/>
          <w:iCs w:val="1"/>
          <w:color w:val="auto"/>
        </w:rPr>
        <w:t>All batteries have four main components: an anode, a cathode, and electrolyte and a separator. The anode holds charged molecules (ions) and the physical movement of those molecules and associated charge to the cathode corresponds to flow of electrical energy in the attached device. The electrolyte is a substance, liquid in the case of conventional Li-ion batteries, that allows the movement of charged molecules and an engineered separator allows molecules but not electrons to pass through. As a result, the electrons must flow through the attached device.</w:t>
      </w:r>
    </w:p>
    <w:p>
      <w:pPr>
        <w:spacing w:after="0" w:line="642" w:lineRule="exact"/>
        <w:rPr>
          <w:sz w:val="20"/>
          <w:szCs w:val="20"/>
          <w:color w:val="auto"/>
        </w:rPr>
      </w:pPr>
    </w:p>
    <w:p>
      <w:pPr>
        <w:sectPr>
          <w:pgSz w:w="11900" w:h="16838" w:orient="portrait"/>
          <w:cols w:equalWidth="0" w:num="2">
            <w:col w:w="4380" w:space="240"/>
            <w:col w:w="4399"/>
          </w:cols>
          <w:pgMar w:left="1440" w:top="551" w:right="1440" w:bottom="1440" w:gutter="0" w:footer="0" w:header="0"/>
          <w:type w:val="continuous"/>
        </w:sectPr>
      </w:pPr>
    </w:p>
    <w:p>
      <w:pPr>
        <w:ind w:left="760" w:right="839" w:firstLine="249"/>
        <w:spacing w:after="0" w:line="258" w:lineRule="auto"/>
        <w:rPr>
          <w:sz w:val="20"/>
          <w:szCs w:val="20"/>
          <w:color w:val="auto"/>
        </w:rPr>
      </w:pPr>
      <w:r>
        <w:rPr>
          <w:rFonts w:ascii="Times New Roman" w:cs="Times New Roman" w:eastAsia="Times New Roman" w:hAnsi="Times New Roman"/>
          <w:sz w:val="14"/>
          <w:szCs w:val="14"/>
          <w:i w:val="1"/>
          <w:iCs w:val="1"/>
          <w:color w:val="auto"/>
        </w:rPr>
        <w:t>Electrolyte Design</w:t>
      </w:r>
      <w:r>
        <w:rPr>
          <w:rFonts w:ascii="Times New Roman" w:cs="Times New Roman" w:eastAsia="Times New Roman" w:hAnsi="Times New Roman"/>
          <w:sz w:val="14"/>
          <w:szCs w:val="14"/>
          <w:color w:val="auto"/>
        </w:rPr>
        <w:t>. Liquid electrolytes used in conventional Li-ion batteries are highly flammable. Moreover, they break down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relatively low temperatures (below the boiling point of water) and then become gaseous, resulting in swelling of their enclosures. Notably, liquid electrolytes can encourage or allow the formation of lithium “dendrites” (needles of lithium) which can puncture the internal separator, cause a short circuit, and ignite the electrolyte.</w:t>
      </w:r>
    </w:p>
    <w:p>
      <w:pPr>
        <w:spacing w:after="0" w:line="141"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Significant fire risks associated with liquid electrolytes require conventional Li-ion batteries to be often housed in rigid metal shells and to include complex cooling systems, each of which adds substantial weight and size without increasing power. Moreover, the fire risk constrains practical charging speeds in order to manage the flow of charged molecules to the anode. Each of these handicaps can be reduced through the use of a non-liquid electrolyte.</w:t>
      </w:r>
    </w:p>
    <w:p>
      <w:pPr>
        <w:spacing w:after="0" w:line="140" w:lineRule="exact"/>
        <w:rPr>
          <w:sz w:val="20"/>
          <w:szCs w:val="20"/>
          <w:color w:val="auto"/>
        </w:rPr>
      </w:pPr>
    </w:p>
    <w:p>
      <w:pPr>
        <w:ind w:left="760" w:right="959" w:firstLine="249"/>
        <w:spacing w:after="0" w:line="256" w:lineRule="auto"/>
        <w:rPr>
          <w:sz w:val="20"/>
          <w:szCs w:val="20"/>
          <w:color w:val="auto"/>
        </w:rPr>
      </w:pPr>
      <w:r>
        <w:rPr>
          <w:rFonts w:ascii="Times New Roman" w:cs="Times New Roman" w:eastAsia="Times New Roman" w:hAnsi="Times New Roman"/>
          <w:sz w:val="14"/>
          <w:szCs w:val="14"/>
          <w:i w:val="1"/>
          <w:iCs w:val="1"/>
          <w:color w:val="auto"/>
        </w:rPr>
        <w:t>Component Design</w:t>
      </w:r>
      <w:r>
        <w:rPr>
          <w:rFonts w:ascii="Times New Roman" w:cs="Times New Roman" w:eastAsia="Times New Roman" w:hAnsi="Times New Roman"/>
          <w:sz w:val="14"/>
          <w:szCs w:val="14"/>
          <w:color w:val="auto"/>
        </w:rPr>
        <w:t>. Beyond electrolyte composition, battery technology seeks to improve anodes, cathodes, and separators.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one end of the battery, conventional Li-ion technology uses graphite anodes which have inherent limitations on energy density (measured by weight) and charging speed. At the other end of the battery, researchers are seeking new cathode materials for lower cost, better cycle life, higher voltage, and improved energy density. Finally, current batteries have limited high temperature stability and therefore require cooling systems to keep those batteries below 45°C in order to avoid thermal runaway.</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Factorial’s Batteries and Technology</w:t>
      </w:r>
    </w:p>
    <w:p>
      <w:pPr>
        <w:spacing w:after="0" w:line="173" w:lineRule="exact"/>
        <w:rPr>
          <w:sz w:val="20"/>
          <w:szCs w:val="20"/>
          <w:color w:val="auto"/>
        </w:rPr>
      </w:pPr>
    </w:p>
    <w:p>
      <w:pPr>
        <w:ind w:left="760" w:right="799" w:firstLine="249"/>
        <w:spacing w:after="0" w:line="273" w:lineRule="auto"/>
        <w:rPr>
          <w:sz w:val="20"/>
          <w:szCs w:val="20"/>
          <w:color w:val="auto"/>
        </w:rPr>
      </w:pPr>
      <w:r>
        <w:rPr>
          <w:rFonts w:ascii="Times New Roman" w:cs="Times New Roman" w:eastAsia="Times New Roman" w:hAnsi="Times New Roman"/>
          <w:sz w:val="13"/>
          <w:szCs w:val="13"/>
          <w:color w:val="auto"/>
        </w:rPr>
        <w:t>Factorial Energy’s FEST</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color w:val="auto"/>
        </w:rPr>
        <w:t xml:space="preserve"> batteries target the high power market. The high power market, comprising electric aviation (including drones and eVTOLs), and on-road vehicles, robotics, and power tools, prioritizes the delivery of a large amount of electrical power in a short period. Our FEST® cells are designed to meet the demands of the high power market and, relative to conventional Li-ion batteries, to deliver lighter weight and smaller size, as well as delivering improvements in cycle life or charging speed to meet performance requirements. We designed our FEST® cells to be manufactured largely on existing equipment and using techniques for conventional Li-ion batteries. Consistent with this philosophy, our FEST® cells are designed and sized to be incorporated into existing applications with minimal or no design changes. Our automotive-validated battery technology is engineered for efficient volume manufacturing and scale. As a result, we expect automotive OEMs to see improvements in performance without re-engineering as their products shed the excess weight and size from additional equipment and material necessitated by conventional Li-ion technology.</w:t>
      </w:r>
    </w:p>
    <w:p>
      <w:pPr>
        <w:spacing w:after="0" w:line="132"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Our engineers seek to improve multiple qualities of a battery, including its size, weight, cost, safety, scalability, as a system, balancing and addressing the demands created by each to match or outperform conventional Li-ion batteries with respect to these elements. We believe that our philosophy of optimizing both individual battery components and their performance as a complete system will allow us to deliver advantages to end users over conventional Li-ion batteries. We believe that this approach has led to our leadership in advancing battery technology, including:</w:t>
      </w:r>
    </w:p>
    <w:p>
      <w:pPr>
        <w:spacing w:after="0" w:line="142" w:lineRule="exact"/>
        <w:rPr>
          <w:sz w:val="20"/>
          <w:szCs w:val="20"/>
          <w:color w:val="auto"/>
        </w:rPr>
      </w:pPr>
    </w:p>
    <w:p>
      <w:pPr>
        <w:ind w:left="1280" w:right="1159" w:hanging="246"/>
        <w:spacing w:after="0" w:line="278" w:lineRule="auto"/>
        <w:tabs>
          <w:tab w:leader="none" w:pos="1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Factorial became the first to deliver a 40 Ah automotive-scale solid-state battery capable of operating at room temperature.</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Factorial and Stellantis jointly announced the world’s first 100+ Ah lithium-metal solid- state battery cell.</w:t>
      </w:r>
    </w:p>
    <w:p>
      <w:pPr>
        <w:spacing w:after="0" w:line="171" w:lineRule="exact"/>
        <w:rPr>
          <w:rFonts w:ascii="Times New Roman" w:cs="Times New Roman" w:eastAsia="Times New Roman" w:hAnsi="Times New Roman"/>
          <w:sz w:val="14"/>
          <w:szCs w:val="14"/>
          <w:color w:val="auto"/>
        </w:rPr>
      </w:pPr>
    </w:p>
    <w:p>
      <w:pPr>
        <w:ind w:left="1280" w:right="1119" w:hanging="246"/>
        <w:spacing w:after="0" w:line="278" w:lineRule="auto"/>
        <w:tabs>
          <w:tab w:leader="none" w:pos="1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Factorial further advanced commercialization by becoming the first company to announce the delivery of high energy density (&gt;390Wh/kg) 100+ Ah solid-state battery B sample to a global automotive OEM.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551" w:right="1440" w:bottom="1440" w:gutter="0" w:footer="0" w:header="0"/>
          <w:type w:val="continuous"/>
        </w:sectPr>
      </w:pPr>
    </w:p>
    <w:bookmarkStart w:id="70" w:name="page71"/>
    <w:bookmarkEnd w:id="7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280" w:right="1039" w:hanging="246"/>
        <w:spacing w:after="0" w:line="262" w:lineRule="auto"/>
        <w:tabs>
          <w:tab w:leader="none" w:pos="12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2026, Factorial and Karma Automotive announced the launch of the first solid-state battery production program in the United States for passenger vehicles, targeting the integration of FEST® technology into a series-production vehicle platform.</w:t>
      </w:r>
    </w:p>
    <w:p>
      <w:pPr>
        <w:spacing w:after="0" w:line="136" w:lineRule="exact"/>
        <w:rPr>
          <w:sz w:val="20"/>
          <w:szCs w:val="20"/>
          <w:color w:val="auto"/>
        </w:rPr>
      </w:pPr>
    </w:p>
    <w:p>
      <w:pPr>
        <w:ind w:left="760" w:right="919" w:firstLine="24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Electrolyte Design. </w:t>
      </w:r>
      <w:r>
        <w:rPr>
          <w:rFonts w:ascii="Times New Roman" w:cs="Times New Roman" w:eastAsia="Times New Roman" w:hAnsi="Times New Roman"/>
          <w:sz w:val="14"/>
          <w:szCs w:val="14"/>
          <w:color w:val="auto"/>
        </w:rPr>
        <w:t>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an electrolyte system that incorporates a polymer-based solid electrolyte with a small liquid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component, supplanting the fully liquid electrolytes used in conventional Li-ion batteries.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is designed to enhance safety by more effectively resisting dendrite formation, which enables the use of high-capacity anode materials such as lithium metal. Lithium metal is the lightest metal element on the periodic table, supporting higher energy density and reduced battery weight.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In the case of silicon anodes,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helps reduce the flammability of both the active electrode material and the electrolyte. This improved stability results in a more forgiving, higher thermal runaway onset temperature compared to equivalent anode and cathode systems that rely solely on liquid electrolytes, further enhancing overall battery safety.</w:t>
      </w:r>
    </w:p>
    <w:p>
      <w:pPr>
        <w:spacing w:after="0" w:line="136"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i w:val="1"/>
          <w:iCs w:val="1"/>
          <w:color w:val="auto"/>
        </w:rPr>
        <w:t>Anode Design</w:t>
      </w:r>
      <w:r>
        <w:rPr>
          <w:rFonts w:ascii="Times New Roman" w:cs="Times New Roman" w:eastAsia="Times New Roman" w:hAnsi="Times New Roman"/>
          <w:sz w:val="14"/>
          <w:szCs w:val="14"/>
          <w:color w:val="auto"/>
        </w:rPr>
        <w:t>.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 is compatible with lithium metal, graphite, and silicon-based anode materials.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 a conventional graphite anode to be replaced by lithium metal, which delivers more energy density by both weight and size.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have demonstrated an energy density of greater than 390 Wh/kg, substantially more than typical production Li-ion batteries which range from 250 Wh/kg to 330 Wh/kg. In addition,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combined with lithium metal anodes delivers high power in a broad operating window ranging from -30°C to 45°C. Our 77 Ah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have demonstrated charging from 15% to 90% in less than 20 minutes and support 4C discharge. In addition to lithium metal,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system is also compatible with silicon anodes, and we have active development programs with our partners for lithium metal and silicon anodes.</w:t>
      </w:r>
    </w:p>
    <w:p>
      <w:pPr>
        <w:spacing w:after="0" w:line="142" w:lineRule="exact"/>
        <w:rPr>
          <w:sz w:val="20"/>
          <w:szCs w:val="20"/>
          <w:color w:val="auto"/>
        </w:rPr>
      </w:pPr>
    </w:p>
    <w:p>
      <w:pPr>
        <w:ind w:left="760" w:right="899" w:firstLine="249"/>
        <w:spacing w:after="0" w:line="256" w:lineRule="auto"/>
        <w:rPr>
          <w:sz w:val="20"/>
          <w:szCs w:val="20"/>
          <w:color w:val="auto"/>
        </w:rPr>
      </w:pPr>
      <w:r>
        <w:rPr>
          <w:rFonts w:ascii="Times New Roman" w:cs="Times New Roman" w:eastAsia="Times New Roman" w:hAnsi="Times New Roman"/>
          <w:sz w:val="14"/>
          <w:szCs w:val="14"/>
          <w:i w:val="1"/>
          <w:iCs w:val="1"/>
          <w:color w:val="auto"/>
        </w:rPr>
        <w:t>Cathode Design</w:t>
      </w:r>
      <w:r>
        <w:rPr>
          <w:rFonts w:ascii="Times New Roman" w:cs="Times New Roman" w:eastAsia="Times New Roman" w:hAnsi="Times New Roman"/>
          <w:sz w:val="14"/>
          <w:szCs w:val="14"/>
          <w:color w:val="auto"/>
        </w:rPr>
        <w:t>.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cells are designed to permit the use of high-capacity anodes and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electrolyte together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high-capacity, low cobalt NMC/NCA (nickel/manganese/cobalt or nickel/cobalt/ aluminum) cathodes. By leveraging current leading cathode designs,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benefit from existing supply and experience as well as being positioned to incorporate future high-capacity cathodes as they become commercially available.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system is also compatible with lithium iron phosphate cathodes.</w:t>
      </w:r>
    </w:p>
    <w:p>
      <w:pPr>
        <w:spacing w:after="0" w:line="141"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Factorial Energy’s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batteries were designed from inception to be well suited for manufacturing largely on existing assembly lines which we believe streamlines commercialization and accelerates adoption. We believe that certain conventional Li-ion battery assembly lines, representing billions of dollars in investment, are underutilized or face uncertain demand. We believe that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can effectively exploit overcapacity in battery production given the large overlap in its production steps with conventional processes. A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production line can utilize up to 80% of the same equipment as a conventional lithium-ion battery assembly line, enabling capital investment savings of up to 80%.</w:t>
      </w:r>
    </w:p>
    <w:p>
      <w:pPr>
        <w:spacing w:after="0" w:line="145"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The LG Energy LGES E101A battery cell, based on NMC chemistry, is a currently commercially available conventional Li-Ion battery with a capacity and footprint similar to Factorial’s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B-sample cell. Our research indicates that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battery cells offer more than 30% volumetric and gravimetric energy density, and are at least 20% lighter, than the LGES E101A battery, which has similar capacity and form factor to our large format cells.</w:t>
      </w:r>
    </w:p>
    <w:p>
      <w:pPr>
        <w:spacing w:after="0" w:line="140" w:lineRule="exact"/>
        <w:rPr>
          <w:sz w:val="20"/>
          <w:szCs w:val="20"/>
          <w:color w:val="auto"/>
        </w:rPr>
      </w:pPr>
    </w:p>
    <w:p>
      <w:pPr>
        <w:ind w:left="760" w:right="879"/>
        <w:spacing w:after="0" w:line="281" w:lineRule="auto"/>
        <w:rPr>
          <w:sz w:val="20"/>
          <w:szCs w:val="20"/>
          <w:color w:val="auto"/>
        </w:rPr>
      </w:pPr>
      <w:r>
        <w:rPr>
          <w:rFonts w:ascii="Times New Roman" w:cs="Times New Roman" w:eastAsia="Times New Roman" w:hAnsi="Times New Roman"/>
          <w:sz w:val="14"/>
          <w:szCs w:val="14"/>
          <w:i w:val="1"/>
          <w:iCs w:val="1"/>
          <w:color w:val="auto"/>
        </w:rPr>
        <w:t>Source: Factorial, Quasi-Solid-State Battery Breakthroughs, 2025 White Paper; LG Energy Solution, Cell Solutions for Powerful EV Performance - 2024, https://www.lgensol.com/assets/file/ LGES_spec_sheet_cells_2024.pdf</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551" w:right="1440"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Our Solstice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4"/>
          <w:szCs w:val="14"/>
          <w:color w:val="auto"/>
        </w:rPr>
        <w:t xml:space="preserve"> technology is designed to address the needs of high cycle life applications where long life and extreme high temperature stability are expected. The high cycle market includes robots and high spec energy storage systems, consumer electronics and long-range on-road vehicles, and consumer electronics. Our Solstice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4"/>
          <w:szCs w:val="14"/>
          <w:color w:val="auto"/>
        </w:rPr>
        <w:t xml:space="preserve"> cells are expected to deliver high energy, lower weight, and smaller size while providing superior thermal and electrochemical safety relative to conventional Li-ion batteries through the use of an all solid, sulfide-based electrolyte. Solstice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4"/>
          <w:szCs w:val="14"/>
          <w:color w:val="auto"/>
        </w:rPr>
        <w:t xml:space="preserve"> cells have a potential energy density of up to 450 Wh/kg, and stability at temperatures as high as 90°C (compared to the approximately 60°C limit of conventional liquid electrolytes).</w:t>
      </w:r>
    </w:p>
    <w:p>
      <w:pPr>
        <w:spacing w:after="0" w:line="145"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Our Solstice</w:t>
      </w:r>
      <w:r>
        <w:rPr>
          <w:rFonts w:ascii="Times New Roman" w:cs="Times New Roman" w:eastAsia="Times New Roman" w:hAnsi="Times New Roman"/>
          <w:sz w:val="10"/>
          <w:szCs w:val="10"/>
          <w:color w:val="auto"/>
        </w:rPr>
        <w:t>TM</w:t>
      </w:r>
      <w:r>
        <w:rPr>
          <w:rFonts w:ascii="Times New Roman" w:cs="Times New Roman" w:eastAsia="Times New Roman" w:hAnsi="Times New Roman"/>
          <w:sz w:val="14"/>
          <w:szCs w:val="14"/>
          <w:color w:val="auto"/>
        </w:rPr>
        <w:t xml:space="preserve"> cells have been produced in sizes as large as 40 Ah, a format relevant for mobility applications, and been delivered to high energy and automotive partners for development validation.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Although our primary focus is on quasi-solid and all-solid-state battery technologies, due to evolving customer demand in the high spec market, we are also developing advanced liquid electrolyte systems compatible with high-capacity anodes, including but not limited to lithium metal.</w:t>
      </w:r>
    </w:p>
    <w:p>
      <w:pPr>
        <w:spacing w:after="0" w:line="138" w:lineRule="exact"/>
        <w:rPr>
          <w:sz w:val="20"/>
          <w:szCs w:val="20"/>
          <w:color w:val="auto"/>
        </w:rPr>
      </w:pPr>
    </w:p>
    <w:p>
      <w:pPr>
        <w:ind w:left="760" w:right="779" w:firstLine="249"/>
        <w:spacing w:after="0" w:line="283" w:lineRule="auto"/>
        <w:rPr>
          <w:sz w:val="20"/>
          <w:szCs w:val="20"/>
          <w:color w:val="auto"/>
        </w:rPr>
      </w:pPr>
      <w:r>
        <w:rPr>
          <w:rFonts w:ascii="Times New Roman" w:cs="Times New Roman" w:eastAsia="Times New Roman" w:hAnsi="Times New Roman"/>
          <w:sz w:val="13"/>
          <w:szCs w:val="13"/>
          <w:color w:val="auto"/>
        </w:rPr>
        <w:t>We believe that several of our technological advances result from our creation and use of Gammatron™, our proprietary software-based, AI-enabled simulation platform designed to mimic and model the performance of Factorial’s batteries over their lifecycle. Gammatron™ fuses lab data, machine learning, and high-fidelity simulations to solve critical battery engineering challenges. Some of the key benefits of Gammatron™ that we believe will continue to aid our engineering, design, and production capabilities are:</w:t>
      </w:r>
    </w:p>
    <w:p>
      <w:pPr>
        <w:spacing w:after="0" w:line="124" w:lineRule="exact"/>
        <w:rPr>
          <w:sz w:val="20"/>
          <w:szCs w:val="20"/>
          <w:color w:val="auto"/>
        </w:rPr>
      </w:pPr>
    </w:p>
    <w:p>
      <w:pPr>
        <w:ind w:left="1280" w:right="859" w:hanging="246"/>
        <w:spacing w:after="0" w:line="281" w:lineRule="auto"/>
        <w:tabs>
          <w:tab w:leader="none" w:pos="1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Faster development cycles: </w:t>
      </w:r>
      <w:r>
        <w:rPr>
          <w:rFonts w:ascii="Times New Roman" w:cs="Times New Roman" w:eastAsia="Times New Roman" w:hAnsi="Times New Roman"/>
          <w:sz w:val="14"/>
          <w:szCs w:val="14"/>
          <w:color w:val="auto"/>
        </w:rPr>
        <w:t>Gammatron™ successfully forecasted a battery’s long-term cycle from just two weeks of data,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task that traditionally required three to six months.</w:t>
      </w:r>
    </w:p>
    <w:p>
      <w:pPr>
        <w:spacing w:after="0" w:line="121" w:lineRule="exact"/>
        <w:rPr>
          <w:rFonts w:ascii="Times New Roman" w:cs="Times New Roman" w:eastAsia="Times New Roman" w:hAnsi="Times New Roman"/>
          <w:sz w:val="14"/>
          <w:szCs w:val="14"/>
          <w:color w:val="auto"/>
        </w:rPr>
      </w:pPr>
    </w:p>
    <w:p>
      <w:pPr>
        <w:ind w:left="1280" w:right="1179" w:hanging="246"/>
        <w:spacing w:after="0" w:line="281" w:lineRule="auto"/>
        <w:tabs>
          <w:tab w:leader="none" w:pos="1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Better design: </w:t>
      </w:r>
      <w:r>
        <w:rPr>
          <w:rFonts w:ascii="Times New Roman" w:cs="Times New Roman" w:eastAsia="Times New Roman" w:hAnsi="Times New Roman"/>
          <w:sz w:val="14"/>
          <w:szCs w:val="14"/>
          <w:color w:val="auto"/>
        </w:rPr>
        <w:t>Gammatron™’s digital twin allowed us to double a cell’s life by optimizing our battery’s fast charging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algorithm, without altering its physical chemistry.</w:t>
      </w:r>
    </w:p>
    <w:p>
      <w:pPr>
        <w:spacing w:after="0" w:line="121" w:lineRule="exact"/>
        <w:rPr>
          <w:rFonts w:ascii="Times New Roman" w:cs="Times New Roman" w:eastAsia="Times New Roman" w:hAnsi="Times New Roman"/>
          <w:sz w:val="14"/>
          <w:szCs w:val="14"/>
          <w:color w:val="auto"/>
        </w:rPr>
      </w:pPr>
    </w:p>
    <w:p>
      <w:pPr>
        <w:ind w:left="1280" w:right="999" w:hanging="246"/>
        <w:spacing w:after="0" w:line="281" w:lineRule="auto"/>
        <w:tabs>
          <w:tab w:leader="none" w:pos="1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Quality improvement: </w:t>
      </w:r>
      <w:r>
        <w:rPr>
          <w:rFonts w:ascii="Times New Roman" w:cs="Times New Roman" w:eastAsia="Times New Roman" w:hAnsi="Times New Roman"/>
          <w:sz w:val="14"/>
          <w:szCs w:val="14"/>
          <w:color w:val="auto"/>
        </w:rPr>
        <w:t>Gammatron™ aggregates production data to deliver end-to-end traceability and advanced battery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cell state-of-health and lifetime predictions across the entire lifecycle.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71" w:lineRule="exact"/>
        <w:rPr>
          <w:sz w:val="20"/>
          <w:szCs w:val="20"/>
          <w:color w:val="auto"/>
        </w:rPr>
      </w:pPr>
    </w:p>
    <w:p>
      <w:pPr>
        <w:ind w:left="760" w:right="799" w:firstLine="24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We are at the forefront of scaling high performance batteries. </w:t>
      </w:r>
      <w:r>
        <w:rPr>
          <w:rFonts w:ascii="Times New Roman" w:cs="Times New Roman" w:eastAsia="Times New Roman" w:hAnsi="Times New Roman"/>
          <w:sz w:val="13"/>
          <w:szCs w:val="13"/>
          <w:color w:val="auto"/>
        </w:rPr>
        <w:t>On-road vehicle battery cells typically require capacities of 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least 40 Ah. Scaling solid-state battery cells from laboratory formats of 3 - 5 Ah to automotive scale cells of 40 Ah and beyond remains one of the most technically challenging problems in the battery industry. In 2021, we became the first company to announce an automotive sized 40 Ah solid-state battery cell that operates at room temperature. In 2023, we announced the world’s first 100+ Ah high energy density solid-state battery cells (&gt;390 Wh/kg) that passed UN 38.3 transportation safety certification. Following the announcement of our partnership with Mercedes-Benz in 2024 regarding solid-state battery cell development, we successfully scaled our Solstice™ all solid-state battery cells to automotive size (40 Ah), continuing our path toward commercialization. Also in 2024, we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551" w:right="1440"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spacing w:after="0" w:line="262" w:lineRule="auto"/>
        <w:rPr>
          <w:sz w:val="20"/>
          <w:szCs w:val="20"/>
          <w:color w:val="auto"/>
        </w:rPr>
      </w:pPr>
      <w:r>
        <w:rPr>
          <w:rFonts w:ascii="Times New Roman" w:cs="Times New Roman" w:eastAsia="Times New Roman" w:hAnsi="Times New Roman"/>
          <w:sz w:val="14"/>
          <w:szCs w:val="14"/>
          <w:color w:val="auto"/>
        </w:rPr>
        <w:t>shipped our 100+ Ah cells to a global automotive OEM for B sample evaluation, a validation stage to verify performance and maturity of production-intent designs. We were also the first company to publicly announce the integration of high energy density solid-state cells into a passenger test vehicle.</w:t>
      </w:r>
    </w:p>
    <w:p>
      <w:pPr>
        <w:spacing w:after="0" w:line="138" w:lineRule="exact"/>
        <w:rPr>
          <w:sz w:val="20"/>
          <w:szCs w:val="20"/>
          <w:color w:val="auto"/>
        </w:rPr>
      </w:pPr>
    </w:p>
    <w:p>
      <w:pPr>
        <w:ind w:left="760" w:right="799" w:firstLine="249"/>
        <w:spacing w:after="0" w:line="279" w:lineRule="auto"/>
        <w:rPr>
          <w:sz w:val="20"/>
          <w:szCs w:val="20"/>
          <w:color w:val="auto"/>
        </w:rPr>
      </w:pPr>
      <w:r>
        <w:rPr>
          <w:rFonts w:ascii="Times New Roman" w:cs="Times New Roman" w:eastAsia="Times New Roman" w:hAnsi="Times New Roman"/>
          <w:sz w:val="13"/>
          <w:szCs w:val="13"/>
          <w:color w:val="auto"/>
        </w:rPr>
        <w:t>These milestones culminated in real world automotive validation. Mercedes-Benz integrated Factorial’s FEST</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color w:val="auto"/>
        </w:rPr>
        <w:t xml:space="preserve"> cells into a lightly modified EQS test vehicle and, in August 2025, completed a 1,205 km journey from Stuttgart, Germany to Malmö, Sweden on a single charge. This demonstration validated real world performance at automotive scale. The demonstration is a key early step towards commercialization over a multi-year process that begins with the development of a prototype, followed by validation in a test vehicle and further testing in a fleet of vehicles before deployment of batteries comprised of such cells in vehicles sold to end users.</w:t>
      </w:r>
    </w:p>
    <w:p>
      <w:pPr>
        <w:spacing w:after="0" w:line="128"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Advancing from technical validation to commercial implementation, in February 2026, we launched our first U.S. passenger vehicle production program with Karma Automotive. Karma announced that the program targets the integration of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technology into a series-production vehicle platform in the near future.</w:t>
      </w:r>
    </w:p>
    <w:p>
      <w:pPr>
        <w:spacing w:after="0" w:line="136" w:lineRule="exact"/>
        <w:rPr>
          <w:sz w:val="20"/>
          <w:szCs w:val="20"/>
          <w:color w:val="auto"/>
        </w:rPr>
      </w:pPr>
    </w:p>
    <w:p>
      <w:pPr>
        <w:ind w:left="760" w:right="819" w:firstLine="249"/>
        <w:spacing w:after="0" w:line="274" w:lineRule="auto"/>
        <w:rPr>
          <w:sz w:val="20"/>
          <w:szCs w:val="20"/>
          <w:color w:val="auto"/>
        </w:rPr>
      </w:pPr>
      <w:r>
        <w:rPr>
          <w:rFonts w:ascii="Times New Roman" w:cs="Times New Roman" w:eastAsia="Times New Roman" w:hAnsi="Times New Roman"/>
          <w:sz w:val="13"/>
          <w:szCs w:val="13"/>
          <w:b w:val="1"/>
          <w:bCs w:val="1"/>
          <w:i w:val="1"/>
          <w:iCs w:val="1"/>
          <w:color w:val="auto"/>
        </w:rPr>
        <w:t xml:space="preserve">We have established partnerships and cooperation with numerous industry leaders. </w:t>
      </w:r>
      <w:r>
        <w:rPr>
          <w:rFonts w:ascii="Times New Roman" w:cs="Times New Roman" w:eastAsia="Times New Roman" w:hAnsi="Times New Roman"/>
          <w:sz w:val="13"/>
          <w:szCs w:val="13"/>
          <w:color w:val="auto"/>
        </w:rPr>
        <w:t>We have established joint development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agreements (“JDAs”) and/or collaborative development agreements (“CDAs”) with, and received investments from, major global OEMs including Mercedes-Benz, Stellantis, and Hyundai/Kia, each of whom is pursuing extensive electrification goals. We further expanded this portfolio in February 2026 by entering into a JDA with PowerCo, focused on the development and validation of our solid-state technology. In February 2026, we launched the first solid-state battery production program in the United States with Karma Automotive, which will integrate our solid-state platform into a production vehicle environment. The automotive industry has one of the most demanding and rigorous product requirements among all battery applications. We believe that our collaboration with these established automotive leaders validates the capabilities and potential of our technology as well as our overall business model.</w:t>
      </w:r>
    </w:p>
    <w:p>
      <w:pPr>
        <w:spacing w:after="0" w:line="131"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received automotive OEM substantiation of our large format cells in key dimensions. </w:t>
      </w:r>
      <w:r>
        <w:rPr>
          <w:rFonts w:ascii="Times New Roman" w:cs="Times New Roman" w:eastAsia="Times New Roman" w:hAnsi="Times New Roman"/>
          <w:sz w:val="14"/>
          <w:szCs w:val="14"/>
          <w:color w:val="auto"/>
        </w:rPr>
        <w:t>The automotive industry sets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high standards for validation of battery performance and quality. We were the first solid-state battery maker to announce validation by a global OEM on multiple metrics. We were the first to announce 100+ Ah high energy density solid-state batteries with a global OEM. Stellantis verified our high energy density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batteries which delivered 375 Wh/kg throughout a wide range of temperatures and operational conditions.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verified by Stellantis retain over 80% of their discharge capacity at -30°C, enabling reliable performance across diverse climates and in demanding applications.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battery cells have demonstrated superior charging speed. Our high energy density 77 Ah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 achieves fast charging from 15% to 90% state of charge in less than 20 minutes, enabling rapid recharging at high-power stations. This verification supported Stellantis’s plan to announce a demonstration fleet using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w:t>
      </w:r>
    </w:p>
    <w:p>
      <w:pPr>
        <w:spacing w:after="0" w:line="147" w:lineRule="exact"/>
        <w:rPr>
          <w:sz w:val="20"/>
          <w:szCs w:val="20"/>
          <w:color w:val="auto"/>
        </w:rPr>
      </w:pPr>
    </w:p>
    <w:p>
      <w:pPr>
        <w:ind w:left="760" w:right="919" w:firstLine="24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technology is well-suited for the aviation market. </w:t>
      </w:r>
      <w:r>
        <w:rPr>
          <w:rFonts w:ascii="Times New Roman" w:cs="Times New Roman" w:eastAsia="Times New Roman" w:hAnsi="Times New Roman"/>
          <w:sz w:val="14"/>
          <w:szCs w:val="14"/>
          <w:color w:val="auto"/>
        </w:rPr>
        <w:t>We believe that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is well- suited for the drone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broader aviation market because of its combination of small size, low weight, and high power delivery across a broad state of charge and range of temperatures.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have demonstrated up to high power 10C continuous discharge capability, which is critical for demanding transient loads such as take-off and landing profiles. The broad operating window of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is particularly valuable for aerospace-mobility use cases where extreme temperature resilience can be critical. We believe our batteries are well suited to serve aviation OEMs whose rigorous performance requirements prioritize performance and reliability.</w:t>
      </w:r>
    </w:p>
    <w:p>
      <w:pPr>
        <w:spacing w:after="0" w:line="141" w:lineRule="exact"/>
        <w:rPr>
          <w:sz w:val="20"/>
          <w:szCs w:val="20"/>
          <w:color w:val="auto"/>
        </w:rPr>
      </w:pPr>
    </w:p>
    <w:p>
      <w:pPr>
        <w:ind w:left="760" w:right="799" w:firstLine="24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solid-state batteries deliver higher performance in order to reduce total cost of ownership. </w:t>
      </w:r>
      <w:r>
        <w:rPr>
          <w:rFonts w:ascii="Times New Roman" w:cs="Times New Roman" w:eastAsia="Times New Roman" w:hAnsi="Times New Roman"/>
          <w:sz w:val="14"/>
          <w:szCs w:val="14"/>
          <w:color w:val="auto"/>
        </w:rPr>
        <w:t>Our batteries offer significantly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greater energy density and thus can improve performance and/or reduce total costs of ownership for transportation applications compared to existing Li-ion battery technology. Smaller size and lower weight can deliver enhanced road or flight range and/or greater payload and performance relative to conventional Li-ion batteries, or similar performance at lower weight and cost.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has been verified in automotive-sized lithium-metal solid-state cells by Stellantis and is being tested in coordination with additional global OEMs.</w:t>
      </w:r>
    </w:p>
    <w:p>
      <w:pPr>
        <w:spacing w:after="0" w:line="141"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solid-state batteries can deliver greater safety. </w:t>
      </w:r>
      <w:r>
        <w:rPr>
          <w:rFonts w:ascii="Times New Roman" w:cs="Times New Roman" w:eastAsia="Times New Roman" w:hAnsi="Times New Roman"/>
          <w:sz w:val="14"/>
          <w:szCs w:val="14"/>
          <w:color w:val="auto"/>
        </w:rPr>
        <w:t>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battery cells have demonstrated superior safety characteristics across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wide range of abuse and environmental conditions relative to conventional Li-ion batteries. The safety of our delivered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has been confirmed by third-party testing through a range of tests, including: crushing, nail penetration, altitude, thermal, vibration, shock, short circuit, impact, overcharge, and forced discharge. In November 2023, we achieved a pivotal safety milestone by delivering the first UN 38.3 certified lithium solid-state battery cell at 100+ Ah, a critical capacity for automotive applications. Initial test data suggest that the Solstice™ all-solid-state cells can maintain excellent high temperature- stability up to 90°C, where conventional Li-ion cells may require cooling beyond 45°C. This thermal behavior has the potential to enable simplified thermal management system designs which may reduce vehicle mass and complexity and support more demanding operational profiles.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551" w:right="1440"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839" w:firstLine="24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solid-state batteries are designed for capital efficient scaling. </w:t>
      </w:r>
      <w:r>
        <w:rPr>
          <w:rFonts w:ascii="Times New Roman" w:cs="Times New Roman" w:eastAsia="Times New Roman" w:hAnsi="Times New Roman"/>
          <w:sz w:val="13"/>
          <w:szCs w:val="13"/>
          <w:color w:val="auto"/>
        </w:rPr>
        <w:t>We expect the FEST</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production process to have an 80%</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overlap with existing Li-ion battery production lines and to effectively leverage established supply chains. This approach is expected to significantly reduce upfront capital expenditures and accelerate time to market through retrofitting underutilized manufacturing capacity currently available in the industry. Solstice™ incorporates a dry cathode coating process that eliminates conventional solvent based mixing and drying steps. This approach reduces energy consumption during manufacturing and avoids the volatile organic compounds associated with those steps. In addition, we are engineering the platform to simplify and reduce formation requirements, which may further lower manufacturing costs and environmental impacts relative to conventional Li-ion production.</w:t>
      </w:r>
    </w:p>
    <w:p>
      <w:pPr>
        <w:spacing w:after="0" w:line="131" w:lineRule="exact"/>
        <w:rPr>
          <w:sz w:val="20"/>
          <w:szCs w:val="20"/>
          <w:color w:val="auto"/>
        </w:rPr>
      </w:pPr>
    </w:p>
    <w:p>
      <w:pPr>
        <w:ind w:left="760" w:right="919" w:firstLine="249"/>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advanced manufacturing capability has demonstrated high yields. </w:t>
      </w:r>
      <w:r>
        <w:rPr>
          <w:rFonts w:ascii="Times New Roman" w:cs="Times New Roman" w:eastAsia="Times New Roman" w:hAnsi="Times New Roman"/>
          <w:sz w:val="13"/>
          <w:szCs w:val="13"/>
          <w:color w:val="auto"/>
        </w:rPr>
        <w:t>We believe that scaling from 3 - 5 Ah cells to 100+ Ah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high energy density cells is a significant technical challenge, and producing and shipping thousands of such cells or more to global OEMs with consistent quality is even more demanding. We believe that state of the art fabrication lines typically target yields of approximately 70 - 80%. Our fabrication line has achieved yields exceeding 85% across thousands of automotive sized FEST® cells that we have produced and shipped to global OEM partners. For illustrative purposes, assuming other factors remain constant, a production yield of 15% would generally result in approximately 5.7 times higher unit cost than a yield of 85%. We believe our manufacturing capabilities and cost efficiency to scale are enabled by designing production equipment that closely conforms to and builds upon conventional Li-ion manufacturing processes. Our manufacturing process has allowed us to produce full scale modules and packs with our OEM partners, culminating in the successful integration and public road testing of a demonstration vehicle.</w:t>
      </w:r>
    </w:p>
    <w:p>
      <w:pPr>
        <w:spacing w:after="0" w:line="132" w:lineRule="exact"/>
        <w:rPr>
          <w:sz w:val="20"/>
          <w:szCs w:val="20"/>
          <w:color w:val="auto"/>
        </w:rPr>
      </w:pPr>
    </w:p>
    <w:p>
      <w:pPr>
        <w:ind w:left="760" w:right="819" w:firstLine="249"/>
        <w:spacing w:after="0" w:line="275" w:lineRule="auto"/>
        <w:rPr>
          <w:sz w:val="20"/>
          <w:szCs w:val="20"/>
          <w:color w:val="auto"/>
        </w:rPr>
      </w:pPr>
      <w:r>
        <w:rPr>
          <w:rFonts w:ascii="Times New Roman" w:cs="Times New Roman" w:eastAsia="Times New Roman" w:hAnsi="Times New Roman"/>
          <w:sz w:val="13"/>
          <w:szCs w:val="13"/>
          <w:b w:val="1"/>
          <w:bCs w:val="1"/>
          <w:i w:val="1"/>
          <w:iCs w:val="1"/>
          <w:color w:val="auto"/>
        </w:rPr>
        <w:t xml:space="preserve">We have established an extensive patent and intellectual property portfolio. </w:t>
      </w:r>
      <w:r>
        <w:rPr>
          <w:rFonts w:ascii="Times New Roman" w:cs="Times New Roman" w:eastAsia="Times New Roman" w:hAnsi="Times New Roman"/>
          <w:sz w:val="13"/>
          <w:szCs w:val="13"/>
          <w:color w:val="auto"/>
        </w:rPr>
        <w:t>Over the last decade, we have generated more than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150 U.S. and foreign patents and patent applications, including broad fundamental patents around our core technology. Our patent and patent applications are designed to protect innovations across solid-state battery technology, including, advanced materials (electrode materials, liquid electrolytes, polymer electrolytes, inorganic solid electrolytes, and functional additives), cell components (electrodes, electrode protective layers, electrolytes, separators and current collectors), configurations (cell design, physical format, layout and arrangement of component(s), and internal support structures), processes (for assembling manufacturing and evaluating batteries and battery components), and technologies for battery optimization using artificial intelligence and machine learning.</w:t>
      </w:r>
    </w:p>
    <w:p>
      <w:pPr>
        <w:spacing w:after="0" w:line="131"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established partnerships with and received affirmation from leading battery industry suppliers. </w:t>
      </w:r>
      <w:r>
        <w:rPr>
          <w:rFonts w:ascii="Times New Roman" w:cs="Times New Roman" w:eastAsia="Times New Roman" w:hAnsi="Times New Roman"/>
          <w:sz w:val="14"/>
          <w:szCs w:val="14"/>
          <w:color w:val="auto"/>
        </w:rPr>
        <w:t>We believe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innovation in the battery industry depends on coordinated efforts across the supply chain. Our partnerships with leading upstream suppliers enable innovation at scale and we believe shows that companies, who we believe have shown leadership in battery innovation and decades of insight into market demand, and who undertake selective investment practices and focus on credible companies with differentiated technology, affirm our approach. We believe that investments by POSCO Future M and Philenergy, together with our MoUs with top 10 global battery materials suppliers, reflect confidence in our technology. In addition, we have also partnered with SungEel HiTech to support solid-state battery recycling, which may enhance lifecycle material supply security.</w:t>
      </w:r>
    </w:p>
    <w:p>
      <w:pPr>
        <w:spacing w:after="0" w:line="142" w:lineRule="exact"/>
        <w:rPr>
          <w:sz w:val="20"/>
          <w:szCs w:val="20"/>
          <w:color w:val="auto"/>
        </w:rPr>
      </w:pPr>
    </w:p>
    <w:p>
      <w:pPr>
        <w:ind w:left="760" w:right="839" w:firstLine="24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seasoned leadership with deep battery, industrial, and automotive expertise. </w:t>
      </w:r>
      <w:r>
        <w:rPr>
          <w:rFonts w:ascii="Times New Roman" w:cs="Times New Roman" w:eastAsia="Times New Roman" w:hAnsi="Times New Roman"/>
          <w:sz w:val="14"/>
          <w:szCs w:val="14"/>
          <w:color w:val="auto"/>
        </w:rPr>
        <w:t>We believe that while many companies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possess promising technologies at the conceptual or laboratory stage, successful commercialization requires the ability to translate lab innovation into scalable manufacturing and execution. We further believe that this ability is fundamentally driven by the experience, judgment, and execution capability of our people. We believe that our leadership and advisory teams are a key differentiator in our ability to develop, manufacture, and commercialize advanced battery technologies.</w:t>
      </w:r>
    </w:p>
    <w:p>
      <w:pPr>
        <w:spacing w:after="0" w:line="141"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Our leadership team has significant academic, industry, and corporate experience. Our co-founders, Siyu Huang and Alex Yu, each hold a PhD in chemistry from Cornell University and have prior experience founding and scaling a manufacturing business within the battery industry. Together, they have built and expanded battery materials manufacturing operations, developed deep expertise in advanced battery materials, and accumulated a combined 28 years of experience in battery industry. Through this work, they have also established partnerships with leading automotive OEMs, battery manufacturers, and materials suppliers. Our Executive Chairman, Joe Taylor, is the former Chairman and CEO of Panasonic Corporation of North America and played a key role in the development of the Tesla-Panasonic relationship, which culminated in the first Tesla gigafactory. Dr. Dieter Zetsche, the former Chairman of the Board of Management of Daimler AG and Head of Mercedes-Benz, was an early investor and advisor for Factorial. Upon consummation of the Business Combination, Dr. Zetsche joined the Board of Directors of the combined company. Professor Héctor Abruña, a co-founder of Factorial, is a member of the National Academy of Sciences and a distinguished professor and former chair of the Cornell University Department of Chemistry. By drawing from more than 160 years of expertise across battery, industrial and automotive sector, we believe our team constitutes a core competitive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551" w:right="1440"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Partnerships</w:t>
      </w:r>
    </w:p>
    <w:p>
      <w:pPr>
        <w:spacing w:after="0" w:line="173"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We believe that our partnerships with global industry leaders, including OEMs and established suppliers, will support and accelerate our path to commercialization by allowing us to understand and meet the engineering requirements of potential customers. In 2021, we secured and announced strategic investments and JDAs with global automotive OEMs: Mercedes-Benz, Stellantis and Hyundai/Kia.</w:t>
      </w:r>
    </w:p>
    <w:p>
      <w:pPr>
        <w:spacing w:after="0" w:line="142"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At CES in 2023, we announced, together with Stellantis, the world’s first high energy density 100+ Ah lithium-metal solid-state battery cell developed in collaboration with a global OEM. Since that time, we have manufactured and shipped thousands of automotive-scale solid-state battery cells to our global OEM partners. To support the expansion of our planned customer footprint into drone and other high spec markets, we are in discussions with multiple potential customers and partners for testing and future integration of our products into their applications. In parallel, we have built a broad and strategic supplier coalition among solid-state battery developers to support the scaling and commercialization of our solid-state technology.</w:t>
      </w:r>
    </w:p>
    <w:p>
      <w:pPr>
        <w:spacing w:after="0" w:line="145"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Each of our collaboration agreements with global automotive OEMs is for the development and testing of our battery cells through a long-term process designed toward potential commercialization. The development process occurs over several years, beginning with the development of a small prototype (3 - 5Ah), followed by larger automotive sized cells (40Ah and above), validation in a test vehicle and further testing in a fleet of vehicles, before potential deployment of battery packs in vehicles sold to consumers. As outlined above and below, we developed our first small format 3 - 5Ah cell eight years ago. In 2021, we announced an automotive-sized 40Ah cell, followed by the debut of our 100+Ah solid-state battery with a global automotive OEM in 2023. In 2025, a vehicle powered by our cells successfully completed its first road test. We have also announced plans with an OEM partner to launch a demonstration fleet of vehicles equipped with FEST® beginning in 2026. We anticipate the initial commercialization of our battery cells in the high spec market could begin as early as late 2027.</w:t>
      </w:r>
    </w:p>
    <w:p>
      <w:pPr>
        <w:spacing w:after="0" w:line="145"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Mercedes-Benz: </w:t>
      </w:r>
      <w:r>
        <w:rPr>
          <w:rFonts w:ascii="Times New Roman" w:cs="Times New Roman" w:eastAsia="Times New Roman" w:hAnsi="Times New Roman"/>
          <w:sz w:val="14"/>
          <w:szCs w:val="14"/>
          <w:color w:val="auto"/>
        </w:rPr>
        <w:t>Building on our collaboration agreement, in 2024 we delivered the world’s first announced B-samples of 100+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Ah solid-state lithium metal battery cells to an OEM. In 2025, a lightly modified Mercedes-Benz EQS powered by these cells achieved a record-setting 1,205 km (748 miles) drive on a single charge on public highways from Stuttgart to Malmö. Upon arrival in Malmö, the car retained 137 km (85 miles) of available range. Pursuant to our collaboration agreement with Mercedes-Benz, dated November 21, 2021 and amended on August 1, 2025, the parties agreed to collaborate on the development of solid-state battery technology under a two-track program governed by mutually agreed statements of work. The agreement provides for shared development activities and allocates intellectual property based on subject matter, subject to specified cross-licenses, with each party retaining its pre-existing intellectual property. If development milestones are achieved, the parties have agreed to discuss in good faith a potential commercial supply relationship, which would be subject to a separate supply agreement at Mercedes-Benz’s discretion. The agreement also includes limited exclusivity provisions restricting Factorial, for specified periods, from entering into certain parallel development arrangements within the scope of the collaboration, and contains customary confidentiality, indemnification, and limitation of liability provisions. The agreement has a term through December 31, 2027, unless earlier terminated, and may be terminated by Mercedes-Benz for convenience or by either party for material breach (subject to a cure period) or insolvency, with customary survival of intellectual property, confidentiality and other specified provisions.</w:t>
      </w:r>
    </w:p>
    <w:p>
      <w:pPr>
        <w:spacing w:after="0" w:line="146" w:lineRule="exact"/>
        <w:rPr>
          <w:sz w:val="20"/>
          <w:szCs w:val="20"/>
          <w:color w:val="auto"/>
        </w:rPr>
      </w:pPr>
    </w:p>
    <w:p>
      <w:pPr>
        <w:ind w:left="760" w:right="799" w:firstLine="249"/>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Stellantis: </w:t>
      </w:r>
      <w:r>
        <w:rPr>
          <w:rFonts w:ascii="Times New Roman" w:cs="Times New Roman" w:eastAsia="Times New Roman" w:hAnsi="Times New Roman"/>
          <w:sz w:val="13"/>
          <w:szCs w:val="13"/>
          <w:color w:val="auto"/>
        </w:rPr>
        <w:t>Building on our joint collaboration agreement and successful verification of our 77 Ah cells, Stellantis announced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October 2024 its plan to build a demonstration fleet of Stellantis’ STLA Large platform vehicles equipped with FEST®, led by the Dodge Charger Daytona. In April 2025, Stellantis and Factorial announced the successful verification of FEST®, which we believe marked a significant step forward on the path to bringing next-generation on-road vehicle batteries to market. In June 2026, Stellantis and Factorial integrated FEST® cells into a Dodge Charger Daytona development vehicle and launched a road-testing program to verify performance, safety and reliability, marking the first integration of solid-state cells into a Stellantis vehicle. The first vehicle in the fleet was built in 2025. In April 2025, Stellantis and Factorial announced the successful verification of FEST®, which we believe marked a significant step forward on the path to bringing next-generation on-road vehicle batteries to market. Pursuant to our joint collaboration agreement with Stellantis, dated August 1, 2025, which replaced the joint collaboration agreement with Stellantis, dated November 20, 2021, the parties agreed to jointly develop battery cells and validate Factorial’s solid-state battery technology for automotive applications under defined technical targets, milestones and deliverables. The agreement provides for shared development activities and allocates intellectual property based on subject matter, subject to specified cross-licenses, with each party retaining its pre-existing intellectual property. The agreement also sets forth agreed demonstration fleet cell supply terms and related payment arrangements, and contains customary confidentiality, indemnification, and limitation of liability provisions. Pursuant to the agreement, the Company and Stellantis jointly developed a timeline, which includes deliverables of Stellantis to the Company through June 2027 such as module and pack safety reports, battery management system results, installation and retrofitting of test cells, and validation results associated with the demonstration program. During the year ended December 31, 2025, the Company prepaid $2 million to Stellantis for these services. The agreement has a term through December 31, 2028, unless earlier terminated by mutual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551" w:right="1440" w:bottom="1440" w:gutter="0" w:footer="0" w:header="0"/>
        </w:sectPr>
      </w:pPr>
    </w:p>
    <w:bookmarkStart w:id="75" w:name="page76"/>
    <w:bookmarkEnd w:id="7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139"/>
        <w:spacing w:after="0" w:line="278" w:lineRule="auto"/>
        <w:rPr>
          <w:sz w:val="20"/>
          <w:szCs w:val="20"/>
          <w:color w:val="auto"/>
        </w:rPr>
      </w:pPr>
      <w:r>
        <w:rPr>
          <w:rFonts w:ascii="Times New Roman" w:cs="Times New Roman" w:eastAsia="Times New Roman" w:hAnsi="Times New Roman"/>
          <w:sz w:val="14"/>
          <w:szCs w:val="14"/>
          <w:color w:val="auto"/>
        </w:rPr>
        <w:t>agreement or by either party for uncured material breach or insolvency, and includes customary survival provisions, with certain commercial and exclusivity provisions continuing in effect through December 31, 2027 in specified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60" w:right="919" w:firstLine="24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Hyundai/Kia: </w:t>
      </w:r>
      <w:r>
        <w:rPr>
          <w:rFonts w:ascii="Times New Roman" w:cs="Times New Roman" w:eastAsia="Times New Roman" w:hAnsi="Times New Roman"/>
          <w:sz w:val="14"/>
          <w:szCs w:val="14"/>
          <w:color w:val="auto"/>
        </w:rPr>
        <w:t>Our JDA with Hyundai/Kia, signed in August 2021, represented our first major OEM strategic investment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focuses on integrating our technology into mass market vehicles. Building on this relationship, we maintain active technical engagement with Hyundai/Kia. The JDA provides a framework for the supply and evaluation of our battery cells, joint research and development activities to enhance cell performance and the exploration of potential joint manufacturing opportunities, with specific projects governed by mutually agreed statements of work. The agreement provides for shared development activities and allocates intellectual property based on subject matter, as further specified in the agreement, with each party retaining its pre-existing intellectual property. The agreement has no fixed term and continues until terminated, may be terminated by either party for uncured material breach and by Hyundai/Kia for convenience upon 30 days’ notice. The agreement also includes confidentiality obligations, indemnification and liability provisions customary for development collaborations.</w:t>
      </w:r>
    </w:p>
    <w:p>
      <w:pPr>
        <w:spacing w:after="0" w:line="147"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Karma Automotive: </w:t>
      </w:r>
      <w:r>
        <w:rPr>
          <w:rFonts w:ascii="Times New Roman" w:cs="Times New Roman" w:eastAsia="Times New Roman" w:hAnsi="Times New Roman"/>
          <w:sz w:val="14"/>
          <w:szCs w:val="14"/>
          <w:color w:val="auto"/>
        </w:rPr>
        <w:t>In February 2026, we launched the first U.S. solid-state battery production program for passenger vehicles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Karma Automotive, a California-based ultra-luxury manufacturer. The program focuses on integrating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technology into Karma’s next-generation vehicle architecture, beginning with the 1,000+ horsepower Kaveya super-coupe. This collaboration aims to validate our technology in a high-performance production environment. Pursuant to our supply agreement with Karma, we agreed to supply Karma’s requirements for specified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silicon pouch cells for use in Karma’s next-generation vehicles, subject to agreed pricing, forecasts and purchase order procedures. The agreement provides that Karma’s binding production purchase obligations are contingent upon its verification that initial cells meet specified key performance indicators, following which Karma is subject to minimum binding annual purchase commitments as set forth in the production forecast. The agreement contains customary quality, warranty and recall provisions, including defined remedies and negotiated allocation of recall-related costs, as well as indemnification, insurance and limitation of liability provisions. The agreement continues through end of production for the applicable program, may be terminated by Karma for convenience upon six months’ notice or by either party for uncured material breach, and includes customary survival of warranty, indemnification, confidentiality and related provisions.</w:t>
      </w:r>
    </w:p>
    <w:p>
      <w:pPr>
        <w:spacing w:after="0" w:line="148" w:lineRule="exact"/>
        <w:rPr>
          <w:sz w:val="20"/>
          <w:szCs w:val="20"/>
          <w:color w:val="auto"/>
        </w:rPr>
      </w:pPr>
    </w:p>
    <w:p>
      <w:pPr>
        <w:ind w:left="760" w:right="819" w:firstLine="24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 xml:space="preserve">PowerCo SE: </w:t>
      </w:r>
      <w:r>
        <w:rPr>
          <w:rFonts w:ascii="Times New Roman" w:cs="Times New Roman" w:eastAsia="Times New Roman" w:hAnsi="Times New Roman"/>
          <w:sz w:val="13"/>
          <w:szCs w:val="13"/>
          <w:color w:val="auto"/>
        </w:rPr>
        <w:t>In February 2026, we entered into a JDA with PowerCo, the battery company of the Volkswagen Group. PowerCo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is currently developing a global production network, with announced gigafactory sites in Salzgitter, Germany, Valencia, Spain, and St. Thomas, Canada. Our collaboration focuses on the development and validation of our solid-state technology, leveraging PowerCo’s expertise in cell industrialization and large-scale manufacturing. This partnership is focusing on validating Factorial’s cell technology for industrialization. Pursuant to our JDA with PowerCo, the parties agreed to collaborate on the development and validation of Factorial’s solid-state battery technology in accordance with specified technical targets, milestones and deliverables. The agreement provides milestone-based payments by PowerCo tied to defined deliverables and acceptance procedures, and allocation of development responsibilities between the parties. Intellectual property arising from the collaboration is allocated by subject matter, subject to agreed usage rights and exclusivity provisions during the term. The agreement has a 15-month term, may be terminated by either party for uncured material breach, insolvency or failure to achieve agreed milestones, and includes customary survival of</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551" w:right="1440"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779"/>
        <w:spacing w:after="0" w:line="253" w:lineRule="auto"/>
        <w:rPr>
          <w:sz w:val="20"/>
          <w:szCs w:val="20"/>
          <w:color w:val="auto"/>
        </w:rPr>
      </w:pPr>
      <w:r>
        <w:rPr>
          <w:rFonts w:ascii="Times New Roman" w:cs="Times New Roman" w:eastAsia="Times New Roman" w:hAnsi="Times New Roman"/>
          <w:sz w:val="14"/>
          <w:szCs w:val="14"/>
          <w:color w:val="auto"/>
        </w:rPr>
        <w:t>intellectual property, confidentiality and related provisions.</w:t>
      </w:r>
      <w:r>
        <w:rPr>
          <w:rFonts w:ascii="Times New Roman" w:cs="Times New Roman" w:eastAsia="Times New Roman" w:hAnsi="Times New Roman"/>
          <w:sz w:val="14"/>
          <w:szCs w:val="14"/>
          <w:b w:val="1"/>
          <w:bCs w:val="1"/>
          <w:i w:val="1"/>
          <w:iCs w:val="1"/>
          <w:color w:val="auto"/>
        </w:rPr>
        <w:t>Avidrone Aerospace:</w:t>
      </w:r>
      <w:r>
        <w:rPr>
          <w:rFonts w:ascii="Times New Roman" w:cs="Times New Roman" w:eastAsia="Times New Roman" w:hAnsi="Times New Roman"/>
          <w:sz w:val="14"/>
          <w:szCs w:val="14"/>
          <w:color w:val="auto"/>
        </w:rPr>
        <w:t xml:space="preserve"> In May 2025, Factorial marked its first formal expansion into drones with a shipment of flight-ready cells to Avidrone, a developer of long-range cargo drones. This partnership represents a key step toward the first planned real-world flight deployment of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We are currently collaborating on the integration of our cells into a demonstration aircraft. We believe that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could double the range of Avidrone’s aircraft, increasing their attractiveness for drone-based delivery, surveillance, and emergency response. We also expect the path to commercialization in the drone market to be substantially shorter than commercialization of our battery cells for use in automotive applications as a result of the smaller physical size and reduced technical complexity of drones.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right="1099"/>
        <w:spacing w:after="0" w:line="264" w:lineRule="auto"/>
        <w:rPr>
          <w:sz w:val="20"/>
          <w:szCs w:val="20"/>
          <w:color w:val="auto"/>
        </w:rPr>
      </w:pPr>
      <w:r>
        <w:rPr>
          <w:rFonts w:ascii="Times New Roman" w:cs="Times New Roman" w:eastAsia="Times New Roman" w:hAnsi="Times New Roman"/>
          <w:sz w:val="14"/>
          <w:szCs w:val="14"/>
          <w:i w:val="1"/>
          <w:iCs w:val="1"/>
          <w:color w:val="auto"/>
        </w:rPr>
        <w:t>Source: Business Wire, Factorial Ships First Solid-State Battery Cells to Avidrone Aerospace for Drone Deployment - May 2025, https://www.businesswire.com/news/home/20250528983969/en/Factorial-Ships-First- Solid-State-Battery-Cells-to-Avidrone-Aerospace-for-Drone-Deployment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Drone Integrator Partnerships: </w:t>
      </w:r>
      <w:r>
        <w:rPr>
          <w:rFonts w:ascii="Times New Roman" w:cs="Times New Roman" w:eastAsia="Times New Roman" w:hAnsi="Times New Roman"/>
          <w:sz w:val="14"/>
          <w:szCs w:val="14"/>
          <w:color w:val="auto"/>
        </w:rPr>
        <w:t>In May 2026, we announced a series of collaborations with leading drone integrators across three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continents to advance integration of our next-generation battery technology into commercial, industrial and defense drone systems. In the United States, we are collaborating with KULR Technology Group, Inc. (NYSE American: KULR) to optimize our cells for demanding unmanned aircraft systems (“UAS”) flight environments, leveraging KULR’s expertise in battery safety, thermal management and pack design. In Europe, we have begun developing battery packs with Tulip Tech B.V. (the Netherlands) to enable the first phase of our cell integration in Europe. In Asia-Pacific, JRES (South Korea) is leading integration and deployment efforts for commercial and industrial drones. These collaborations followed the demonstration of initial battery packs powered by our cells by KULR and Tulip at the XPONENTIAL 2026 conference in Detroit.</w:t>
      </w:r>
    </w:p>
    <w:p>
      <w:pPr>
        <w:spacing w:after="0" w:line="144"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POSCO Future M: </w:t>
      </w:r>
      <w:r>
        <w:rPr>
          <w:rFonts w:ascii="Times New Roman" w:cs="Times New Roman" w:eastAsia="Times New Roman" w:hAnsi="Times New Roman"/>
          <w:sz w:val="14"/>
          <w:szCs w:val="14"/>
          <w:color w:val="auto"/>
        </w:rPr>
        <w:t>To strengthen our product leadership and enhance supply chain security, we announced in December 2025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signing of an MoU and in January 2026 the investment by POSCO Future M, a leading battery materials supplier for the development of all-solid-state battery technology. Under the MoU, our two companies will jointly develop materials for all-solid-state batteries intended for use in on-road vehicles, robotics, energy storage systems and other applications. POSCO Future M is one of the only companies in Korea that produces both cathode and anode materials, the core components of batteries, and currently supplies them to global customers. POSCO Future M has established a robust supply chain for key raw materials such as lithium, nickel and graphite. By leveraging the POSCO’s Group’s integrated R&amp;D capabilities, POSCO Future M develops customer-tailored mass production technologies to meet evolving market demands.</w:t>
      </w:r>
    </w:p>
    <w:p>
      <w:pPr>
        <w:spacing w:after="0" w:line="144"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Philenergy: </w:t>
      </w:r>
      <w:r>
        <w:rPr>
          <w:rFonts w:ascii="Times New Roman" w:cs="Times New Roman" w:eastAsia="Times New Roman" w:hAnsi="Times New Roman"/>
          <w:sz w:val="14"/>
          <w:szCs w:val="14"/>
          <w:color w:val="auto"/>
        </w:rPr>
        <w:t>To strengthen our product leadership and enhance supply chain security, in September 2025, we entered into an MoU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and in January 2026, received an investment from, Philenergy, Korea’s leading battery equipment and infrastructure provider, intended to accelerate the scale up of Legacy Factorial’s solid-state battery platform. Pursuant to the MoU, the companies will explore integrating Philenergy’s world-class production infrastructure and proven supply chain with Legacy Factorial’s proprietary battery architecture. Philenergy’s advanced manufacturing capabilities, including automated laser notching, precision stacking systems, next-generation winding technology and intelligent assembly infrastructure, represent the forefront of advanced battery production engineering. Philenergy’s modular factory architecture delivers enhanced capital efficiency, deployment speed, and operational flexibility than traditional fixed-line approaches. For Factorial Energy, this could mean reaching volume manufacturing faster while maintaining the rigorous process control demanded by solid-state technology.</w:t>
      </w:r>
    </w:p>
    <w:p>
      <w:pPr>
        <w:spacing w:after="0" w:line="147" w:lineRule="exact"/>
        <w:rPr>
          <w:sz w:val="20"/>
          <w:szCs w:val="20"/>
          <w:color w:val="auto"/>
        </w:rPr>
      </w:pPr>
    </w:p>
    <w:p>
      <w:pPr>
        <w:ind w:left="760" w:right="779" w:firstLine="249"/>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SungEel HiTech: </w:t>
      </w:r>
      <w:r>
        <w:rPr>
          <w:rFonts w:ascii="Times New Roman" w:cs="Times New Roman" w:eastAsia="Times New Roman" w:hAnsi="Times New Roman"/>
          <w:sz w:val="13"/>
          <w:szCs w:val="13"/>
          <w:color w:val="auto"/>
        </w:rPr>
        <w:t>In June 2025, we announced the signing of a JDA with SungEel HiTech to advance solid-state and lithium-metal batteries battery recycling. SungEel HiTech is a South Korea-based global leader in lithium-ion battery recycling, recovering critical metals like nickel, cobalt, and lithium through advanced hydrometallurgy. Operating a closed-loop system across Asia, Europe, and North America, SungEel HiTech will work closely with us to build a resilient, circular supply chain with eco-friendly materials.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551" w:right="1440"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71" w:lineRule="exact"/>
        <w:rPr>
          <w:sz w:val="20"/>
          <w:szCs w:val="20"/>
          <w:color w:val="auto"/>
        </w:rPr>
      </w:pPr>
    </w:p>
    <w:p>
      <w:pPr>
        <w:ind w:left="760" w:right="799" w:firstLine="249"/>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light growth model. </w:t>
      </w:r>
      <w:r>
        <w:rPr>
          <w:rFonts w:ascii="Times New Roman" w:cs="Times New Roman" w:eastAsia="Times New Roman" w:hAnsi="Times New Roman"/>
          <w:sz w:val="13"/>
          <w:szCs w:val="13"/>
          <w:color w:val="auto"/>
        </w:rPr>
        <w:t>Our current plan is to pursue a capital-light growth strategy designed to accelerate commercialization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while minimizing capital requirements and execution risk. While more capital- intensive strategies could require multi-billion-dollar internal investments and extended timelines, we intend to scale production through a flexible, partner-enabled manufacturing model.</w:t>
      </w:r>
    </w:p>
    <w:p>
      <w:pPr>
        <w:spacing w:after="0" w:line="117" w:lineRule="exact"/>
        <w:rPr>
          <w:sz w:val="20"/>
          <w:szCs w:val="20"/>
          <w:color w:val="auto"/>
        </w:rPr>
      </w:pPr>
    </w:p>
    <w:p>
      <w:pPr>
        <w:ind w:left="760" w:right="819" w:firstLine="249"/>
        <w:spacing w:after="0" w:line="274" w:lineRule="auto"/>
        <w:rPr>
          <w:sz w:val="20"/>
          <w:szCs w:val="20"/>
          <w:color w:val="auto"/>
        </w:rPr>
      </w:pPr>
      <w:r>
        <w:rPr>
          <w:rFonts w:ascii="Times New Roman" w:cs="Times New Roman" w:eastAsia="Times New Roman" w:hAnsi="Times New Roman"/>
          <w:sz w:val="13"/>
          <w:szCs w:val="13"/>
          <w:color w:val="auto"/>
        </w:rPr>
        <w:t>During the initial adoption phase, particularly in high spec markets, we plan to satisfy early demand for our solid-state battery products by expanding our existing fabrication line operations in South Korea and the United States, to support initial commercial production. As demand grows, including incremental high spec applications and gigawatt-scale ramp-up in the automotive market, we expect to scale primarily through a partner manufacturing approach. This model relies on joint manufacturing arrangements that may include technology licensing, manufacturing services, and materials supply. Battery cell manufacturing is complex and process-intensive, and we believe that successful commercialization requires more than licensing intellectual property. As appropriate, based on a partner’s manufacturing capabilities and utilizing our internal production experience, we may provide technology and manufacturing services to transfer critical process know-how and support yield optimization and production efficiency.</w:t>
      </w:r>
    </w:p>
    <w:p>
      <w:pPr>
        <w:spacing w:after="0" w:line="131" w:lineRule="exact"/>
        <w:rPr>
          <w:sz w:val="20"/>
          <w:szCs w:val="20"/>
          <w:color w:val="auto"/>
        </w:rPr>
      </w:pPr>
    </w:p>
    <w:p>
      <w:pPr>
        <w:ind w:left="760" w:right="779" w:firstLine="249"/>
        <w:spacing w:after="0" w:line="275" w:lineRule="auto"/>
        <w:rPr>
          <w:sz w:val="20"/>
          <w:szCs w:val="20"/>
          <w:color w:val="auto"/>
        </w:rPr>
      </w:pPr>
      <w:r>
        <w:rPr>
          <w:rFonts w:ascii="Times New Roman" w:cs="Times New Roman" w:eastAsia="Times New Roman" w:hAnsi="Times New Roman"/>
          <w:sz w:val="13"/>
          <w:szCs w:val="13"/>
          <w:color w:val="auto"/>
        </w:rPr>
        <w:t>We plan to leverage our experience in building and delivering our FEST® batteries and our work with industrialization partners to modify Li-ion manufacturing lines and processes to serve our partners and customers at scale. We designed our FEST® technology as a “drop-in” solution compatible with existing manufacturing infrastructure, utilizing identical lines and tooling for up to 80% of the equipment and cost base. This compatibility is expected to significantly reduce capital expenditures and production risks for industrialization partners and accelerate time to market, potentially by utilizing lines currently under construction. Our growth plans include collaborating with third-party cell manufacturers to retrofit existing, possibly underutilized lines. By leveraging our partners’ excess capacity, we aim to meet production goals and customer demand more efficiently than through greenfield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60" w:right="939" w:firstLine="24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Expand commercial production. </w:t>
      </w:r>
      <w:r>
        <w:rPr>
          <w:rFonts w:ascii="Times New Roman" w:cs="Times New Roman" w:eastAsia="Times New Roman" w:hAnsi="Times New Roman"/>
          <w:sz w:val="14"/>
          <w:szCs w:val="14"/>
          <w:color w:val="auto"/>
        </w:rPr>
        <w:t>We are expanding our commercial production capabilities to meet growing customer demand.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advanced manufacturing center in South Korea has space to accommodate up to 200 megawatt-hours and has produced and shipped thousands of large-format solid-state battery cells, including cells up to and above 100 Ah, to global automotive OEM partners for use in prototypes and testing. In addition, we also construct cells at our global headquarters in the greater Boston area, which houses low-volume cell fabrication collocated with research and development facilities.</w:t>
      </w:r>
    </w:p>
    <w:p>
      <w:pPr>
        <w:spacing w:after="0" w:line="141"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As demand increases in high spec applications, we are expanding and investing in a new FEST® fabrication line to supply commercial cells tailored to partner- and customer-specific designs, including for expected drone and aerospace applications. These markets require differentiated performance characteristics, and the planned expansion and investment is intended to support their technical and qualification requirements.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551" w:right="1440"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50" w:lineRule="auto"/>
        <w:rPr>
          <w:sz w:val="20"/>
          <w:szCs w:val="20"/>
          <w:color w:val="auto"/>
        </w:rPr>
      </w:pPr>
      <w:r>
        <w:rPr>
          <w:rFonts w:ascii="Times New Roman" w:cs="Times New Roman" w:eastAsia="Times New Roman" w:hAnsi="Times New Roman"/>
          <w:sz w:val="14"/>
          <w:szCs w:val="14"/>
          <w:color w:val="auto"/>
        </w:rPr>
        <w:t>As discussed above, the path from initial development through commercialization of our FEST® battery cells for automotive use is a multi-year process. For use in drones, the timeline to commercialization is expected to be much shorter. During each development phase, we are required to make substantial expenditures on research and development and for the manufacturing of battery cells for use in prototypes and demonstration vehicles, including the purchase of raw materials and labor costs, without generating substantial revenue from the production thereof. At each stage of development - including commercialization - our battery cells and the vehicles or other products in which they are used will be subject to rigorous testing. Any failure to successfully complete the required testing and validation would require us to make corrections or other alterations that could require substantial expenditures and significantly delay our timeline to commercialization. In addition, any such delays could result in a reduction in customer demand for the products in which our battery cells are used, which may result in fewer orders and lost revenue opportunities. While our collaboration with our partners has provided us with some early indications of expected customer demand, we will not be able to measure demand from consumers for our battery cells used in automotive or other applications with substantial accuracy until after completion of the development phases and transition to commercialization.</w:t>
      </w:r>
    </w:p>
    <w:p>
      <w:pPr>
        <w:spacing w:after="0" w:line="148"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Our Solstice™ cells utilize a state-of-the-art dry cathode coating process that is highly efficient and is expected to significantly reduce energy consumption during manufacturing. Cathode coating is among the most energy-intensive steps in battery production. A fully dry cathode coating process is expected to reduce overall manufacturing energy usage and eliminate the need to evaporate solvents typically used in liquid-based processes. Based on partner feedback, we believe we were among the first companies to announce the development of a fully dry-coated cathode, to integrate this cathode into a solid-state battery cell, and to validate the resulting cell through global automotive OEM testing. Our development of Solstice™ battery cells is at an earlier stage than the development of FEST® battery cells.</w:t>
      </w:r>
    </w:p>
    <w:p>
      <w:pPr>
        <w:spacing w:after="0" w:line="146"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We plan to continue investing in the scale-up of Solstice™ manufacturing, including process optimization, equipment development, and materials innovation. We plan to fund this expansion through capital raised in the Business Combination, as well as future JDAs, CDAs, strategic partnerships, and JVs. Our capacity expansion plan includes optional plans that can take advantage of and reflect changes in the business or financing environments.</w:t>
      </w:r>
    </w:p>
    <w:p>
      <w:pPr>
        <w:spacing w:after="0" w:line="140" w:lineRule="exact"/>
        <w:rPr>
          <w:sz w:val="20"/>
          <w:szCs w:val="20"/>
          <w:color w:val="auto"/>
        </w:rPr>
      </w:pPr>
    </w:p>
    <w:p>
      <w:pPr>
        <w:ind w:left="760" w:right="779" w:firstLine="24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Establish partnerships with high spec customers. </w:t>
      </w:r>
      <w:r>
        <w:rPr>
          <w:rFonts w:ascii="Times New Roman" w:cs="Times New Roman" w:eastAsia="Times New Roman" w:hAnsi="Times New Roman"/>
          <w:sz w:val="14"/>
          <w:szCs w:val="14"/>
          <w:color w:val="auto"/>
        </w:rPr>
        <w:t>We believe that the superior characteristics of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batteries compared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current Li-ion batteries will make them attractive to high spec customers such as UAV OEMs and ultra-high performance automakers. As a result, we intend to focus on establishing our partnership with high spec manufacturers who can benefit from the capabilities of our battery cells relative to conventional Li-ion batteries and work with them to incorporate and adapt our solid-state batteries for their individual requirements and products.</w:t>
      </w:r>
    </w:p>
    <w:p>
      <w:pPr>
        <w:spacing w:after="0" w:line="139" w:lineRule="exact"/>
        <w:rPr>
          <w:sz w:val="20"/>
          <w:szCs w:val="20"/>
          <w:color w:val="auto"/>
        </w:rPr>
      </w:pPr>
    </w:p>
    <w:p>
      <w:pPr>
        <w:ind w:left="760" w:right="819" w:firstLine="24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Broaden our automotive pipeline: </w:t>
      </w:r>
      <w:r>
        <w:rPr>
          <w:rFonts w:ascii="Times New Roman" w:cs="Times New Roman" w:eastAsia="Times New Roman" w:hAnsi="Times New Roman"/>
          <w:sz w:val="14"/>
          <w:szCs w:val="14"/>
          <w:color w:val="auto"/>
        </w:rPr>
        <w:t>We are building a diverse pipeline of relationships with passenger EV manufacturers,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our existing strategic partners. To date, we have entered into partnership agreements with leading global OEMs representing 26% of EV sales in 2024 in the U.S. and Europe.</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Strengthen our global supply chain coalition. </w:t>
      </w:r>
      <w:r>
        <w:rPr>
          <w:rFonts w:ascii="Times New Roman" w:cs="Times New Roman" w:eastAsia="Times New Roman" w:hAnsi="Times New Roman"/>
          <w:sz w:val="14"/>
          <w:szCs w:val="14"/>
          <w:color w:val="auto"/>
        </w:rPr>
        <w:t>We seek to establish a resilient and diversified global supply chain.</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We recently announced an MoU with and received investment from POSCO Future M, a leading material and equipment supplier in the battery industry. We also have developed partnerships with many other global material leaders, such as SungEel HiTech, covering materials development and recycling initiatives. Additionally, in September 2025, we entered into an MoU and in January 2026 received an investment from Philenergy for collaboration on equipment for solid-state battery production.</w:t>
      </w:r>
    </w:p>
    <w:p>
      <w:pPr>
        <w:spacing w:after="0" w:line="142" w:lineRule="exact"/>
        <w:rPr>
          <w:sz w:val="20"/>
          <w:szCs w:val="20"/>
          <w:color w:val="auto"/>
        </w:rPr>
      </w:pPr>
    </w:p>
    <w:p>
      <w:pPr>
        <w:ind w:left="760" w:right="879" w:firstLine="249"/>
        <w:spacing w:after="0" w:line="228" w:lineRule="auto"/>
        <w:rPr>
          <w:sz w:val="20"/>
          <w:szCs w:val="20"/>
          <w:color w:val="auto"/>
        </w:rPr>
      </w:pPr>
      <w:r>
        <w:rPr>
          <w:rFonts w:ascii="Times New Roman" w:cs="Times New Roman" w:eastAsia="Times New Roman" w:hAnsi="Times New Roman"/>
          <w:sz w:val="14"/>
          <w:szCs w:val="14"/>
          <w:color w:val="auto"/>
        </w:rPr>
        <w:t>We believe that battery innovation is dependent upon the strength and integration of the supply chain. In our view, the success of leading battery cell manufacturers has been a result of deep, collaborative relationships with top tier suppliers, a dynamic that we believe has contributed to Asian manufacturers holding more than 85% of global battery cell production</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4"/>
          <w:szCs w:val="14"/>
          <w:color w:val="auto"/>
        </w:rPr>
        <w:t>. We believe that battery manufacturing is best understood as a cohesive, supply-chain - driven ecosystem rather than a standalone technology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right="1099" w:firstLine="4"/>
        <w:spacing w:after="0" w:line="219" w:lineRule="auto"/>
        <w:tabs>
          <w:tab w:leader="none" w:pos="89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BBC Future, How China Won the World’s Battery Race - November 2025, https://www.bbc.com/future/article/20251110-how-china-won-the-worlds-battery-race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551" w:right="1440"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39" w:firstLine="249"/>
        <w:spacing w:after="0" w:line="255" w:lineRule="auto"/>
        <w:rPr>
          <w:sz w:val="20"/>
          <w:szCs w:val="20"/>
          <w:color w:val="auto"/>
        </w:rPr>
      </w:pPr>
      <w:r>
        <w:rPr>
          <w:rFonts w:ascii="Times New Roman" w:cs="Times New Roman" w:eastAsia="Times New Roman" w:hAnsi="Times New Roman"/>
          <w:sz w:val="14"/>
          <w:szCs w:val="14"/>
          <w:color w:val="auto"/>
        </w:rPr>
        <w:t>We believe that our deep partnerships with leading participants across the Li-ion battery supply chain are among the strongest established by a Western battery developer. In addition, many of the raw materials and components used in our and our third-party partners’ manufacturing processes are readily available, reducing our dependence on any particular supplier. These relationships are intended to provide not only supply certainty but, more importantly, third-party validation of and support for our technology and manufacturing approach.</w:t>
      </w:r>
    </w:p>
    <w:p>
      <w:pPr>
        <w:spacing w:after="0" w:line="140" w:lineRule="exact"/>
        <w:rPr>
          <w:sz w:val="20"/>
          <w:szCs w:val="20"/>
          <w:color w:val="auto"/>
        </w:rPr>
      </w:pPr>
    </w:p>
    <w:p>
      <w:pPr>
        <w:ind w:left="760" w:right="799" w:firstLine="249"/>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Build industrialization partnerships. </w:t>
      </w:r>
      <w:r>
        <w:rPr>
          <w:rFonts w:ascii="Times New Roman" w:cs="Times New Roman" w:eastAsia="Times New Roman" w:hAnsi="Times New Roman"/>
          <w:sz w:val="14"/>
          <w:szCs w:val="14"/>
          <w:color w:val="auto"/>
        </w:rPr>
        <w:t>The global Li-ion battery market currently has significant excess manufacturing capacity,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many facilities supported by multi-billion-dollar investments operating at utilization rates below 50%</w:t>
      </w:r>
      <w:r>
        <w:rPr>
          <w:rFonts w:ascii="Times New Roman" w:cs="Times New Roman" w:eastAsia="Times New Roman" w:hAnsi="Times New Roman"/>
          <w:sz w:val="20"/>
          <w:szCs w:val="20"/>
          <w:color w:val="auto"/>
          <w:vertAlign w:val="superscript"/>
        </w:rPr>
        <w:t>15</w:t>
      </w:r>
      <w:r>
        <w:rPr>
          <w:rFonts w:ascii="Times New Roman" w:cs="Times New Roman" w:eastAsia="Times New Roman" w:hAnsi="Times New Roman"/>
          <w:sz w:val="14"/>
          <w:szCs w:val="14"/>
          <w:color w:val="auto"/>
        </w:rPr>
        <w:t>. We believe our familiar and flexible manufacturing processes position us as an attractive partner for manufacturers seeking to deploy and commercialize solid-state battery technology.</w:t>
      </w:r>
    </w:p>
    <w:p>
      <w:pPr>
        <w:spacing w:after="0" w:line="15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batteries are designed to be compatible with existing Li-ion manufacturing infrastructure, including comparable size, form factors and equipment design. This compatibility is expected to enable the retrofit of existing Li-ion production lines into solid-state battery production lines, potentially reducing capital expenditure requirements by up to 80% relative to greenfield construction. Accordingly, we intend to pursue industrialization partnerships that leverage underutilized capacity and accelerate the commercialization of our solid-state battery technology.</w:t>
      </w:r>
    </w:p>
    <w:p>
      <w:pPr>
        <w:spacing w:after="0" w:line="140" w:lineRule="exact"/>
        <w:rPr>
          <w:sz w:val="20"/>
          <w:szCs w:val="20"/>
          <w:color w:val="auto"/>
        </w:rPr>
      </w:pPr>
    </w:p>
    <w:p>
      <w:pPr>
        <w:ind w:left="760" w:right="1159" w:firstLine="24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Deepen product substantiation. </w:t>
      </w:r>
      <w:r>
        <w:rPr>
          <w:rFonts w:ascii="Times New Roman" w:cs="Times New Roman" w:eastAsia="Times New Roman" w:hAnsi="Times New Roman"/>
          <w:sz w:val="14"/>
          <w:szCs w:val="14"/>
          <w:color w:val="auto"/>
        </w:rPr>
        <w:t>We believe the combination of advanced cell performance and multi- OEM commercial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partnerships positions us as a leading solid-state battery developer in the high spec segment. In 2025, we achieved a significant milestone with Mercedes-Benz by integrating our cell technology into a lightly modified EQS passenger car, which completed a record drive of more than 1,200 kilometers on a single charge.</w:t>
      </w:r>
    </w:p>
    <w:p>
      <w:pPr>
        <w:spacing w:after="0" w:line="141"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In addition, following the successful verification of our cell performance by Stellantis in 2025, in June 2026 we integrated our FEST® cells into a Dodge Charger Daytona development vehicle based on Stellantis’ STLA Large platform and, together with Stellantis, launched a road-testing program to verify performance, safety and reliability, representing a further step toward vehicle-level validation and commercialization. In February 2026, we launched a production program with Karma Automotive to integrate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technology into their next-generation vehicle platform, beginning with the high-performance Kaveya super-coupe.</w:t>
      </w:r>
    </w:p>
    <w:p>
      <w:pPr>
        <w:spacing w:after="0" w:line="142" w:lineRule="exact"/>
        <w:rPr>
          <w:sz w:val="20"/>
          <w:szCs w:val="20"/>
          <w:color w:val="auto"/>
        </w:rPr>
      </w:pPr>
    </w:p>
    <w:p>
      <w:pPr>
        <w:ind w:left="760" w:right="1239" w:firstLine="249"/>
        <w:spacing w:after="0" w:line="278" w:lineRule="auto"/>
        <w:rPr>
          <w:sz w:val="20"/>
          <w:szCs w:val="20"/>
          <w:color w:val="auto"/>
        </w:rPr>
      </w:pPr>
      <w:r>
        <w:rPr>
          <w:rFonts w:ascii="Times New Roman" w:cs="Times New Roman" w:eastAsia="Times New Roman" w:hAnsi="Times New Roman"/>
          <w:sz w:val="14"/>
          <w:szCs w:val="14"/>
          <w:color w:val="auto"/>
        </w:rPr>
        <w:t>Customers in the drone and UAS markets often have a unique combination of operating characteristics. As we expand our business focus to address this market, we will need to expand our product validation with these end users in mind.</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Manufacturing and Supply</w:t>
      </w:r>
    </w:p>
    <w:p>
      <w:pPr>
        <w:spacing w:after="0" w:line="173" w:lineRule="exact"/>
        <w:rPr>
          <w:sz w:val="20"/>
          <w:szCs w:val="20"/>
          <w:color w:val="auto"/>
        </w:rPr>
      </w:pPr>
    </w:p>
    <w:p>
      <w:pPr>
        <w:ind w:left="760" w:right="1119" w:firstLine="249"/>
        <w:spacing w:after="0" w:line="278" w:lineRule="auto"/>
        <w:rPr>
          <w:sz w:val="20"/>
          <w:szCs w:val="20"/>
          <w:color w:val="auto"/>
        </w:rPr>
      </w:pPr>
      <w:r>
        <w:rPr>
          <w:rFonts w:ascii="Times New Roman" w:cs="Times New Roman" w:eastAsia="Times New Roman" w:hAnsi="Times New Roman"/>
          <w:sz w:val="14"/>
          <w:szCs w:val="14"/>
          <w:color w:val="auto"/>
        </w:rPr>
        <w:t>We think of ourselves as akin to “fabless innovation” companies in the semiconductor industry - designing and creating new products to be produced by existing, often external, manufacturing capacity.</w:t>
      </w:r>
    </w:p>
    <w:p>
      <w:pPr>
        <w:spacing w:after="0" w:line="126"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Large-scale Li-ion battery factories require significant capital and years to build and outfit. We believe that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technology can help avoid the need to construct new gigafactories. As noted in “Our Growth Strategy”, we designed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as a “drop-in” solution largely compatible with existing manufacturing infrastructure. This compatibility (representing up to 80% of the cost base) is intended to significantly reduce capital expenditure and production risk for industrialization partners and to accelerate time to market. We believe that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can be the initial product for, and take advantage of, lines currently under construction that are intended for conventional Li-ion cells.</w:t>
      </w:r>
    </w:p>
    <w:p>
      <w:pPr>
        <w:spacing w:after="0" w:line="145" w:lineRule="exact"/>
        <w:rPr>
          <w:sz w:val="20"/>
          <w:szCs w:val="20"/>
          <w:color w:val="auto"/>
        </w:rPr>
      </w:pPr>
    </w:p>
    <w:p>
      <w:pPr>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As described above, we expect to satisfy early demand for our solid-state battery products by expanding our existing fabrication line operations in South Korea and the United States, to support initial commercial production. As demand grows, including incremental high spec applications and gigawatt-scale ramp-up in the automotive market, we expect to scale primarily through a partner manufacturing approach.</w:t>
      </w:r>
    </w:p>
    <w:p>
      <w:pPr>
        <w:spacing w:after="0" w:line="142"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Our joint manufacturing approach consists of a combination of licensing, technology engineering services and value added material supply. We are continuously evaluating potential industrialization partnership opportunities and have been in discussions with several potential industrialization partners, including execution of the non-binding MoU with Philenergy.</w:t>
      </w:r>
    </w:p>
    <w:p>
      <w:pPr>
        <w:spacing w:after="0" w:line="304" w:lineRule="exact"/>
        <w:rPr>
          <w:sz w:val="20"/>
          <w:szCs w:val="20"/>
          <w:color w:val="auto"/>
        </w:rPr>
      </w:pPr>
    </w:p>
    <w:p>
      <w:pPr>
        <w:ind w:left="760" w:right="1899" w:firstLine="4"/>
        <w:spacing w:after="0" w:line="219" w:lineRule="auto"/>
        <w:tabs>
          <w:tab w:leader="none" w:pos="898"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BloombergNEF, China Already Makes as Many Batteries as the Entire World Wants - April 2024, https://about.bnef.com/insights/clean-transport/china-already-makes-as-many-batteries-as-the-entire-world-wants/.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551" w:right="1440"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19" w:firstLine="249"/>
        <w:spacing w:after="0" w:line="275" w:lineRule="auto"/>
        <w:rPr>
          <w:sz w:val="20"/>
          <w:szCs w:val="20"/>
          <w:color w:val="auto"/>
        </w:rPr>
      </w:pPr>
      <w:r>
        <w:rPr>
          <w:rFonts w:ascii="Times New Roman" w:cs="Times New Roman" w:eastAsia="Times New Roman" w:hAnsi="Times New Roman"/>
          <w:sz w:val="13"/>
          <w:szCs w:val="13"/>
          <w:color w:val="auto"/>
        </w:rPr>
        <w:t>We plan to leverage our experience in building and delivering our FEST</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color w:val="auto"/>
        </w:rPr>
        <w:t xml:space="preserve"> batteries and our work with industrialization partners to modify Li-ion manufacturing lines and processes to serve our partners and customers at scale. We designed our FEST</w:t>
      </w:r>
      <w:r>
        <w:rPr>
          <w:rFonts w:ascii="Times New Roman" w:cs="Times New Roman" w:eastAsia="Times New Roman" w:hAnsi="Times New Roman"/>
          <w:sz w:val="9"/>
          <w:szCs w:val="9"/>
          <w:color w:val="auto"/>
        </w:rPr>
        <w:t>®</w:t>
      </w:r>
      <w:r>
        <w:rPr>
          <w:rFonts w:ascii="Times New Roman" w:cs="Times New Roman" w:eastAsia="Times New Roman" w:hAnsi="Times New Roman"/>
          <w:sz w:val="13"/>
          <w:szCs w:val="13"/>
          <w:color w:val="auto"/>
        </w:rPr>
        <w:t xml:space="preserve"> technology as a “drop-in” solution compatible with existing manufacturing infrastructure, utilizing identical lines and tooling for up to 80% of the equipment and cost base. This compatibility is expected to significantly reduce capital expenditures and production risks for industrialization partners and accelerate time to market, potentially by utilizing lines currently under construction. Our growth plans include collaborating with third-party cell manufacturers to retrofit existing, possibly underutilized lines. By leveraging our partners’ excess capacity, we aim to meet production goals and customer demand more efficiently than through greenfield construction.</w:t>
      </w:r>
    </w:p>
    <w:p>
      <w:pPr>
        <w:spacing w:after="0" w:line="131" w:lineRule="exact"/>
        <w:rPr>
          <w:sz w:val="20"/>
          <w:szCs w:val="20"/>
          <w:color w:val="auto"/>
        </w:rPr>
      </w:pPr>
    </w:p>
    <w:p>
      <w:pPr>
        <w:ind w:left="760" w:right="1059" w:firstLine="249"/>
        <w:spacing w:after="0" w:line="257" w:lineRule="auto"/>
        <w:rPr>
          <w:sz w:val="20"/>
          <w:szCs w:val="20"/>
          <w:color w:val="auto"/>
        </w:rPr>
      </w:pPr>
      <w:r>
        <w:rPr>
          <w:rFonts w:ascii="Times New Roman" w:cs="Times New Roman" w:eastAsia="Times New Roman" w:hAnsi="Times New Roman"/>
          <w:sz w:val="14"/>
          <w:szCs w:val="14"/>
          <w:color w:val="auto"/>
        </w:rPr>
        <w:t>Of the key steps in the electrode manufacturing and assembly of a battery, we have modified or replaced the calendaring, slitting &amp; notching, and stacking steps. Our changes allow the use of our high- capacity lithium metal anodes while using existing lines and steps. Cell finishing (electrolyte filling, formation, aging, and inspection) naturally differ because of our quasi-solid electrolytes and the aging advantages created by our use of high-capacity anodes and quasi-solid electrolytes.</w:t>
      </w:r>
    </w:p>
    <w:p>
      <w:pPr>
        <w:spacing w:after="0" w:line="142" w:lineRule="exact"/>
        <w:rPr>
          <w:sz w:val="20"/>
          <w:szCs w:val="20"/>
          <w:color w:val="auto"/>
        </w:rPr>
      </w:pPr>
    </w:p>
    <w:p>
      <w:pPr>
        <w:ind w:left="760" w:right="1259" w:firstLine="249"/>
        <w:spacing w:after="0" w:line="318" w:lineRule="auto"/>
        <w:rPr>
          <w:sz w:val="20"/>
          <w:szCs w:val="20"/>
          <w:color w:val="auto"/>
        </w:rPr>
      </w:pPr>
      <w:r>
        <w:rPr>
          <w:rFonts w:ascii="Times New Roman" w:cs="Times New Roman" w:eastAsia="Times New Roman" w:hAnsi="Times New Roman"/>
          <w:sz w:val="13"/>
          <w:szCs w:val="13"/>
          <w:color w:val="auto"/>
        </w:rPr>
        <w:t>We plan to source our input materials from industry leading suppliers to the Li-ion battery industry. We maintain strategic relationships with some of the industry’s top vendors of cathode material along with leading vendors of other key inputs.</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3" w:lineRule="exact"/>
        <w:rPr>
          <w:sz w:val="20"/>
          <w:szCs w:val="20"/>
          <w:color w:val="auto"/>
        </w:rPr>
      </w:pPr>
    </w:p>
    <w:p>
      <w:pPr>
        <w:ind w:left="760" w:right="919" w:firstLine="249"/>
        <w:spacing w:after="0" w:line="262" w:lineRule="auto"/>
        <w:rPr>
          <w:sz w:val="20"/>
          <w:szCs w:val="20"/>
          <w:color w:val="auto"/>
        </w:rPr>
      </w:pPr>
      <w:r>
        <w:rPr>
          <w:rFonts w:ascii="Times New Roman" w:cs="Times New Roman" w:eastAsia="Times New Roman" w:hAnsi="Times New Roman"/>
          <w:sz w:val="14"/>
          <w:szCs w:val="14"/>
          <w:color w:val="auto"/>
        </w:rPr>
        <w:t>Our scientists and engineers primarily conduct their research and development activities at our headquarters facility in Billerica, Massachusetts. Their efforts concentrate on advancing our battery technology and manufacturing processes, including enhancing performance and reducing cost, as well as improving production yield and overall operational efficiency.</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Our research and development currently includes programs for the following areas:</w:t>
      </w:r>
    </w:p>
    <w:p>
      <w:pPr>
        <w:spacing w:after="0" w:line="169" w:lineRule="exact"/>
        <w:rPr>
          <w:sz w:val="20"/>
          <w:szCs w:val="20"/>
          <w:color w:val="auto"/>
        </w:rPr>
      </w:pPr>
    </w:p>
    <w:p>
      <w:pPr>
        <w:ind w:left="1280" w:right="1179" w:hanging="246"/>
        <w:spacing w:after="0" w:line="281" w:lineRule="auto"/>
        <w:tabs>
          <w:tab w:leader="none" w:pos="1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b w:val="1"/>
          <w:bCs w:val="1"/>
          <w:color w:val="auto"/>
        </w:rPr>
        <w:t>olid-State Battery Cell Development:</w:t>
      </w:r>
      <w:r>
        <w:rPr>
          <w:rFonts w:ascii="Times New Roman" w:cs="Times New Roman" w:eastAsia="Times New Roman" w:hAnsi="Times New Roman"/>
          <w:sz w:val="14"/>
          <w:szCs w:val="14"/>
          <w:color w:val="auto"/>
        </w:rPr>
        <w:t xml:space="preserve"> Developing and validating multi-layer solid-state battery cells to deliver high performance and a lower total cost of ownership for our end users.</w:t>
      </w:r>
    </w:p>
    <w:p>
      <w:pPr>
        <w:spacing w:after="0" w:line="121" w:lineRule="exact"/>
        <w:rPr>
          <w:rFonts w:ascii="Times New Roman" w:cs="Times New Roman" w:eastAsia="Times New Roman" w:hAnsi="Times New Roman"/>
          <w:sz w:val="14"/>
          <w:szCs w:val="14"/>
          <w:color w:val="auto"/>
        </w:rPr>
      </w:pPr>
    </w:p>
    <w:p>
      <w:pPr>
        <w:ind w:left="1280" w:right="839" w:hanging="246"/>
        <w:spacing w:after="0" w:line="281" w:lineRule="auto"/>
        <w:tabs>
          <w:tab w:leader="none" w:pos="1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Solid-State Battery Material Innovation: </w:t>
      </w:r>
      <w:r>
        <w:rPr>
          <w:rFonts w:ascii="Times New Roman" w:cs="Times New Roman" w:eastAsia="Times New Roman" w:hAnsi="Times New Roman"/>
          <w:sz w:val="14"/>
          <w:szCs w:val="14"/>
          <w:color w:val="auto"/>
        </w:rPr>
        <w:t>Advancing core materials, including polymer electrolytes, cathodes, anodes,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electrode formulations, to improve battery performance, safety, and manufacturability for large-format cells.</w:t>
      </w:r>
    </w:p>
    <w:p>
      <w:pPr>
        <w:spacing w:after="0" w:line="121" w:lineRule="exact"/>
        <w:rPr>
          <w:rFonts w:ascii="Times New Roman" w:cs="Times New Roman" w:eastAsia="Times New Roman" w:hAnsi="Times New Roman"/>
          <w:sz w:val="14"/>
          <w:szCs w:val="14"/>
          <w:color w:val="auto"/>
        </w:rPr>
      </w:pPr>
    </w:p>
    <w:p>
      <w:pPr>
        <w:ind w:left="1280" w:right="879" w:hanging="246"/>
        <w:spacing w:after="0" w:line="264" w:lineRule="auto"/>
        <w:tabs>
          <w:tab w:leader="none" w:pos="1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Materials and Supply Chain Partnerships: </w:t>
      </w:r>
      <w:r>
        <w:rPr>
          <w:rFonts w:ascii="Times New Roman" w:cs="Times New Roman" w:eastAsia="Times New Roman" w:hAnsi="Times New Roman"/>
          <w:sz w:val="14"/>
          <w:szCs w:val="14"/>
          <w:color w:val="auto"/>
        </w:rPr>
        <w:t>Collaborating with leading materials suppliers, such as POSCO Future M,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jointly scale the core materials required for next-generation battery production while qualifying additional top-tier materials vendors to diversify and strengthen our supply chain.</w:t>
      </w:r>
    </w:p>
    <w:p>
      <w:pPr>
        <w:spacing w:after="0" w:line="133" w:lineRule="exact"/>
        <w:rPr>
          <w:rFonts w:ascii="Times New Roman" w:cs="Times New Roman" w:eastAsia="Times New Roman" w:hAnsi="Times New Roman"/>
          <w:sz w:val="14"/>
          <w:szCs w:val="14"/>
          <w:color w:val="auto"/>
        </w:rPr>
      </w:pPr>
    </w:p>
    <w:p>
      <w:pPr>
        <w:ind w:left="1280" w:right="819" w:hanging="246"/>
        <w:spacing w:after="0" w:line="258" w:lineRule="auto"/>
        <w:tabs>
          <w:tab w:leader="none" w:pos="1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Manufacturing process innovation and yield improvement: </w:t>
      </w:r>
      <w:r>
        <w:rPr>
          <w:rFonts w:ascii="Times New Roman" w:cs="Times New Roman" w:eastAsia="Times New Roman" w:hAnsi="Times New Roman"/>
          <w:sz w:val="14"/>
          <w:szCs w:val="14"/>
          <w:color w:val="auto"/>
        </w:rPr>
        <w:t>Enhancing manufacturing processes to scale from initial 3 - 5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Ah cells to automotive-scale cells of 40 Ah and larger. This requires sustained investment in process engineering and extensive collaboration with global equipment suppliers to translate technical know-how into automated, high-yield manufacturing solutions.</w:t>
      </w:r>
    </w:p>
    <w:p>
      <w:pPr>
        <w:spacing w:after="0" w:line="138" w:lineRule="exact"/>
        <w:rPr>
          <w:rFonts w:ascii="Times New Roman" w:cs="Times New Roman" w:eastAsia="Times New Roman" w:hAnsi="Times New Roman"/>
          <w:sz w:val="14"/>
          <w:szCs w:val="14"/>
          <w:color w:val="auto"/>
        </w:rPr>
      </w:pPr>
    </w:p>
    <w:p>
      <w:pPr>
        <w:ind w:left="1280" w:right="799" w:hanging="246"/>
        <w:spacing w:after="0" w:line="264" w:lineRule="auto"/>
        <w:tabs>
          <w:tab w:leader="none" w:pos="1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Diversified Deployment &amp; Application Expansion: </w:t>
      </w:r>
      <w:r>
        <w:rPr>
          <w:rFonts w:ascii="Times New Roman" w:cs="Times New Roman" w:eastAsia="Times New Roman" w:hAnsi="Times New Roman"/>
          <w:sz w:val="14"/>
          <w:szCs w:val="14"/>
          <w:color w:val="auto"/>
        </w:rPr>
        <w:t>Extending our battery platform for new end users and industries,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aerospace and drone production, to integrate solid-state cells into new systems, and to validate performance, range, and payload advantages across diverse sectors.</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3"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Our proprietary battery technology is the foundation of our business success and technology leadership. We protect our competitive advantage through a combination of patent, trademark, and trade secret laws in the U.S. and other jurisdictions, alongside license agreements and rigorous contractual protections. We further secure our intellectual property through nondisclosure and invention assignment agreements with employees, consultants, and business partners.</w:t>
      </w:r>
    </w:p>
    <w:p>
      <w:pPr>
        <w:spacing w:after="0" w:line="142"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We regularly file patent applications and hold patents in the U.S. and other countries where we operate. Our patent portfolio is most robust in solid-state components, including but not limited to next generation cathode, anodes, electrolyte materials, cell designs, and cell manufacturing process specific to solid-state batteries. Our trade secrets primarily safeguard key material formulation, cell designs, and manufacturing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551" w:right="1440" w:bottom="1440" w:gutter="0" w:footer="0" w:header="0"/>
        </w:sectPr>
      </w:pPr>
    </w:p>
    <w:bookmarkStart w:id="81" w:name="page82"/>
    <w:bookmarkEnd w:id="8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As of December 2025, we owned the following:</w:t>
      </w:r>
    </w:p>
    <w:p>
      <w:pPr>
        <w:spacing w:after="0" w:line="169" w:lineRule="exact"/>
        <w:rPr>
          <w:sz w:val="20"/>
          <w:szCs w:val="20"/>
          <w:color w:val="auto"/>
        </w:rPr>
      </w:pPr>
    </w:p>
    <w:p>
      <w:pPr>
        <w:ind w:left="1280" w:hanging="246"/>
        <w:spacing w:after="0"/>
        <w:tabs>
          <w:tab w:leader="none" w:pos="1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U.S. Patents</w:t>
      </w:r>
      <w:r>
        <w:rPr>
          <w:rFonts w:ascii="Times New Roman" w:cs="Times New Roman" w:eastAsia="Times New Roman" w:hAnsi="Times New Roman"/>
          <w:sz w:val="14"/>
          <w:szCs w:val="14"/>
          <w:color w:val="auto"/>
        </w:rPr>
        <w:t>: 14 issued patents and 47 pending or allowed patent applications.</w:t>
      </w:r>
    </w:p>
    <w:p>
      <w:pPr>
        <w:spacing w:after="0" w:line="171" w:lineRule="exact"/>
        <w:rPr>
          <w:rFonts w:ascii="Times New Roman" w:cs="Times New Roman" w:eastAsia="Times New Roman" w:hAnsi="Times New Roman"/>
          <w:sz w:val="14"/>
          <w:szCs w:val="14"/>
          <w:color w:val="auto"/>
        </w:rPr>
      </w:pPr>
    </w:p>
    <w:p>
      <w:pPr>
        <w:ind w:left="1280" w:right="1059" w:hanging="246"/>
        <w:spacing w:after="0" w:line="281" w:lineRule="auto"/>
        <w:tabs>
          <w:tab w:leader="none" w:pos="1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Foreign Patents</w:t>
      </w:r>
      <w:r>
        <w:rPr>
          <w:rFonts w:ascii="Times New Roman" w:cs="Times New Roman" w:eastAsia="Times New Roman" w:hAnsi="Times New Roman"/>
          <w:sz w:val="14"/>
          <w:szCs w:val="14"/>
          <w:color w:val="auto"/>
        </w:rPr>
        <w:t>: 110 foreign and international patents and applications in 9 jurisdictions, including the European Patent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Office, United Kingdom, Germany, France, Italy, Japan, S. Korea, Taiwan, and China.</w:t>
      </w:r>
    </w:p>
    <w:p>
      <w:pPr>
        <w:spacing w:after="0" w:line="12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Trademarks</w:t>
      </w:r>
      <w:r>
        <w:rPr>
          <w:rFonts w:ascii="Times New Roman" w:cs="Times New Roman" w:eastAsia="Times New Roman" w:hAnsi="Times New Roman"/>
          <w:sz w:val="14"/>
          <w:szCs w:val="14"/>
          <w:color w:val="auto"/>
        </w:rPr>
        <w:t>: 6 registered U.S. trademarks.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Our issued U.S. patents and foreign patents are scheduled to expire between 2036 and 2044 and 2029 and 2044, respectively.</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We do not have any material patent licenses.</w:t>
      </w:r>
    </w:p>
    <w:p>
      <w:pPr>
        <w:spacing w:after="0" w:line="1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Competitive Landscape</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battery market is evolving and remains highly competitive, with new technologies and competitors emerging regularly. This heightened competition could pose risks to our business, results of operations, and financial condition. Conversely, increased competition may also catalyze the development of the solid-state battery supply chain, align market demand, and drive cost reductions that accelerate broader adoption of solid-state battery technologies.</w:t>
      </w:r>
    </w:p>
    <w:p>
      <w:pPr>
        <w:spacing w:after="0" w:line="142"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Factorial competes with existing battery technology companies, including major Li-ion battery manufacturers, automotive OEMs, and new entrants. Major global suppliers, including Panasonic, Samsung SDI, CATL, BYD, and LG Energy Solution, currently supply conventional Li-ion batteries at scale and are seeking to develop next-generation technologies, such as solid-state and lithium-metal batteries.</w:t>
      </w:r>
    </w:p>
    <w:p>
      <w:pPr>
        <w:spacing w:after="0" w:line="142"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Because electrification is a key strategic priority, many leading automotive OEMs have invested in solid- state battery efforts and, in some cases, in battery development and production. For example, Tesla has built multiple gigafactories and expressed openness to supplying batteries to other manufacturers. Toyota is pursuing a multi-year initiative to commercialize solid-state batteries with a goal of introducing solid-state- battery on-road vehicles later this decade. Similarly, Samsung has announced plans to mass produce all-solid-state batteries by 2027.</w:t>
      </w:r>
    </w:p>
    <w:p>
      <w:pPr>
        <w:spacing w:after="0" w:line="142"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Several development-stage companies are also seeking to improve conventional Li-ion batteries or develop new quasi-solid-state and all solid-state technologies. Many of these entrants have announced relationships with automotive OEMs. Factorial Energy was the first known company to deliver solid-state battery cells exceeding 100 Ah that achieved more than 1,200 kilometers of range in OEM-conducted road testing. As of March 26, 2026, we remain the only solid-state cell maker to have publicly announced this milestone.</w:t>
      </w:r>
    </w:p>
    <w:p>
      <w:pPr>
        <w:spacing w:after="0" w:line="142"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We believe our ability to compete successfully depends on technical factors, such as energy density, price, charge rate, safety, and cycle life, as well as non-technical factors, including brand, customer relationships, and financial and manufacturing resources.</w:t>
      </w:r>
    </w:p>
    <w:p>
      <w:pPr>
        <w:spacing w:after="0" w:line="126"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Incumbents and future entrants may possess greater resources, larger customer bases, and more established strategic relationships than we do. However, we believe many large incumbents are focused primarily on scaling existing gigafactories, which may limit their resources for dedicated solid-state battery development. Notably, Asian manufacturers currently account for over 85% of global battery cell production. We believe that U.S. and EU OEMs prioritize the establishment of a secure, localized, and resilient battery supply chain.</w:t>
      </w:r>
    </w:p>
    <w:p>
      <w:pPr>
        <w:spacing w:after="0" w:line="142"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We seek to build a competitive advantage through broad OEM validation and proving real-world performance. Beyond our active engagements with announced OEM partners, we recently signed an additional non-binding MoU with a leading European automaker. Our diversification strategy extends beyond on-road vehicles into high spec sectors such as aerospace &amp; defense, providing multiple paths to commercialization.</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We consider QuantumScape to be our nearest direct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551" w:right="1440" w:bottom="1440" w:gutter="0" w:footer="0" w:header="0"/>
        </w:sectPr>
      </w:pPr>
    </w:p>
    <w:bookmarkStart w:id="82" w:name="page83"/>
    <w:bookmarkEnd w:id="8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Government Regulation and Compliance</w:t>
      </w:r>
    </w:p>
    <w:p>
      <w:pPr>
        <w:spacing w:after="0" w:line="173" w:lineRule="exact"/>
        <w:rPr>
          <w:sz w:val="20"/>
          <w:szCs w:val="20"/>
          <w:color w:val="auto"/>
        </w:rPr>
      </w:pPr>
    </w:p>
    <w:p>
      <w:pPr>
        <w:ind w:left="760" w:right="959" w:firstLine="249"/>
        <w:spacing w:after="0" w:line="255" w:lineRule="auto"/>
        <w:rPr>
          <w:sz w:val="20"/>
          <w:szCs w:val="20"/>
          <w:color w:val="auto"/>
        </w:rPr>
      </w:pPr>
      <w:r>
        <w:rPr>
          <w:rFonts w:ascii="Times New Roman" w:cs="Times New Roman" w:eastAsia="Times New Roman" w:hAnsi="Times New Roman"/>
          <w:sz w:val="14"/>
          <w:szCs w:val="14"/>
          <w:color w:val="auto"/>
        </w:rPr>
        <w:t>Our business activities are global and are subject to various federal, state, local, and foreign laws, rules, and regulations. For example, there are government regulations, both in the United States and abroad, pertaining to battery safety, transportation of batteries, use of batteries in cars, factory safety, worker health and safety, and disposal of hazardous materials. There are also workplace health and safety regulations, including the U.S. Occupational Safety and Health Act (OSHA), which require that certain information be provided to employees.</w:t>
      </w:r>
    </w:p>
    <w:p>
      <w:pPr>
        <w:spacing w:after="0" w:line="142"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Environmental laws and regulations, including the Comprehensive Environmental Response, Compensation, and Liability Act, the Resource Conservation and Recovery Act, and similar foreign and state laws, may control how battery cells and their components are stored, transported, used, recycled and disposed of. These laws may impose strict, joint, and several liability for the investigation and remediation of areas where hazardous substances may have been released or disposed. The export of batteries and battery technology is subject to export controls and may also be subject to controls regarding military, aerospace, and communications technology.</w:t>
      </w:r>
    </w:p>
    <w:p>
      <w:pPr>
        <w:spacing w:after="0" w:line="145"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In many cases, our products, including our batteries and related technology, are or may in the future become subject to United States trade, import, and export controls laws, or similar laws of other foreign jurisdictions where we conduct business. In the United States, such export laws do or could include the Export Administration Regulations, the International Traffic in Arms Regulations (the “ITAR”), the Foreign Trade Regulations, and trade and economic sanctions maintained by the U.S. Treasury Department’s Office of Foreign Assets Controls.</w:t>
      </w:r>
    </w:p>
    <w:p>
      <w:pPr>
        <w:spacing w:after="0" w:line="142"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In particular, a license may be required to export or reexport our products or technology to certain countries, certain end users, or for certain end uses. The time it takes to obtain a license could lead to delay or lost market opportunities. And the export or reexport to certain countries, end users, or for certain end uses may be prohibited altogether. Additionally, certain sensitive technologies and data could require special handling and storage considerations, and potentially registration under the ITAR, which increases compliance costs and risk.</w:t>
      </w:r>
    </w:p>
    <w:p>
      <w:pPr>
        <w:spacing w:after="0" w:line="142"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Similarly, at times, there may be tariffs, restrictions, or prohibitions on imports of materials from certain regions used for our products, including those based on human rights concerns. One example of a prohibition is the Uyghur Forced Labor Prevention Act (“UFLPA”) of 2021, which, according to U.S. Customs and Border Protection,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United States.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Compliance with the UFLPA can sometimes be cumbersome based on the ability to trace the source of materials or other factors, and these examinations can delay or otherwise affect supply chains and delivery. Other import laws are also administered by U.S. Customs and Border Protection.</w:t>
      </w:r>
    </w:p>
    <w:p>
      <w:pPr>
        <w:spacing w:after="0" w:line="150"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Moreover, our business is subject to the Foreign Corrupt Practices Act and other anti-corruption, anti- bribery, and anti-money laundering laws and regulations in the jurisdictions in which we have offices or do business, both in the United States and abroad. Any failure to meet any of these obligations, or a future modification to any of these legal regimes, could cause us to incur significant costs and delays, including the potential for new overhead costs, fines, sanctions, and third-party claims.</w:t>
      </w:r>
    </w:p>
    <w:p>
      <w:pPr>
        <w:spacing w:after="0" w:line="142"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We are also subject to substantial federal, state, and local government contracting laws, regulations, and contractual requirements that govern the award, administration, and performance of government contracts and grants. Government contracts often include terms and regulatory obligations not typically found in commercial contracts, such as domestic content and sourcing standards, supply chain traceability, cybersecurity and quality assurance protocols, safety and environmental compliance, and other production and procurement mandates under statutes and regulations such as the Buy American Act, Trade Agreements Act and applicable sections of the Federal Acquisition Regulation and Defense Federal Acquisition Regulation Supplement. Ensuring compliance with these requirements may increase costs, constrain supplier and production flexibility, and require significant administrative effort. Failure to comply with applicable laws, regulations, or contractual provisions could result in damages, contractual remedies, civil or criminal penalties, contract termination or rescission, suspension or debarment from future government contracting, or other enforcement actions. Any such outcomes could materially adversely affect our business, financial condition, results of operations, reputation,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551" w:right="1440" w:bottom="1440" w:gutter="0" w:footer="0" w:header="0"/>
        </w:sectPr>
      </w:pPr>
    </w:p>
    <w:bookmarkStart w:id="83" w:name="page84"/>
    <w:bookmarkEnd w:id="8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73"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We prioritize creating a world-class team and seek to recruit people dedicated to our strategic mission. Many of our employees bring significant experience from leading battery manufacturers and automotive OEMs.</w:t>
      </w:r>
    </w:p>
    <w:p>
      <w:pPr>
        <w:spacing w:after="0" w:line="126" w:lineRule="exact"/>
        <w:rPr>
          <w:sz w:val="20"/>
          <w:szCs w:val="20"/>
          <w:color w:val="auto"/>
        </w:rPr>
      </w:pPr>
    </w:p>
    <w:p>
      <w:pPr>
        <w:ind w:left="760" w:right="1019" w:firstLine="249"/>
        <w:spacing w:after="0" w:line="255" w:lineRule="auto"/>
        <w:rPr>
          <w:sz w:val="20"/>
          <w:szCs w:val="20"/>
          <w:color w:val="auto"/>
        </w:rPr>
      </w:pPr>
      <w:r>
        <w:rPr>
          <w:rFonts w:ascii="Times New Roman" w:cs="Times New Roman" w:eastAsia="Times New Roman" w:hAnsi="Times New Roman"/>
          <w:sz w:val="14"/>
          <w:szCs w:val="14"/>
          <w:color w:val="auto"/>
        </w:rPr>
        <w:t>As of December 31, 2025, our workforce consisted of approximately 100 employees. Our workforce operates from our headquarters in Billerica, Massachusetts, as well as locations in Woburn, Massachusetts and South Korea. As described below, we conduct research and development activities, low volume production activities at our corporate headquarters in Billerica, Massachusetts and our testing space in Woburn, Massachusetts, and manufacturing of our battery cells at our fabrication facility in South Korea. We also maintain sales and engineering personnel based in Germany.</w:t>
      </w:r>
    </w:p>
    <w:p>
      <w:pPr>
        <w:spacing w:after="0" w:line="142" w:lineRule="exact"/>
        <w:rPr>
          <w:sz w:val="20"/>
          <w:szCs w:val="20"/>
          <w:color w:val="auto"/>
        </w:rPr>
      </w:pPr>
    </w:p>
    <w:p>
      <w:pPr>
        <w:ind w:left="760" w:right="859" w:firstLine="249"/>
        <w:spacing w:after="0" w:line="278" w:lineRule="auto"/>
        <w:rPr>
          <w:sz w:val="20"/>
          <w:szCs w:val="20"/>
          <w:color w:val="auto"/>
        </w:rPr>
      </w:pPr>
      <w:r>
        <w:rPr>
          <w:rFonts w:ascii="Times New Roman" w:cs="Times New Roman" w:eastAsia="Times New Roman" w:hAnsi="Times New Roman"/>
          <w:sz w:val="14"/>
          <w:szCs w:val="14"/>
          <w:color w:val="auto"/>
        </w:rPr>
        <w:t>Over two-thirds of our staff works in research and development and related functions; notably, more than half of this group holds advanced engineering and scientific degrees, many from the world’s top universities.</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73"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As of December 31, 2025, our corporate headquarters is located in Billerica, Massachusetts, in the greater Boston area, where we lease approximately 52,000 square feet of space under an agreement expiring in October 2032. We lease an approximately 18,000 square foot prototyping space in Woburn, Massachusetts pursuant to an agreement that expires in May 2028. In addition, we own an approximately 28,000-square- foot fabrication facility in Cheonan, South Korea.</w:t>
      </w:r>
    </w:p>
    <w:p>
      <w:pPr>
        <w:spacing w:after="0" w:line="142" w:lineRule="exact"/>
        <w:rPr>
          <w:sz w:val="20"/>
          <w:szCs w:val="20"/>
          <w:color w:val="auto"/>
        </w:rPr>
      </w:pPr>
    </w:p>
    <w:p>
      <w:pPr>
        <w:ind w:left="760" w:right="939" w:firstLine="249"/>
        <w:spacing w:after="0" w:line="278" w:lineRule="auto"/>
        <w:rPr>
          <w:sz w:val="20"/>
          <w:szCs w:val="20"/>
          <w:color w:val="auto"/>
        </w:rPr>
      </w:pPr>
      <w:r>
        <w:rPr>
          <w:rFonts w:ascii="Times New Roman" w:cs="Times New Roman" w:eastAsia="Times New Roman" w:hAnsi="Times New Roman"/>
          <w:sz w:val="14"/>
          <w:szCs w:val="14"/>
          <w:color w:val="auto"/>
        </w:rPr>
        <w:t>We dedicate the majority of these premises to development and manufacturing engineering activities and believe these facilities adequately meet our current operational needs.</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arising in the ordinary course of business. We are not currently a party to any litigation or legal proceedings that, in the opinion of our management, are likely to have a material adverse effect on our business. The results of any current or future litigation cannot be predicted with certainty, and regardless of the outcome, litigation can adversely impact our operations due to defense and settlement costs, the division of management resources, and other related factors.</w:t>
      </w:r>
    </w:p>
    <w:p>
      <w:pPr>
        <w:spacing w:after="0" w:line="142"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We are party to an arbitration, initiated on March 14, 2025, before the International Centre for Dispute Resolution. A hearing was conducted in June 2026, and post-hearing submission are due in July 2026. The hearing is regarding a contractual dispute in which a vendor is seeking $4.9 million in damages, interest, and other relief. We do not believe that such payment is owed, we are defending against such claims, and we have asserted counterclaims. We believe that a loss is neither probable nor remote and are unable to reasonably estimate the amount or range of possible loss due to the stage of the proceedings and the uncertainty regarding the resolution of the competing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551" w:right="1440" w:bottom="1440" w:gutter="0" w:footer="0" w:header="0"/>
        </w:sectPr>
      </w:pPr>
    </w:p>
    <w:bookmarkStart w:id="84" w:name="page85"/>
    <w:bookmarkEnd w:id="8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1"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financial condition and results of operations of Factorial Inc. (for purposes of this section, “Factorial,” “Company,” “we,” “our” or “us”) should be read together with Factorial’s audited financial statements for the years ended December 31, 2025 and 2024 included in the prospectus beginning on Page 1, Factorial’s unaudited condensed financial statements for the three months ended March 31, 2026 and 2025, and related notes included in this prospectus, as well as the unaudited pro forma condensed combined financial information included in this prospectus.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Note Regarding Forward-Looking Statements” included in this prospectus.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Factorial, a US-based leader in solid-state battery technology, develops next generation battery technology for planned use by drone, mobile robots, roadgoing vehicles, energy storage, and other demanding applications. Our FEST</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w:t>
      </w:r>
    </w:p>
    <w:p>
      <w:pPr>
        <w:spacing w:after="0" w:line="142"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Factorial is a development stage company with no revenue to date that has incurred a net loss of approximately $8.6 million, with cash used in operations of $6.1 million, for the three months ended March 31, 2026 and an accumulated deficit of approximately $264.2 million as of March 31, 2026.</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73" w:lineRule="exact"/>
        <w:rPr>
          <w:sz w:val="20"/>
          <w:szCs w:val="20"/>
          <w:color w:val="auto"/>
        </w:rPr>
      </w:pPr>
    </w:p>
    <w:p>
      <w:pPr>
        <w:ind w:left="760" w:right="839" w:firstLine="249"/>
        <w:spacing w:after="0" w:line="249" w:lineRule="auto"/>
        <w:rPr>
          <w:sz w:val="20"/>
          <w:szCs w:val="20"/>
          <w:color w:val="auto"/>
        </w:rPr>
      </w:pPr>
      <w:r>
        <w:rPr>
          <w:rFonts w:ascii="Times New Roman" w:cs="Times New Roman" w:eastAsia="Times New Roman" w:hAnsi="Times New Roman"/>
          <w:sz w:val="14"/>
          <w:szCs w:val="14"/>
          <w:color w:val="auto"/>
        </w:rPr>
        <w:t>Factorial entered into the Business Combination Agreement with CGC on December 17, 2025. Pursuant to the Business Combination Agreement, and after CGC’s shareholders voted to approve it, Merger Sub, a newly formed subsidiary of CGC, merged with and into Factorial. Upon the Closing, the separate corporate existence of Merger Sub ceased to exist, and Factorial survived and became a wholly-owned subsidiary of CGC. In connection with the consummation of the Business Combination, CGC changed its corporate name to Factorial Energy Inc. The Business Combination was accounted for as a reverse recapitalization. Factorial was deemed the accounting acquirer and the combined entity is the successor SEC registrant, meaning that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Business Combination, the most significant change in Factorial’s financial position and results is a $92.0 million net increase in cash and cash equivalents (as compared to Factorial’s consolidated balance sheet at March 31, 2026), which includes $112.1 million in gross proceeds from the PIPE Financing (inclusive of the proceeds from the trust account resulting from NRA Shares acquired by PIPE Investors to satisfy their obligations under the applicable Investor Stock Purchase Agreement) that was received at the Closing offset by the transaction expenses, which occurred on June 5, 2026. Transaction expenses paid at closing for the Business Combination and PIPE Financing were approximately $21.1 million. See the section entitled “</w:t>
      </w:r>
      <w:r>
        <w:rPr>
          <w:rFonts w:ascii="Times New Roman" w:cs="Times New Roman" w:eastAsia="Times New Roman" w:hAnsi="Times New Roman"/>
          <w:sz w:val="14"/>
          <w:szCs w:val="14"/>
          <w:i w:val="1"/>
          <w:iCs w:val="1"/>
          <w:color w:val="auto"/>
        </w:rPr>
        <w:t>Unaudited Pro Forma Condensed Combined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As a result of the Business Combination,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Key Trends, Opportunities and Uncertainties</w:t>
      </w:r>
    </w:p>
    <w:p>
      <w:pPr>
        <w:spacing w:after="0" w:line="173" w:lineRule="exact"/>
        <w:rPr>
          <w:sz w:val="20"/>
          <w:szCs w:val="20"/>
          <w:color w:val="auto"/>
        </w:rPr>
      </w:pPr>
    </w:p>
    <w:p>
      <w:pPr>
        <w:ind w:left="760" w:right="919" w:firstLine="249"/>
        <w:spacing w:after="0" w:line="283" w:lineRule="auto"/>
        <w:rPr>
          <w:sz w:val="20"/>
          <w:szCs w:val="20"/>
          <w:color w:val="auto"/>
        </w:rPr>
      </w:pPr>
      <w:r>
        <w:rPr>
          <w:rFonts w:ascii="Times New Roman" w:cs="Times New Roman" w:eastAsia="Times New Roman" w:hAnsi="Times New Roman"/>
          <w:sz w:val="13"/>
          <w:szCs w:val="13"/>
          <w:color w:val="auto"/>
        </w:rPr>
        <w:t>Factorial is a pre-revenue company. We believe that our performance and future success depend on several factors that present significant opportunities for us but also pose risks and challenges, including those in the sections of the prospectus titled “</w:t>
      </w:r>
      <w:r>
        <w:rPr>
          <w:rFonts w:ascii="Times New Roman" w:cs="Times New Roman" w:eastAsia="Times New Roman" w:hAnsi="Times New Roman"/>
          <w:sz w:val="13"/>
          <w:szCs w:val="13"/>
          <w:i w:val="1"/>
          <w:iCs w:val="1"/>
          <w:color w:val="auto"/>
        </w:rPr>
        <w:t xml:space="preserve">Business -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Our Competitive Strengths”, “Business - Our Growth Strategy</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 xml:space="preserve">Business - Manufacturing and Supply”,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Business - Research and Development”,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Business - Competitive Landscape”, Business - Government Regulation and Compliance” </w:t>
      </w:r>
      <w:r>
        <w:rPr>
          <w:rFonts w:ascii="Times New Roman" w:cs="Times New Roman" w:eastAsia="Times New Roman" w:hAnsi="Times New Roman"/>
          <w:sz w:val="13"/>
          <w:szCs w:val="13"/>
          <w:color w:val="auto"/>
        </w:rPr>
        <w:t>and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551" w:right="1440"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March 31, 2026.</w:t>
      </w:r>
    </w:p>
    <w:p>
      <w:pPr>
        <w:spacing w:after="0" w:line="142"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Since December 2025, Factorial has added additional headcount to its finance team, including a chief financial officer, an accounting manager, and a staff accountant. The Company plans to increase staffing of its technical accounting and internal audit function during 2026 and will engage outside consultants to advise on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3"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the prospectus.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3"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73" w:lineRule="exact"/>
        <w:rPr>
          <w:sz w:val="20"/>
          <w:szCs w:val="20"/>
          <w:color w:val="auto"/>
        </w:rPr>
      </w:pPr>
    </w:p>
    <w:p>
      <w:pPr>
        <w:ind w:left="760" w:right="939" w:firstLine="249"/>
        <w:spacing w:after="0" w:line="251" w:lineRule="auto"/>
        <w:rPr>
          <w:sz w:val="20"/>
          <w:szCs w:val="20"/>
          <w:color w:val="auto"/>
        </w:rPr>
      </w:pPr>
      <w:r>
        <w:rPr>
          <w:rFonts w:ascii="Times New Roman" w:cs="Times New Roman" w:eastAsia="Times New Roman" w:hAnsi="Times New Roman"/>
          <w:sz w:val="14"/>
          <w:szCs w:val="14"/>
          <w:color w:val="auto"/>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173" w:lineRule="exact"/>
        <w:rPr>
          <w:sz w:val="20"/>
          <w:szCs w:val="20"/>
          <w:color w:val="auto"/>
        </w:rPr>
      </w:pPr>
    </w:p>
    <w:p>
      <w:pPr>
        <w:ind w:left="760" w:right="899" w:firstLine="249"/>
        <w:spacing w:after="0" w:line="252" w:lineRule="auto"/>
        <w:rPr>
          <w:sz w:val="20"/>
          <w:szCs w:val="20"/>
          <w:color w:val="auto"/>
        </w:rPr>
      </w:pPr>
      <w:r>
        <w:rPr>
          <w:rFonts w:ascii="Times New Roman" w:cs="Times New Roman" w:eastAsia="Times New Roman" w:hAnsi="Times New Roman"/>
          <w:sz w:val="14"/>
          <w:szCs w:val="14"/>
          <w:color w:val="auto"/>
        </w:rPr>
        <w:t>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Financing Costs Related to Issuance of Convertible Promissory Notes - Related Parties</w:t>
      </w:r>
    </w:p>
    <w:p>
      <w:pPr>
        <w:spacing w:after="0" w:line="173"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551" w:right="1440"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Financing Costs Related to Issuance of Convertible Promissory Notes</w:t>
      </w:r>
    </w:p>
    <w:p>
      <w:pPr>
        <w:spacing w:after="0" w:line="173" w:lineRule="exact"/>
        <w:rPr>
          <w:sz w:val="20"/>
          <w:szCs w:val="20"/>
          <w:color w:val="auto"/>
        </w:rPr>
      </w:pPr>
    </w:p>
    <w:p>
      <w:pPr>
        <w:ind w:left="760" w:right="1179" w:firstLine="249"/>
        <w:spacing w:after="0" w:line="278" w:lineRule="auto"/>
        <w:rPr>
          <w:sz w:val="20"/>
          <w:szCs w:val="20"/>
          <w:color w:val="auto"/>
        </w:rPr>
      </w:pPr>
      <w:r>
        <w:rPr>
          <w:rFonts w:ascii="Times New Roman" w:cs="Times New Roman" w:eastAsia="Times New Roman" w:hAnsi="Times New Roman"/>
          <w:sz w:val="14"/>
          <w:szCs w:val="14"/>
          <w:color w:val="auto"/>
        </w:rPr>
        <w:t>Financing costs related to issuance of convertible promissory notes represents the excess of the fair value of the convertible promissory notes over the proceeds received, if any, as well as direct financing costs paid in cash at issuance.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Convertible Promissory Notes - Related Parties</w:t>
      </w:r>
    </w:p>
    <w:p>
      <w:pPr>
        <w:spacing w:after="0" w:line="173" w:lineRule="exact"/>
        <w:rPr>
          <w:sz w:val="20"/>
          <w:szCs w:val="20"/>
          <w:color w:val="auto"/>
        </w:rPr>
      </w:pPr>
    </w:p>
    <w:p>
      <w:pPr>
        <w:ind w:left="760" w:right="799" w:firstLine="249"/>
        <w:spacing w:after="0" w:line="278" w:lineRule="auto"/>
        <w:rPr>
          <w:sz w:val="20"/>
          <w:szCs w:val="20"/>
          <w:color w:val="auto"/>
        </w:rPr>
      </w:pPr>
      <w:r>
        <w:rPr>
          <w:rFonts w:ascii="Times New Roman" w:cs="Times New Roman" w:eastAsia="Times New Roman" w:hAnsi="Times New Roman"/>
          <w:sz w:val="14"/>
          <w:szCs w:val="14"/>
          <w:color w:val="auto"/>
        </w:rPr>
        <w:t>Change in fair value of convertible promissory notes to related parties represents the fair value adjustment to mark the convertible promissory note liability to fair value.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Convertible Promissory Notes</w:t>
      </w:r>
    </w:p>
    <w:p>
      <w:pPr>
        <w:spacing w:after="0" w:line="173"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Change in fair value of convertible promissory notes represents the fair value adjustment to mark the convertible promissory note liability to fair value.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73"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Change in fair value of warrant liabilities represents the fair value adjustment to mark the warrant liabilities to fair value based on changes in the underlying equity valuation.</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Other (Expenses) Income, Net</w:t>
      </w:r>
    </w:p>
    <w:p>
      <w:pPr>
        <w:spacing w:after="0" w:line="173"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Factorial’s other income (expense) consists of interest income from interest-bearing accounts, interest expense, and the effects of foreign currency.</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73"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551" w:right="1440" w:bottom="1440" w:gutter="0" w:footer="0" w:header="0"/>
        </w:sectPr>
      </w:pPr>
    </w:p>
    <w:bookmarkStart w:id="87" w:name="page88"/>
    <w:bookmarkEnd w:id="8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552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01945" cy="7552690"/>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to the Three Months Ended March 31, 2025</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The following table sets forth Factorial’s historical operating results for the periods indicated:</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4"/>
          </w:tcPr>
          <w:p>
            <w:pPr>
              <w:jc w:val="center"/>
              <w:ind w:right="21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6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ind w:right="392"/>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gridSpan w:val="2"/>
          </w:tcPr>
          <w:p>
            <w:pPr>
              <w:jc w:val="center"/>
              <w:ind w:right="225"/>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91"/>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12"/>
              <w:spacing w:after="0" w:line="115" w:lineRule="exact"/>
              <w:rPr>
                <w:sz w:val="20"/>
                <w:szCs w:val="20"/>
                <w:color w:val="auto"/>
              </w:rPr>
            </w:pPr>
            <w:r>
              <w:rPr>
                <w:rFonts w:ascii="Times New Roman" w:cs="Times New Roman" w:eastAsia="Times New Roman" w:hAnsi="Times New Roman"/>
                <w:sz w:val="11"/>
                <w:szCs w:val="11"/>
                <w:b w:val="1"/>
                <w:bCs w:val="1"/>
                <w:color w:val="auto"/>
                <w:w w:val="94"/>
              </w:rPr>
              <w:t>Change</w:t>
            </w:r>
          </w:p>
        </w:tc>
        <w:tc>
          <w:tcPr>
            <w:tcW w:w="4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Change</w:t>
            </w:r>
            <w:r>
              <w:rPr>
                <w:rFonts w:ascii="Times New Roman" w:cs="Times New Roman" w:eastAsia="Times New Roman" w:hAnsi="Times New Roman"/>
                <w:sz w:val="11"/>
                <w:szCs w:val="11"/>
                <w:color w:val="auto"/>
              </w:rPr>
              <w:t>​</w:t>
            </w:r>
          </w:p>
        </w:tc>
        <w:tc>
          <w:tcPr>
            <w:tcW w:w="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 thousands, except Share</w:t>
            </w:r>
          </w:p>
        </w:tc>
        <w:tc>
          <w:tcPr>
            <w:tcW w:w="11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and per Share Amounts)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(4,812)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33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332"/>
        </w:trPr>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(6,631)</w:t>
            </w:r>
          </w:p>
        </w:tc>
        <w:tc>
          <w:tcPr>
            <w:tcW w:w="6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31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46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62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Financing costs related to issuance of convertible promissory</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27"/>
                <w:szCs w:val="27"/>
                <w:color w:val="auto"/>
                <w:w w:val="95"/>
                <w:vertAlign w:val="subscript"/>
              </w:rPr>
              <w:t>N/M</w:t>
            </w:r>
            <w:r>
              <w:rPr>
                <w:rFonts w:ascii="Times New Roman" w:cs="Times New Roman" w:eastAsia="Times New Roman" w:hAnsi="Times New Roman"/>
                <w:sz w:val="10"/>
                <w:szCs w:val="10"/>
                <w:color w:val="auto"/>
                <w:w w:val="95"/>
              </w:rPr>
              <w:t xml:space="preserve"> (1)</w:t>
            </w: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Change in fair value of convertible promissory notes - related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parties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promissory notes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20" w:type="dxa"/>
            <w:vAlign w:val="bottom"/>
            <w:tcBorders>
              <w:bottom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(2,084)</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(2,336)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ind w:left="60"/>
              <w:spacing w:after="0" w:line="157"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(4,295)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(4,295)</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37"/>
        </w:trPr>
        <w:tc>
          <w:tcPr>
            <w:tcW w:w="3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3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6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7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common stockholders</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(3,989)</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83"/>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Basic and Diluted weighted-average common shares outstanding</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5,056,994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5,016,149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40,845</w:t>
            </w:r>
          </w:p>
        </w:tc>
        <w:tc>
          <w:tcPr>
            <w:tcW w:w="4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Not Meaningful (“N/M”)</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3"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Research and development expenses decreased by $4.8 million, or 71.2%, from $6.7 million for the three months ended March 31, 2025 to $1.9 million for the three months ended March 31, 2026. The decline primarily resulted from receipts of $3.4 million from joint development partners for the three months ended March 31, 2026, compared to $0.03 million for the three months ended March 31, 2025, which are recorded net in research and development expenses. The decrease was further attributable to the absence of occupancy and depreciation costs that had previously been allocated to research and development, following the exit of the Methuen, Massachusetts facility in October 2025.</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General and administrative expenses decreased by $1.8 million, or 28.6%, from $6.3 million for the three months ended March 31, 2025 to $4.5 million for the three months ended March 31, 2026, primarily due to a decline in stock-based compensation expense. General and administrative stock-based compensation expense decreased by $2.2 million, or 63%, from $3.5 million for the three months ended March 31, 2025, to $1.3 million for the three months ended March 31, 2026. The decrease was further attributable to the absence of occupancy and depreciation costs that had previously been allocated to general and administrative expenses, following the exit of the Methuen, Massachusetts facility in October 2025. These decreases were partially offset by increases in professional services expenses including legal, audit, and advisory fees.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551" w:right="1440" w:bottom="1440" w:gutter="0" w:footer="0" w:header="0"/>
        </w:sectPr>
      </w:pPr>
    </w:p>
    <w:bookmarkStart w:id="88" w:name="page89"/>
    <w:bookmarkEnd w:id="8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Financing Costs Related to Issuance of Convertible Promissory Notes</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In January 2026, we issued convertible promissory notes under which we could receive aggregate proceeds of up to $5.4 million. During the three months ended March 31, 2026, we received proceeds of $4.3 million. We incurred issuance costs of $0.04 million, which was recorded as a financing cost.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Convertible Promissory Notes - Related Parties</w:t>
      </w:r>
    </w:p>
    <w:p>
      <w:pPr>
        <w:spacing w:after="0" w:line="173" w:lineRule="exact"/>
        <w:rPr>
          <w:sz w:val="20"/>
          <w:szCs w:val="20"/>
          <w:color w:val="auto"/>
        </w:rPr>
      </w:pPr>
    </w:p>
    <w:p>
      <w:pPr>
        <w:ind w:left="760" w:right="1019" w:firstLine="249"/>
        <w:spacing w:after="0" w:line="262" w:lineRule="auto"/>
        <w:rPr>
          <w:sz w:val="20"/>
          <w:szCs w:val="20"/>
          <w:color w:val="auto"/>
        </w:rPr>
      </w:pPr>
      <w:r>
        <w:rPr>
          <w:rFonts w:ascii="Times New Roman" w:cs="Times New Roman" w:eastAsia="Times New Roman" w:hAnsi="Times New Roman"/>
          <w:sz w:val="14"/>
          <w:szCs w:val="14"/>
          <w:color w:val="auto"/>
        </w:rPr>
        <w:t>The fair value of our convertible promissory notes to related parties increased by $1.4 million for the three months ended March 31, 2026. These notes were issued in 2025. Changes in fair value of convertible promissory notes to related parties are non-cash and are included in net loss.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Convertible Promissory Notes</w:t>
      </w:r>
    </w:p>
    <w:p>
      <w:pPr>
        <w:spacing w:after="0" w:line="173" w:lineRule="exact"/>
        <w:rPr>
          <w:sz w:val="20"/>
          <w:szCs w:val="20"/>
          <w:color w:val="auto"/>
        </w:rPr>
      </w:pPr>
    </w:p>
    <w:p>
      <w:pPr>
        <w:ind w:left="760" w:right="939" w:firstLine="249"/>
        <w:spacing w:after="0" w:line="318" w:lineRule="auto"/>
        <w:rPr>
          <w:sz w:val="20"/>
          <w:szCs w:val="20"/>
          <w:color w:val="auto"/>
        </w:rPr>
      </w:pPr>
      <w:r>
        <w:rPr>
          <w:rFonts w:ascii="Times New Roman" w:cs="Times New Roman" w:eastAsia="Times New Roman" w:hAnsi="Times New Roman"/>
          <w:sz w:val="13"/>
          <w:szCs w:val="13"/>
          <w:color w:val="auto"/>
        </w:rPr>
        <w:t>The fair value of our convertible promissory notes increased by $0.3 million for the three months ended March 31, 2026. These notes were issued in January 2026. Changes in fair value of convertible promissory notes are non-cash and are included in net loss.</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73" w:lineRule="exact"/>
        <w:rPr>
          <w:sz w:val="20"/>
          <w:szCs w:val="20"/>
          <w:color w:val="auto"/>
        </w:rPr>
      </w:pPr>
    </w:p>
    <w:p>
      <w:pPr>
        <w:jc w:val="both"/>
        <w:ind w:left="760" w:right="1019" w:firstLine="249"/>
        <w:spacing w:after="0" w:line="262" w:lineRule="auto"/>
        <w:rPr>
          <w:sz w:val="20"/>
          <w:szCs w:val="20"/>
          <w:color w:val="auto"/>
        </w:rPr>
      </w:pPr>
      <w:r>
        <w:rPr>
          <w:rFonts w:ascii="Times New Roman" w:cs="Times New Roman" w:eastAsia="Times New Roman" w:hAnsi="Times New Roman"/>
          <w:sz w:val="14"/>
          <w:szCs w:val="14"/>
          <w:color w:val="auto"/>
        </w:rPr>
        <w:t>The change in fair value of our warrant liabilities increased by $0.1 million for the three months ended March 31, 2026. There was no change in fair value of our warrant liabilities for the three months ended March 31, 2025. Changes in fair value of warrant liabilities are non-cash and are included in net loss.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73" w:lineRule="exact"/>
        <w:rPr>
          <w:sz w:val="20"/>
          <w:szCs w:val="20"/>
          <w:color w:val="auto"/>
        </w:rPr>
      </w:pP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Other income (expense), net reflected an expense of $0.2 million for the three months ended March 31, 2026, compared to income of $0.3 million for the three months ended March 31, 2025, a change of $0.5 million. The change is due to fluctuations in the effects of foreign exchange offset by a reduction interest income.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73"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Company did not record an income tax provision for the three months ended March 31, 2026 or 2025 due to losses incurred and the establishment of a full valuation allowance against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551" w:right="1440"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31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01945" cy="703135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Fiscal Year Ended December 31, 2025 to the Fiscal Year Ended December 31, 2024</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sets forth Factorial Energy’s historical operating results for the periods indicated:</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48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280" w:type="dxa"/>
            <w:vAlign w:val="bottom"/>
            <w:gridSpan w:val="4"/>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180" w:type="dxa"/>
            <w:vAlign w:val="bottom"/>
          </w:tcPr>
          <w:p>
            <w:pPr>
              <w:spacing w:after="0"/>
              <w:rPr>
                <w:sz w:val="11"/>
                <w:szCs w:val="11"/>
                <w:color w:val="auto"/>
              </w:rPr>
            </w:pP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Change</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80" w:type="dxa"/>
            <w:vAlign w:val="bottom"/>
          </w:tcPr>
          <w:p>
            <w:pPr>
              <w:spacing w:after="0"/>
              <w:rPr>
                <w:sz w:val="10"/>
                <w:szCs w:val="10"/>
                <w:color w:val="auto"/>
              </w:rPr>
            </w:pPr>
          </w:p>
        </w:tc>
        <w:tc>
          <w:tcPr>
            <w:tcW w:w="34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4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gridSpan w:val="2"/>
          </w:tcPr>
          <w:p>
            <w:pPr>
              <w:jc w:val="center"/>
              <w:ind w:right="234"/>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91"/>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 thousands, except Share</w:t>
            </w:r>
          </w:p>
        </w:tc>
        <w:tc>
          <w:tcPr>
            <w:tcW w:w="11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and per Share Amounts)</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(24,323)</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(22,202)</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(24,711)</w:t>
            </w:r>
          </w:p>
        </w:tc>
        <w:tc>
          <w:tcPr>
            <w:tcW w:w="1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6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on impairment and lease termination</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(17,063)</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17,063</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(63,588)</w:t>
            </w: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(56,520)</w:t>
            </w: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7,068</w:t>
            </w:r>
          </w:p>
        </w:tc>
        <w:tc>
          <w:tcPr>
            <w:tcW w:w="60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7"/>
        </w:trPr>
        <w:tc>
          <w:tcPr>
            <w:tcW w:w="3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(63,588)</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(56,520)</w:t>
            </w:r>
          </w:p>
        </w:tc>
        <w:tc>
          <w:tcPr>
            <w:tcW w:w="180" w:type="dxa"/>
            <w:vAlign w:val="bottom"/>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7,068</w:t>
            </w:r>
          </w:p>
        </w:tc>
        <w:tc>
          <w:tcPr>
            <w:tcW w:w="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4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Financing costs related to issuance of convertible promissory</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 related parties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20" w:type="dxa"/>
            <w:vAlign w:val="bottom"/>
          </w:tcPr>
          <w:p>
            <w:pPr>
              <w:spacing w:after="0"/>
              <w:rPr>
                <w:sz w:val="15"/>
                <w:szCs w:val="15"/>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Change in fair value of convertible promissory notes - related</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parties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312"/>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(10,257)</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6"/>
              </w:rPr>
              <w:t>(12,433)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4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(73,845)</w:t>
            </w: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(54,344)</w:t>
            </w:r>
          </w:p>
        </w:tc>
        <w:tc>
          <w:tcPr>
            <w:tcW w:w="18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19,501</w:t>
            </w:r>
          </w:p>
        </w:tc>
        <w:tc>
          <w:tcPr>
            <w:tcW w:w="600" w:type="dxa"/>
            <w:vAlign w:val="bottom"/>
            <w:tcBorders>
              <w:bottom w:val="single" w:sz="8" w:color="CCEE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$ 19,501</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77"/>
        </w:trPr>
        <w:tc>
          <w:tcPr>
            <w:tcW w:w="34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(73,845)</w:t>
            </w:r>
          </w:p>
        </w:tc>
        <w:tc>
          <w:tcPr>
            <w:tcW w:w="2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(54,344)</w:t>
            </w:r>
          </w:p>
        </w:tc>
        <w:tc>
          <w:tcPr>
            <w:tcW w:w="660" w:type="dxa"/>
            <w:vAlign w:val="bottom"/>
            <w:tcBorders>
              <w:bottom w:val="single" w:sz="8" w:color="CCEEFF"/>
            </w:tcBorders>
            <w:gridSpan w:val="2"/>
            <w:vMerge w:val="continue"/>
          </w:tcPr>
          <w:p>
            <w:pPr>
              <w:spacing w:after="0"/>
              <w:rPr>
                <w:sz w:val="15"/>
                <w:szCs w:val="15"/>
                <w:color w:val="auto"/>
              </w:rPr>
            </w:pPr>
          </w:p>
        </w:tc>
        <w:tc>
          <w:tcPr>
            <w:tcW w:w="60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4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(73,845)</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(54,344)</w:t>
            </w:r>
          </w:p>
        </w:tc>
        <w:tc>
          <w:tcPr>
            <w:tcW w:w="660" w:type="dxa"/>
            <w:vAlign w:val="bottom"/>
            <w:tcBorders>
              <w:bottom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$ 19,501</w:t>
            </w:r>
          </w:p>
        </w:tc>
        <w:tc>
          <w:tcPr>
            <w:tcW w:w="600" w:type="dxa"/>
            <w:vAlign w:val="bottom"/>
            <w:tcBorders>
              <w:bottom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35.9</w:t>
            </w:r>
          </w:p>
        </w:tc>
        <w:tc>
          <w:tcPr>
            <w:tcW w:w="120" w:type="dxa"/>
            <w:vAlign w:val="bottom"/>
            <w:tcBorders>
              <w:bottom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37"/>
        </w:trPr>
        <w:tc>
          <w:tcPr>
            <w:tcW w:w="3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 and other</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right w:val="single" w:sz="8" w:color="CCEEFF"/>
            </w:tcBorders>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color w:val="auto"/>
              </w:rPr>
              <w:t>Total comprehensive loss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(74,366)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(54,381)</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19,985</w:t>
            </w:r>
          </w:p>
        </w:tc>
        <w:tc>
          <w:tcPr>
            <w:tcW w:w="600" w:type="dxa"/>
            <w:vAlign w:val="bottom"/>
            <w:tcBorders>
              <w:bottom w:val="single" w:sz="8" w:color="CCEE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36.7</w:t>
            </w:r>
          </w:p>
        </w:tc>
        <w:tc>
          <w:tcPr>
            <w:tcW w:w="120" w:type="dxa"/>
            <w:vAlign w:val="bottom"/>
            <w:tcBorders>
              <w:bottom w:val="single" w:sz="8" w:color="CCEEFF"/>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7"/>
        </w:trPr>
        <w:tc>
          <w:tcPr>
            <w:tcW w:w="34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Comprehensive loss attributable to common stockholders</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(74,366)</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(54,381)</w:t>
            </w:r>
          </w:p>
        </w:tc>
        <w:tc>
          <w:tcPr>
            <w:tcW w:w="660" w:type="dxa"/>
            <w:vAlign w:val="bottom"/>
            <w:tcBorders>
              <w:bottom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$ 19,985</w:t>
            </w:r>
          </w:p>
        </w:tc>
        <w:tc>
          <w:tcPr>
            <w:tcW w:w="600" w:type="dxa"/>
            <w:vAlign w:val="bottom"/>
            <w:tcBorders>
              <w:bottom w:val="single" w:sz="8" w:color="CCEEFF"/>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36.7</w:t>
            </w:r>
          </w:p>
        </w:tc>
        <w:tc>
          <w:tcPr>
            <w:tcW w:w="120" w:type="dxa"/>
            <w:vAlign w:val="bottom"/>
            <w:tcBorders>
              <w:bottom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line="20" w:lineRule="exact"/>
              <w:rPr>
                <w:sz w:val="1"/>
                <w:szCs w:val="1"/>
                <w:color w:val="auto"/>
              </w:rPr>
            </w:pPr>
          </w:p>
        </w:tc>
      </w:tr>
      <w:tr>
        <w:trPr>
          <w:trHeight w:val="177"/>
        </w:trPr>
        <w:tc>
          <w:tcPr>
            <w:tcW w:w="34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(14.69)</w:t>
            </w:r>
          </w:p>
        </w:tc>
        <w:tc>
          <w:tcPr>
            <w:tcW w:w="2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(10.85)</w:t>
            </w:r>
          </w:p>
        </w:tc>
        <w:tc>
          <w:tcPr>
            <w:tcW w:w="1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CCEEFF"/>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Basic and Diluted weighted-average common shares</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5,026,704</w:t>
            </w: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5,009,250</w:t>
            </w:r>
          </w:p>
        </w:tc>
        <w:tc>
          <w:tcPr>
            <w:tcW w:w="18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3" w:lineRule="exact"/>
        <w:rPr>
          <w:sz w:val="20"/>
          <w:szCs w:val="20"/>
          <w:color w:val="auto"/>
        </w:rPr>
      </w:pPr>
    </w:p>
    <w:p>
      <w:pPr>
        <w:jc w:val="both"/>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Research and development expenses decreased by $7.5 million, or 23.5%, from $31.8 million in 2024 to $24.3 million in 2025. The decline primarily resulted from lower headcount in 2025 as compared to 2024, which resulted in a decrease in salary and benefit expenses.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73" w:lineRule="exact"/>
        <w:rPr>
          <w:sz w:val="20"/>
          <w:szCs w:val="20"/>
          <w:color w:val="auto"/>
        </w:rPr>
      </w:pPr>
    </w:p>
    <w:p>
      <w:pPr>
        <w:ind w:left="760" w:right="939" w:firstLine="249"/>
        <w:spacing w:after="0" w:line="278" w:lineRule="auto"/>
        <w:rPr>
          <w:sz w:val="20"/>
          <w:szCs w:val="20"/>
          <w:color w:val="auto"/>
        </w:rPr>
      </w:pPr>
      <w:r>
        <w:rPr>
          <w:rFonts w:ascii="Times New Roman" w:cs="Times New Roman" w:eastAsia="Times New Roman" w:hAnsi="Times New Roman"/>
          <w:sz w:val="14"/>
          <w:szCs w:val="14"/>
          <w:color w:val="auto"/>
        </w:rPr>
        <w:t>General and administrative expenses decreased by $2.5 million, or 10.2%, from $24.7 million in 2024 to $22.2 million in 2025, primarily due to lower headcount in 2025 as compared to 2024, which resulted in a decrease in salary and benefit expenses.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Loss and Impairment on Lease Termination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We recorded a loss on impairment and lease termination of $17.1 million as a result of our exit from our Methuen facility.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Financing Costs Related to Issuance of Convertible Promissory Notes</w:t>
      </w:r>
    </w:p>
    <w:p>
      <w:pPr>
        <w:spacing w:after="0" w:line="173" w:lineRule="exact"/>
        <w:rPr>
          <w:sz w:val="20"/>
          <w:szCs w:val="20"/>
          <w:color w:val="auto"/>
        </w:rPr>
      </w:pPr>
    </w:p>
    <w:p>
      <w:pPr>
        <w:jc w:val="both"/>
        <w:ind w:left="760" w:right="1239" w:firstLine="249"/>
        <w:spacing w:after="0" w:line="262" w:lineRule="auto"/>
        <w:rPr>
          <w:sz w:val="20"/>
          <w:szCs w:val="20"/>
          <w:color w:val="auto"/>
        </w:rPr>
      </w:pPr>
      <w:r>
        <w:rPr>
          <w:rFonts w:ascii="Times New Roman" w:cs="Times New Roman" w:eastAsia="Times New Roman" w:hAnsi="Times New Roman"/>
          <w:sz w:val="14"/>
          <w:szCs w:val="14"/>
          <w:color w:val="auto"/>
        </w:rPr>
        <w:t>In August 2025 we issued convertible promissory notes totaling $10.0 million to related parties. The fair value at issuance exceeded the $10.0 million of proceeds received, and the excess was recorded as a financing cost related to the issuance of the convertible promissory notes.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Convertible Promissory Notes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fair value of our convertible promissory notes increased by $4.4 million in 2025. These notes were issued in 2025.</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551" w:right="1440"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Liability</w:t>
      </w:r>
    </w:p>
    <w:p>
      <w:pPr>
        <w:spacing w:after="0" w:line="173"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change in fair value of our warrant liabilities increased by $2.2 million in 2025 as compared to a decrease in $0.5 million in 2024 as a result of changes in the Company’s equity value.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73"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Other income (expense), net was $1.0 million in 2025 compared to $1.7 million in 2024, a change of $0.7 million. The change is due to a reduction in interest income, offset by fluctuations in the effects of foreign exchange impacts.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73" w:lineRule="exact"/>
        <w:rPr>
          <w:sz w:val="20"/>
          <w:szCs w:val="20"/>
          <w:color w:val="auto"/>
        </w:rPr>
      </w:pPr>
    </w:p>
    <w:p>
      <w:pPr>
        <w:ind w:left="760" w:right="1179" w:firstLine="249"/>
        <w:spacing w:after="0" w:line="278" w:lineRule="auto"/>
        <w:rPr>
          <w:sz w:val="20"/>
          <w:szCs w:val="20"/>
          <w:color w:val="auto"/>
        </w:rPr>
      </w:pPr>
      <w:r>
        <w:rPr>
          <w:rFonts w:ascii="Times New Roman" w:cs="Times New Roman" w:eastAsia="Times New Roman" w:hAnsi="Times New Roman"/>
          <w:sz w:val="14"/>
          <w:szCs w:val="14"/>
          <w:color w:val="auto"/>
        </w:rPr>
        <w:t>The Company did not record an income tax provision in 2025 or 2024 due to losses incurred and the establishment of a full valuation allowance against deferred tax assets.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Since inception, we have financed our operations primarily from the sales of preferred and convertible preferred stock, and equity-linked securities. As of March 31, 2026, our principal sources of liquidity were our cash and cash equivalents in the amount of $25.5 million. Our cash equivalents are invested primarily in U.S. Treasury money market funds.</w:t>
      </w:r>
    </w:p>
    <w:p>
      <w:pPr>
        <w:spacing w:after="0" w:line="138" w:lineRule="exact"/>
        <w:rPr>
          <w:sz w:val="20"/>
          <w:szCs w:val="20"/>
          <w:color w:val="auto"/>
        </w:rPr>
      </w:pPr>
    </w:p>
    <w:p>
      <w:pPr>
        <w:jc w:val="both"/>
        <w:ind w:left="760" w:right="899" w:firstLine="249"/>
        <w:spacing w:after="0" w:line="283" w:lineRule="auto"/>
        <w:rPr>
          <w:sz w:val="20"/>
          <w:szCs w:val="20"/>
          <w:color w:val="auto"/>
        </w:rPr>
      </w:pPr>
      <w:r>
        <w:rPr>
          <w:rFonts w:ascii="Times New Roman" w:cs="Times New Roman" w:eastAsia="Times New Roman" w:hAnsi="Times New Roman"/>
          <w:sz w:val="13"/>
          <w:szCs w:val="13"/>
          <w:color w:val="auto"/>
        </w:rPr>
        <w:t>As of the date of this filing, Factorial has yet to generate any revenue from its business operations. To date, Factorial has funded its capital expenditure and working capital requirements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spacing w:after="0" w:line="126" w:lineRule="exact"/>
        <w:rPr>
          <w:sz w:val="20"/>
          <w:szCs w:val="20"/>
          <w:color w:val="auto"/>
        </w:rPr>
      </w:pPr>
    </w:p>
    <w:p>
      <w:pPr>
        <w:ind w:left="760" w:right="839" w:firstLine="249"/>
        <w:spacing w:after="0" w:line="259" w:lineRule="auto"/>
        <w:rPr>
          <w:sz w:val="20"/>
          <w:szCs w:val="20"/>
          <w:color w:val="auto"/>
        </w:rPr>
      </w:pPr>
      <w:r>
        <w:rPr>
          <w:rFonts w:ascii="Times New Roman" w:cs="Times New Roman" w:eastAsia="Times New Roman" w:hAnsi="Times New Roman"/>
          <w:sz w:val="14"/>
          <w:szCs w:val="14"/>
          <w:color w:val="auto"/>
        </w:rPr>
        <w:t>As of March 31, 2026, Factorial’s cash and cash equivalents amounted to $25.5 million. As a result of the closing of the Business Combination, Factorial’s cash and cash equivalents have increased to approximately $116.6 million on June 10, 2026. In</w:t>
      </w:r>
    </w:p>
    <w:p>
      <w:pPr>
        <w:ind w:left="760" w:right="819"/>
        <w:spacing w:after="0" w:line="250" w:lineRule="auto"/>
        <w:rPr>
          <w:sz w:val="20"/>
          <w:szCs w:val="20"/>
          <w:color w:val="auto"/>
        </w:rPr>
      </w:pPr>
      <w:r>
        <w:rPr>
          <w:rFonts w:ascii="Times New Roman" w:cs="Times New Roman" w:eastAsia="Times New Roman" w:hAnsi="Times New Roman"/>
          <w:sz w:val="14"/>
          <w:szCs w:val="14"/>
          <w:color w:val="auto"/>
        </w:rPr>
        <w:t>January 2026, Factorial entered into agreements with new investors to issue convertible notes where Factorial can receive proceeds up to $5.4 million. Upon the Closing the convertible notes were converted into shares issued by Factorial in conjunction with the Business Combination and exchanged for shares of Series A Common Stock in the Business Combination. As of June 10, 2026, Factorial has received proceeds of $5.4 million.</w:t>
      </w:r>
    </w:p>
    <w:p>
      <w:pPr>
        <w:spacing w:after="0" w:line="145" w:lineRule="exact"/>
        <w:rPr>
          <w:sz w:val="20"/>
          <w:szCs w:val="20"/>
          <w:color w:val="auto"/>
        </w:rPr>
      </w:pPr>
    </w:p>
    <w:p>
      <w:pPr>
        <w:ind w:left="760" w:right="879" w:firstLine="249"/>
        <w:spacing w:after="0" w:line="253" w:lineRule="auto"/>
        <w:rPr>
          <w:sz w:val="20"/>
          <w:szCs w:val="20"/>
          <w:color w:val="auto"/>
        </w:rPr>
      </w:pPr>
      <w:r>
        <w:rPr>
          <w:rFonts w:ascii="Times New Roman" w:cs="Times New Roman" w:eastAsia="Times New Roman" w:hAnsi="Times New Roman"/>
          <w:sz w:val="14"/>
          <w:szCs w:val="14"/>
          <w:color w:val="auto"/>
        </w:rPr>
        <w:t>Factorial expects its capital expenditures and working capital requirements to increase materially in the near future, as it seeks to accelerate its research and development efforts and scale up the production operations with its OEM partners. As described in the “Business” section of the prospectus, Factorial expects to satisfy early demand for its solid-state battery products by expanding its existing fabrication line operations in South Korea and the United States, to support initial commercial production. During the</w:t>
      </w:r>
    </w:p>
    <w:p>
      <w:pPr>
        <w:spacing w:after="0" w:line="1" w:lineRule="exact"/>
        <w:rPr>
          <w:sz w:val="20"/>
          <w:szCs w:val="20"/>
          <w:color w:val="auto"/>
        </w:rPr>
      </w:pPr>
    </w:p>
    <w:p>
      <w:pPr>
        <w:ind w:left="760" w:right="799"/>
        <w:spacing w:after="0" w:line="249" w:lineRule="auto"/>
        <w:rPr>
          <w:sz w:val="20"/>
          <w:szCs w:val="20"/>
          <w:color w:val="auto"/>
        </w:rPr>
      </w:pPr>
      <w:r>
        <w:rPr>
          <w:rFonts w:ascii="Times New Roman" w:cs="Times New Roman" w:eastAsia="Times New Roman" w:hAnsi="Times New Roman"/>
          <w:sz w:val="14"/>
          <w:szCs w:val="14"/>
          <w:color w:val="auto"/>
        </w:rPr>
        <w:t>three months ended March 31, 2026, Factorial paid capital expenditures for such expansion of approximately $0.5 million and expects to incur capital expenditures of approximately $7.5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spacing w:after="0" w:line="146" w:lineRule="exact"/>
        <w:rPr>
          <w:sz w:val="20"/>
          <w:szCs w:val="20"/>
          <w:color w:val="auto"/>
        </w:rPr>
      </w:pPr>
    </w:p>
    <w:p>
      <w:pPr>
        <w:ind w:left="760" w:right="899" w:firstLine="249"/>
        <w:spacing w:after="0" w:line="251" w:lineRule="auto"/>
        <w:rPr>
          <w:sz w:val="20"/>
          <w:szCs w:val="20"/>
          <w:color w:val="auto"/>
        </w:rPr>
      </w:pPr>
      <w:r>
        <w:rPr>
          <w:rFonts w:ascii="Times New Roman" w:cs="Times New Roman" w:eastAsia="Times New Roman" w:hAnsi="Times New Roman"/>
          <w:sz w:val="14"/>
          <w:szCs w:val="14"/>
          <w:color w:val="auto"/>
        </w:rPr>
        <w:t>Factorial believes that its cash on hand, including the net proceeds from CGC’s cash in trust post redemption and the PIPE Financing,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551" w:right="1440" w:bottom="1440" w:gutter="0" w:footer="0" w:header="0"/>
        </w:sectPr>
      </w:pPr>
    </w:p>
    <w:bookmarkStart w:id="91" w:name="page92"/>
    <w:bookmarkEnd w:id="9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jc w:val="both"/>
        <w:ind w:left="760" w:right="939" w:firstLine="249"/>
        <w:spacing w:after="0" w:line="292" w:lineRule="auto"/>
        <w:rPr>
          <w:sz w:val="20"/>
          <w:szCs w:val="20"/>
          <w:color w:val="auto"/>
        </w:rPr>
      </w:pPr>
      <w:r>
        <w:rPr>
          <w:rFonts w:ascii="Times New Roman" w:cs="Times New Roman" w:eastAsia="Times New Roman" w:hAnsi="Times New Roman"/>
          <w:sz w:val="13"/>
          <w:szCs w:val="13"/>
          <w:color w:val="auto"/>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to the Three Months Ended March 31, 2025</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The following table provides a summary of Factorial’s cash flow data for the periods indicated:</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420" w:type="dxa"/>
            <w:vAlign w:val="bottom"/>
          </w:tcPr>
          <w:p>
            <w:pPr>
              <w:spacing w:after="0"/>
              <w:rPr>
                <w:sz w:val="11"/>
                <w:szCs w:val="11"/>
                <w:color w:val="auto"/>
              </w:rPr>
            </w:pPr>
          </w:p>
        </w:tc>
        <w:tc>
          <w:tcPr>
            <w:tcW w:w="2640" w:type="dxa"/>
            <w:vAlign w:val="bottom"/>
            <w:gridSpan w:val="8"/>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 xml:space="preserve">​​​Three Months Ended March 31, </w:t>
            </w:r>
            <w:r>
              <w:rPr>
                <w:rFonts w:ascii="Times New Roman" w:cs="Times New Roman" w:eastAsia="Times New Roman" w:hAnsi="Times New Roman"/>
                <w:sz w:val="11"/>
                <w:szCs w:val="11"/>
                <w:color w:val="auto"/>
              </w:rPr>
              <w:t>​​​</w:t>
            </w:r>
          </w:p>
        </w:tc>
        <w:tc>
          <w:tcPr>
            <w:tcW w:w="58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r>
      <w:tr>
        <w:trPr>
          <w:trHeight w:val="115"/>
        </w:trPr>
        <w:tc>
          <w:tcPr>
            <w:tcW w:w="3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74"/>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top w:val="single" w:sz="8" w:color="auto"/>
            </w:tcBorders>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174"/>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16"/>
              <w:spacing w:after="0" w:line="115" w:lineRule="exact"/>
              <w:rPr>
                <w:sz w:val="20"/>
                <w:szCs w:val="20"/>
                <w:color w:val="auto"/>
              </w:rPr>
            </w:pPr>
            <w:r>
              <w:rPr>
                <w:rFonts w:ascii="Times New Roman" w:cs="Times New Roman" w:eastAsia="Times New Roman" w:hAnsi="Times New Roman"/>
                <w:sz w:val="11"/>
                <w:szCs w:val="11"/>
                <w:b w:val="1"/>
                <w:bCs w:val="1"/>
                <w:color w:val="auto"/>
              </w:rPr>
              <w:t>Change</w:t>
            </w:r>
          </w:p>
        </w:tc>
        <w:tc>
          <w:tcPr>
            <w:tcW w:w="18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56"/>
              <w:spacing w:after="0" w:line="115" w:lineRule="exact"/>
              <w:rPr>
                <w:sz w:val="20"/>
                <w:szCs w:val="20"/>
                <w:color w:val="auto"/>
              </w:rPr>
            </w:pPr>
            <w:r>
              <w:rPr>
                <w:rFonts w:ascii="Times New Roman" w:cs="Times New Roman" w:eastAsia="Times New Roman" w:hAnsi="Times New Roman"/>
                <w:sz w:val="11"/>
                <w:szCs w:val="11"/>
                <w:b w:val="1"/>
                <w:bCs w:val="1"/>
                <w:color w:val="auto"/>
              </w:rPr>
              <w:t>Change</w:t>
            </w:r>
          </w:p>
        </w:tc>
        <w:tc>
          <w:tcPr>
            <w:tcW w:w="120" w:type="dxa"/>
            <w:vAlign w:val="bottom"/>
          </w:tcPr>
          <w:p>
            <w:pPr>
              <w:spacing w:after="0"/>
              <w:rPr>
                <w:sz w:val="10"/>
                <w:szCs w:val="10"/>
                <w:color w:val="auto"/>
              </w:rPr>
            </w:pPr>
          </w:p>
        </w:tc>
      </w:tr>
      <w:tr>
        <w:trPr>
          <w:trHeight w:val="157"/>
        </w:trPr>
        <w:tc>
          <w:tcPr>
            <w:tcW w:w="34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Amount in thousands</w:t>
            </w:r>
          </w:p>
        </w:tc>
        <w:tc>
          <w:tcPr>
            <w:tcW w:w="8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(used in) operating activities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(used in) investing activities</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r>
      <w:tr>
        <w:trPr>
          <w:trHeight w:val="18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(used in) financing activities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r>
    </w:tbl>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73"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spacing w:after="0" w:line="142" w:lineRule="exact"/>
        <w:rPr>
          <w:sz w:val="20"/>
          <w:szCs w:val="20"/>
          <w:color w:val="auto"/>
        </w:rPr>
      </w:pPr>
    </w:p>
    <w:p>
      <w:pPr>
        <w:ind w:left="760" w:right="999" w:firstLine="249"/>
        <w:spacing w:after="0" w:line="257" w:lineRule="auto"/>
        <w:rPr>
          <w:sz w:val="20"/>
          <w:szCs w:val="20"/>
          <w:color w:val="auto"/>
        </w:rPr>
      </w:pPr>
      <w:r>
        <w:rPr>
          <w:rFonts w:ascii="Times New Roman" w:cs="Times New Roman" w:eastAsia="Times New Roman" w:hAnsi="Times New Roman"/>
          <w:sz w:val="14"/>
          <w:szCs w:val="14"/>
          <w:color w:val="auto"/>
        </w:rPr>
        <w:t>Net cash used in operating activities was $6.1 million for the three months ended March 31, 2026, and 2025 and primarily represents payments on employee compensation and benefits, R&amp;D materials, facilities, and professional fees. The payments were offset by an increase in receivables under collaboration agreements of $2.2 million during the three months ended March 31, 2026. Receivables under collaboration agreements decreased by $0.5 million during the three months ended March 31, 2025.</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73"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spacing w:after="0" w:line="138" w:lineRule="exact"/>
        <w:rPr>
          <w:sz w:val="20"/>
          <w:szCs w:val="20"/>
          <w:color w:val="auto"/>
        </w:rPr>
      </w:pPr>
    </w:p>
    <w:p>
      <w:pPr>
        <w:jc w:val="both"/>
        <w:ind w:left="760" w:right="799" w:firstLine="249"/>
        <w:spacing w:after="0" w:line="318" w:lineRule="auto"/>
        <w:rPr>
          <w:sz w:val="20"/>
          <w:szCs w:val="20"/>
          <w:color w:val="auto"/>
        </w:rPr>
      </w:pPr>
      <w:r>
        <w:rPr>
          <w:rFonts w:ascii="Times New Roman" w:cs="Times New Roman" w:eastAsia="Times New Roman" w:hAnsi="Times New Roman"/>
          <w:sz w:val="13"/>
          <w:szCs w:val="13"/>
          <w:color w:val="auto"/>
        </w:rPr>
        <w:t>Net cash used from investing activities was $0.5 million and $0.2 million for the three months ended March 31, 2026, and 2025, respectively, which was used for property and equipment purchases. The 2026 purchases were entirely to support production in Korea.</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73" w:lineRule="exact"/>
        <w:rPr>
          <w:sz w:val="20"/>
          <w:szCs w:val="20"/>
          <w:color w:val="auto"/>
        </w:rPr>
      </w:pPr>
    </w:p>
    <w:p>
      <w:pPr>
        <w:jc w:val="both"/>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Through March 31, 2026, Factorial has financed its operations primarily through the sale of equity and equity-linked securities. In addition, in January 2026, Factorial entered into agreements with new investors to issue convertible notes where Factorial can receive proceeds up to $5.4 million</w:t>
      </w:r>
    </w:p>
    <w:p>
      <w:pPr>
        <w:spacing w:after="0" w:line="138"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Net cash from financing activities was $3.3 million for the three months ended March 31, 2026, and primarily represents proceeds from issuance of convertible notes, offset by the payment of deferred transaction costs. Net cash used in financing activities was $.2 million for the three months ended March 31, 2025, and primarily represents principal payments on the Company’s former finance lease for the Methuen, Massachusetts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551" w:right="1440" w:bottom="1440" w:gutter="0" w:footer="0" w:header="0"/>
        </w:sectPr>
      </w:pPr>
    </w:p>
    <w:bookmarkStart w:id="92" w:name="page93"/>
    <w:bookmarkEnd w:id="9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Fiscal Year Ended December 31, 2025 to the Fiscal Year Ended December 31, 2024</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provides a summary of Factorial’s cash flow data for the periods indicated:</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420" w:type="dxa"/>
            <w:vAlign w:val="bottom"/>
          </w:tcPr>
          <w:p>
            <w:pPr>
              <w:spacing w:after="0"/>
              <w:rPr>
                <w:sz w:val="11"/>
                <w:szCs w:val="11"/>
                <w:color w:val="auto"/>
              </w:rPr>
            </w:pP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3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r>
      <w:tr>
        <w:trPr>
          <w:trHeight w:val="115"/>
        </w:trPr>
        <w:tc>
          <w:tcPr>
            <w:tcW w:w="3420" w:type="dxa"/>
            <w:vAlign w:val="bottom"/>
          </w:tcPr>
          <w:p>
            <w:pPr>
              <w:spacing w:after="0"/>
              <w:rPr>
                <w:sz w:val="10"/>
                <w:szCs w:val="10"/>
                <w:color w:val="auto"/>
              </w:rPr>
            </w:pPr>
          </w:p>
        </w:tc>
        <w:tc>
          <w:tcPr>
            <w:tcW w:w="880" w:type="dxa"/>
            <w:vAlign w:val="bottom"/>
          </w:tcPr>
          <w:p>
            <w:pPr>
              <w:ind w:left="80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560" w:type="dxa"/>
            <w:vAlign w:val="bottom"/>
          </w:tcPr>
          <w:p>
            <w:pPr>
              <w:jc w:val="right"/>
              <w:ind w:right="178"/>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174"/>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40" w:type="dxa"/>
            <w:vAlign w:val="bottom"/>
            <w:gridSpan w:val="2"/>
          </w:tcPr>
          <w:p>
            <w:pPr>
              <w:jc w:val="right"/>
              <w:ind w:right="65"/>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116"/>
              <w:spacing w:after="0" w:line="115" w:lineRule="exact"/>
              <w:rPr>
                <w:sz w:val="20"/>
                <w:szCs w:val="20"/>
                <w:color w:val="auto"/>
              </w:rPr>
            </w:pPr>
            <w:r>
              <w:rPr>
                <w:rFonts w:ascii="Times New Roman" w:cs="Times New Roman" w:eastAsia="Times New Roman" w:hAnsi="Times New Roman"/>
                <w:sz w:val="11"/>
                <w:szCs w:val="11"/>
                <w:b w:val="1"/>
                <w:bCs w:val="1"/>
                <w:color w:val="auto"/>
              </w:rPr>
              <w:t>Change</w:t>
            </w:r>
          </w:p>
        </w:tc>
        <w:tc>
          <w:tcPr>
            <w:tcW w:w="20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center"/>
              <w:ind w:right="98"/>
              <w:spacing w:after="0" w:line="115" w:lineRule="exact"/>
              <w:rPr>
                <w:sz w:val="20"/>
                <w:szCs w:val="20"/>
                <w:color w:val="auto"/>
              </w:rPr>
            </w:pPr>
            <w:r>
              <w:rPr>
                <w:rFonts w:ascii="Times New Roman" w:cs="Times New Roman" w:eastAsia="Times New Roman" w:hAnsi="Times New Roman"/>
                <w:sz w:val="11"/>
                <w:szCs w:val="11"/>
                <w:b w:val="1"/>
                <w:bCs w:val="1"/>
                <w:color w:val="auto"/>
                <w:w w:val="99"/>
              </w:rPr>
              <w:t>Change</w:t>
            </w:r>
          </w:p>
        </w:tc>
      </w:tr>
      <w:tr>
        <w:trPr>
          <w:trHeight w:val="157"/>
        </w:trPr>
        <w:tc>
          <w:tcPr>
            <w:tcW w:w="34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Amount in thousands</w:t>
            </w:r>
          </w:p>
        </w:tc>
        <w:tc>
          <w:tcPr>
            <w:tcW w:w="8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(used in) operating activities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(37,210)</w:t>
            </w: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6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(used in) investing activities</w:t>
            </w: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2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N/M</w:t>
            </w:r>
          </w:p>
        </w:tc>
      </w:tr>
      <w:tr>
        <w:trPr>
          <w:trHeight w:val="18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(used in) financing activities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N/M</w:t>
            </w:r>
          </w:p>
        </w:tc>
      </w:tr>
    </w:tbl>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73" w:lineRule="exact"/>
        <w:rPr>
          <w:sz w:val="20"/>
          <w:szCs w:val="20"/>
          <w:color w:val="auto"/>
        </w:rPr>
      </w:pPr>
    </w:p>
    <w:p>
      <w:pPr>
        <w:ind w:left="760" w:right="779" w:firstLine="249"/>
        <w:spacing w:after="0" w:line="283" w:lineRule="auto"/>
        <w:rPr>
          <w:sz w:val="20"/>
          <w:szCs w:val="20"/>
          <w:color w:val="auto"/>
        </w:rPr>
      </w:pPr>
      <w:r>
        <w:rPr>
          <w:rFonts w:ascii="Times New Roman" w:cs="Times New Roman" w:eastAsia="Times New Roman" w:hAnsi="Times New Roman"/>
          <w:sz w:val="13"/>
          <w:szCs w:val="13"/>
          <w:color w:val="auto"/>
        </w:rPr>
        <w:t>Factorial Energy’s cash flows used in operating activities to date have been primarily comprised of payroll, material and supplies, facilities expense, and professional services related to research and development and general and administrative activities. As Factorial Energy continues to ramp up hiring for technical headcounts to accelerate its developmental efforts, Factorial Energy expects its cash used in operating activities to increase significantly before it starts to generate any material cash flows from its business.</w:t>
      </w:r>
    </w:p>
    <w:p>
      <w:pPr>
        <w:spacing w:after="0" w:line="126" w:lineRule="exact"/>
        <w:rPr>
          <w:sz w:val="20"/>
          <w:szCs w:val="20"/>
          <w:color w:val="auto"/>
        </w:rPr>
      </w:pP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Net cash used in operating activities was $30.2 million in 2025 and primarily represents payments on employee compensation and benefits, R&amp;D materials, facilities, and professional fees. Net cash used in operating activities decreased by $7.0 million, or 18.9%, from $37.2 million in 2024, primarily due to reduced research and development and general and administrative expenses.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73" w:lineRule="exact"/>
        <w:rPr>
          <w:sz w:val="20"/>
          <w:szCs w:val="20"/>
          <w:color w:val="auto"/>
        </w:rPr>
      </w:pP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Factorial Energy’s cash flows used in investing activities, to date, have been comprised of purchases of property and equipment and purchases and disposals of equipment. Factorial Energy expects the costs to acquire property and equipment to increase in the near future as it builds pilot and sample production line for its FEST Silicon and Solstice programs.</w:t>
      </w:r>
    </w:p>
    <w:p>
      <w:pPr>
        <w:spacing w:after="0" w:line="138"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Net cash from investing activities was $1.3 million in 2025. Cash used for property and equipment purchases was $1.1 million and offset by proceeds from disposals of property and equipment of $2.4 million. Net cash provided in investing activities increased by $3.2 million, from a use of cash of $1.9 million in 2024, primarily due to proceeds received from the disposal of property and equipment from the lease termination.</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73" w:lineRule="exact"/>
        <w:rPr>
          <w:sz w:val="20"/>
          <w:szCs w:val="20"/>
          <w:color w:val="auto"/>
        </w:rPr>
      </w:pPr>
    </w:p>
    <w:p>
      <w:pPr>
        <w:ind w:left="760" w:right="1159" w:firstLine="249"/>
        <w:spacing w:after="0" w:line="278" w:lineRule="auto"/>
        <w:rPr>
          <w:sz w:val="20"/>
          <w:szCs w:val="20"/>
          <w:color w:val="auto"/>
        </w:rPr>
      </w:pPr>
      <w:r>
        <w:rPr>
          <w:rFonts w:ascii="Times New Roman" w:cs="Times New Roman" w:eastAsia="Times New Roman" w:hAnsi="Times New Roman"/>
          <w:sz w:val="14"/>
          <w:szCs w:val="14"/>
          <w:color w:val="auto"/>
        </w:rPr>
        <w:t>Through December 31, 2025, Factorial Energy has financed its operations primarily through the sale of equity securities. In addition, in August 2025, Legacy Factorial entered into agreements for the sale of convertible notes for $10.0 million.</w:t>
      </w:r>
    </w:p>
    <w:p>
      <w:pPr>
        <w:spacing w:after="0" w:line="126"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Net cash from financing activities was $7.3 million in 2025 and primarily represents proceeds from issuance of convertible notes, offset by the payment of a termination fee associated with its exit of its Methuen lease. There were no such events in 2024.</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73"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Factorial leases its headquarters space in Billerica, Massachusetts (the “Billerica Sublease”) under a single sublease classified as an operating lease expiring on October 30th, 2032. The Billerica Sublease does not contain any provision for an extension. Factorial also leased laboratory and office space in Tallahassee, Florida (the “Tallahassee Lease”) under a single lease classified as an operating lease that expired at the end of its term on February 28th,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551" w:right="1440" w:bottom="1440" w:gutter="0" w:footer="0" w:header="0"/>
        </w:sectPr>
      </w:pPr>
    </w:p>
    <w:bookmarkStart w:id="93" w:name="page94"/>
    <w:bookmarkEnd w:id="9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119" w:firstLine="249"/>
        <w:spacing w:after="0" w:line="257" w:lineRule="auto"/>
        <w:rPr>
          <w:sz w:val="20"/>
          <w:szCs w:val="20"/>
          <w:color w:val="auto"/>
        </w:rPr>
      </w:pPr>
      <w:r>
        <w:rPr>
          <w:rFonts w:ascii="Times New Roman" w:cs="Times New Roman" w:eastAsia="Times New Roman" w:hAnsi="Times New Roman"/>
          <w:sz w:val="14"/>
          <w:szCs w:val="14"/>
          <w:color w:val="auto"/>
        </w:rPr>
        <w:t>In January 2026, Factorial entered into agreements with new investors to issue convertible notes where Factorial can receive proceeds up to $5.4 million. Upon the Closing the notes were converted into shares issued by Factorial in conjunction with the Business Combination and exchanged for shares of Series A Common Stock in the Business Combination. As of June 10, 2026, Factorial has received proceeds of $5.4 million.</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Factorial is not a party to any off-balance sheet arrangements, as defined under SEC rules.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three months ended March 31, 2026 compared to those disclosed in our audited annual consolidated financial statements for the year ended December 31, 2025, included in the prospectus.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3" w:lineRule="exact"/>
        <w:rPr>
          <w:sz w:val="20"/>
          <w:szCs w:val="20"/>
          <w:color w:val="auto"/>
        </w:rPr>
      </w:pPr>
    </w:p>
    <w:p>
      <w:pPr>
        <w:ind w:left="760" w:right="979" w:firstLine="249"/>
        <w:spacing w:after="0" w:line="262" w:lineRule="auto"/>
        <w:rPr>
          <w:sz w:val="20"/>
          <w:szCs w:val="20"/>
          <w:color w:val="auto"/>
        </w:rPr>
      </w:pPr>
      <w:r>
        <w:rPr>
          <w:rFonts w:ascii="Times New Roman" w:cs="Times New Roman" w:eastAsia="Times New Roman" w:hAnsi="Times New Roman"/>
          <w:sz w:val="14"/>
          <w:szCs w:val="14"/>
          <w:color w:val="auto"/>
        </w:rPr>
        <w:t>There have been no significant changes to our critical accounting estimates in the preparation of our condensed consolidated financial statements during the three months ended March 31, 2026 compared to those disclosed in our audited annual consolidated financial statements for the year ended December 31, 2025, included in the prospectus.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173"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42"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Factorial Energy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PubCo may continue to qualify as an “emerging growth company” after the Business Combination until the earliest of (i) such time as of which it is a “large accelerated filer”, (ii) its annual gross revenues exceed $1.235 billion, (iii) it issues more than $1 billion of non-convertible debt securities during a three-year period or (iv) the end of the fifth fiscal year after CGC’s IPO, which occurred in 2025.</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3" w:lineRule="exact"/>
        <w:rPr>
          <w:sz w:val="20"/>
          <w:szCs w:val="20"/>
          <w:color w:val="auto"/>
        </w:rPr>
      </w:pPr>
    </w:p>
    <w:p>
      <w:pPr>
        <w:ind w:left="760" w:right="919" w:firstLine="249"/>
        <w:spacing w:after="0" w:line="262" w:lineRule="auto"/>
        <w:rPr>
          <w:sz w:val="20"/>
          <w:szCs w:val="20"/>
          <w:color w:val="auto"/>
        </w:rPr>
      </w:pPr>
      <w:r>
        <w:rPr>
          <w:rFonts w:ascii="Times New Roman" w:cs="Times New Roman" w:eastAsia="Times New Roman" w:hAnsi="Times New Roman"/>
          <w:sz w:val="14"/>
          <w:szCs w:val="14"/>
          <w:color w:val="auto"/>
        </w:rPr>
        <w:t>See Note 2 to the audited consolidated financial statements included in the prospectus for more information about recent accounting pronouncements, the timing of their adoption, and Factorial’s assessment, to the extent it has made one, of their potential impact on Factorial’s financial condition and its results of operations and cash flows.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73" w:lineRule="exact"/>
        <w:rPr>
          <w:sz w:val="20"/>
          <w:szCs w:val="20"/>
          <w:color w:val="auto"/>
        </w:rPr>
      </w:pPr>
    </w:p>
    <w:p>
      <w:pPr>
        <w:ind w:left="760" w:right="879" w:firstLine="249"/>
        <w:spacing w:after="0" w:line="318" w:lineRule="auto"/>
        <w:rPr>
          <w:sz w:val="20"/>
          <w:szCs w:val="20"/>
          <w:color w:val="auto"/>
        </w:rPr>
      </w:pPr>
      <w:r>
        <w:rPr>
          <w:rFonts w:ascii="Times New Roman" w:cs="Times New Roman" w:eastAsia="Times New Roman" w:hAnsi="Times New Roman"/>
          <w:sz w:val="13"/>
          <w:szCs w:val="13"/>
          <w:color w:val="auto"/>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551" w:right="1440" w:bottom="1440" w:gutter="0" w:footer="0" w:header="0"/>
        </w:sectPr>
      </w:pPr>
    </w:p>
    <w:bookmarkStart w:id="94" w:name="page95"/>
    <w:bookmarkEnd w:id="9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73" w:lineRule="exact"/>
        <w:rPr>
          <w:sz w:val="20"/>
          <w:szCs w:val="20"/>
          <w:color w:val="auto"/>
        </w:rPr>
      </w:pPr>
    </w:p>
    <w:p>
      <w:pPr>
        <w:ind w:left="760" w:right="779" w:firstLine="249"/>
        <w:spacing w:after="0" w:line="279" w:lineRule="auto"/>
        <w:rPr>
          <w:sz w:val="20"/>
          <w:szCs w:val="20"/>
          <w:color w:val="auto"/>
        </w:rPr>
      </w:pPr>
      <w:r>
        <w:rPr>
          <w:rFonts w:ascii="Times New Roman" w:cs="Times New Roman" w:eastAsia="Times New Roman" w:hAnsi="Times New Roman"/>
          <w:sz w:val="13"/>
          <w:szCs w:val="13"/>
          <w:color w:val="auto"/>
        </w:rPr>
        <w:t>The market interest risk in Factorial’s financial instruments and financial positions represents the potential loss arising from adverse changes in interest rates. As of March 31, 2026, we had cash and cash equivalents of $25.4 million and restricted cash of $0.9 million, substantially all of which was held in interest-bearing accounts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w:t>
      </w:r>
    </w:p>
    <w:p>
      <w:pPr>
        <w:spacing w:after="0" w:line="128" w:lineRule="exact"/>
        <w:rPr>
          <w:sz w:val="20"/>
          <w:szCs w:val="20"/>
          <w:color w:val="auto"/>
        </w:rPr>
      </w:pPr>
    </w:p>
    <w:p>
      <w:pPr>
        <w:jc w:val="center"/>
        <w:ind w:left="760" w:right="779"/>
        <w:spacing w:after="0" w:line="318" w:lineRule="auto"/>
        <w:rPr>
          <w:sz w:val="20"/>
          <w:szCs w:val="20"/>
          <w:color w:val="auto"/>
        </w:rPr>
      </w:pPr>
      <w:r>
        <w:rPr>
          <w:rFonts w:ascii="Times New Roman" w:cs="Times New Roman" w:eastAsia="Times New Roman" w:hAnsi="Times New Roman"/>
          <w:sz w:val="13"/>
          <w:szCs w:val="13"/>
          <w:color w:val="auto"/>
        </w:rPr>
        <w:t>A significant change in interest rates may also have an impact on the valuation of our equity and equity-linked instruments, as discussed in “Equity Valuations.” This could cause a material change in the carrying value of our equity and equity-linked instruments.</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Factorial’s U.S. entities and certain foreign subsidiaries have the U.S. dollar as their functional currency, while Factorial’s South Korea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551" w:right="1440" w:bottom="1440" w:gutter="0" w:footer="0" w:header="0"/>
        </w:sectPr>
      </w:pPr>
    </w:p>
    <w:bookmarkStart w:id="95" w:name="page96"/>
    <w:bookmarkEnd w:id="9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7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01945" cy="7077710"/>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PERSONS TRANSACTIONS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Factorial Energy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Agreements with Legacy Factorial Stockholders</w:t>
      </w:r>
    </w:p>
    <w:p>
      <w:pPr>
        <w:spacing w:after="0" w:line="173"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In connection with the issuance of Legacy Factorial Series D Preferred Stock, in December 2021, Legacy Factorial entered into the third amended and restated investors’ rights agreement (the “Investors Rights Agreement”), the third amended and restated voting agreement (the “Voting Agreement”) and the third amended and restated right of first refusal and co-sale agreement (the “ROFR Agreement”), in each case, with the purchasers of Legacy Factorial Preferred Stock and certain holders of Legacy Factorial Common Stock, some of which are beneficial owners of more than 5% of Legacy Factorial’s capital stock or are entities with which certain of Legacy Factorial’s directors are affiliated.</w:t>
      </w:r>
    </w:p>
    <w:p>
      <w:pPr>
        <w:spacing w:after="0" w:line="145" w:lineRule="exact"/>
        <w:rPr>
          <w:sz w:val="20"/>
          <w:szCs w:val="20"/>
          <w:color w:val="auto"/>
        </w:rPr>
      </w:pPr>
    </w:p>
    <w:p>
      <w:pPr>
        <w:ind w:left="760" w:right="879" w:firstLine="249"/>
        <w:spacing w:after="0" w:line="283" w:lineRule="auto"/>
        <w:rPr>
          <w:sz w:val="20"/>
          <w:szCs w:val="20"/>
          <w:color w:val="auto"/>
        </w:rPr>
      </w:pPr>
      <w:r>
        <w:rPr>
          <w:rFonts w:ascii="Times New Roman" w:cs="Times New Roman" w:eastAsia="Times New Roman" w:hAnsi="Times New Roman"/>
          <w:sz w:val="13"/>
          <w:szCs w:val="13"/>
          <w:color w:val="auto"/>
        </w:rPr>
        <w:t>The Investors Rights Agreement imposes certain affirmative obligations on Legacy Factorial and also grants certain rights to holders, including certain registration rights with respect to the securities held by them, certain information, and certain additional rights. The Investors Rights Agreement will terminate in connection with the Closing. In replacement thereof, such holders will enter into the A&amp;R Registration Rights Agreement at closing, providing customary registration rights. See “</w:t>
      </w:r>
      <w:r>
        <w:rPr>
          <w:rFonts w:ascii="Times New Roman" w:cs="Times New Roman" w:eastAsia="Times New Roman" w:hAnsi="Times New Roman"/>
          <w:sz w:val="13"/>
          <w:szCs w:val="13"/>
          <w:i w:val="1"/>
          <w:iCs w:val="1"/>
          <w:color w:val="auto"/>
        </w:rPr>
        <w:t>Description of Securities.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jc w:val="both"/>
        <w:ind w:left="760" w:right="1219" w:firstLine="249"/>
        <w:spacing w:after="0" w:line="262" w:lineRule="auto"/>
        <w:rPr>
          <w:sz w:val="20"/>
          <w:szCs w:val="20"/>
          <w:color w:val="auto"/>
        </w:rPr>
      </w:pPr>
      <w:r>
        <w:rPr>
          <w:rFonts w:ascii="Times New Roman" w:cs="Times New Roman" w:eastAsia="Times New Roman" w:hAnsi="Times New Roman"/>
          <w:sz w:val="14"/>
          <w:szCs w:val="14"/>
          <w:color w:val="auto"/>
        </w:rPr>
        <w:t>The Voting Agreement provides drag-along rights in respect of sales by certain Legacy Factorial Stockholders. The Voting Agreement also contains provisions with respect to the election of the Legacy Factorial Board and its composition. The Voting Agreement will terminate in connection with the Closing.</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ROFR Agreement provides for rights of first refusal and co-sale rights in respect of sales by certain Factorial Stockholders.</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ROFR Agreement will terminate in connection with the Closing.</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August Convertible Promissory Notes</w:t>
      </w:r>
    </w:p>
    <w:p>
      <w:pPr>
        <w:spacing w:after="0" w:line="173"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In August 2025, pursuant to a note purchase agreement, Legacy Factorial issued and sold senior secured convertible promissory notes with an aggregate principal amount of $10 million to certain beneficial owners of more than 5% of Legacy Factorial’s capital stock with which certain of Legacy Factorial’s directors are affiliated (the “Convertible Note Purchasers”), which promissory notes were amended on January 20, 2026 (as amended, the “August Convertible Notes”). The August Convertible Notes bear an interest rate of 15% per annum. Upon the earliest of (i) a Qualified Financing (as defined in the August Convertible Notes), (ii) a “Qualified SPAC Transaction” (as defined in the Legacy Factorial Certificate of Incorporation), or (iii) the “Identified SPAC Transaction” (as defined in the August Convertible Notes), the principal amounts and all accrued interest under the August Convertible Notes will automatically convert at a 50% discount to the applicable price of the Qualified Financing, Qualified SPAC Transaction or Identified SPAC Transaction, into (a) the stock of the same class and series of Legacy Factorial’s securities that is issued by Legacy Factorial in the Qualified Financing, or (b) Legacy Factorial Common Stock in the event of a Qualified SPAC Transaction or the Identified SPAC Transaction. The Business Combination constitutes the Identified SPAC Transaction. In a conversion pursuant to an Identified SPAC Transaction, such as the Business Combination, the conversion price of the August Convertible Notes will not exceed $34.0131 per share.</w:t>
      </w:r>
    </w:p>
    <w:p>
      <w:pPr>
        <w:spacing w:after="0" w:line="147"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sets forth the Convertible Notes Purchasers, the original principal amounts and current outstanding amounts under their respective August Convertible Notes and director affiliations.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1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0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8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w:t>
            </w:r>
          </w:p>
        </w:tc>
      </w:tr>
      <w:tr>
        <w:trPr>
          <w:trHeight w:val="125"/>
        </w:trPr>
        <w:tc>
          <w:tcPr>
            <w:tcW w:w="1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1"/>
                <w:szCs w:val="11"/>
                <w:b w:val="1"/>
                <w:bCs w:val="1"/>
                <w:color w:val="auto"/>
              </w:rPr>
              <w:t>Original</w:t>
            </w:r>
          </w:p>
        </w:tc>
        <w:tc>
          <w:tcPr>
            <w:tcW w:w="100" w:type="dxa"/>
            <w:vAlign w:val="bottom"/>
          </w:tcPr>
          <w:p>
            <w:pPr>
              <w:spacing w:after="0"/>
              <w:rPr>
                <w:sz w:val="10"/>
                <w:szCs w:val="10"/>
                <w:color w:val="auto"/>
              </w:rPr>
            </w:pPr>
          </w:p>
        </w:tc>
        <w:tc>
          <w:tcPr>
            <w:tcW w:w="7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10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Times New Roman" w:cs="Times New Roman" w:eastAsia="Times New Roman" w:hAnsi="Times New Roman"/>
                <w:sz w:val="11"/>
                <w:szCs w:val="11"/>
                <w:b w:val="1"/>
                <w:bCs w:val="1"/>
                <w:color w:val="auto"/>
              </w:rPr>
              <w:t>Paid as of</w:t>
            </w:r>
          </w:p>
        </w:tc>
        <w:tc>
          <w:tcPr>
            <w:tcW w:w="8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Paid as of</w:t>
            </w:r>
          </w:p>
        </w:tc>
        <w:tc>
          <w:tcPr>
            <w:tcW w:w="80" w:type="dxa"/>
            <w:vAlign w:val="bottom"/>
          </w:tcPr>
          <w:p>
            <w:pPr>
              <w:spacing w:after="0"/>
              <w:rPr>
                <w:sz w:val="10"/>
                <w:szCs w:val="10"/>
                <w:color w:val="auto"/>
              </w:rPr>
            </w:pPr>
          </w:p>
        </w:tc>
        <w:tc>
          <w:tcPr>
            <w:tcW w:w="64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Payable as of</w:t>
            </w:r>
          </w:p>
        </w:tc>
      </w:tr>
      <w:tr>
        <w:trPr>
          <w:trHeight w:val="135"/>
        </w:trPr>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33"/>
        </w:trPr>
        <w:tc>
          <w:tcPr>
            <w:tcW w:w="3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Convertible Note Purchasers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2025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Stellantis Ventures B.V.</w:t>
            </w:r>
            <w:r>
              <w:rPr>
                <w:rFonts w:ascii="Times New Roman" w:cs="Times New Roman" w:eastAsia="Times New Roman" w:hAnsi="Times New Roman"/>
                <w:sz w:val="20"/>
                <w:szCs w:val="20"/>
                <w:color w:val="auto"/>
                <w:vertAlign w:val="superscript"/>
              </w:rPr>
              <w:t>(1)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2,000,000</w:t>
            </w:r>
          </w:p>
        </w:tc>
        <w:tc>
          <w:tcPr>
            <w:tcW w:w="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128,092</w:t>
            </w:r>
          </w:p>
        </w:tc>
        <w:tc>
          <w:tcPr>
            <w:tcW w:w="20" w:type="dxa"/>
            <w:vAlign w:val="bottom"/>
          </w:tcPr>
          <w:p>
            <w:pPr>
              <w:spacing w:after="0"/>
              <w:rPr>
                <w:sz w:val="24"/>
                <w:szCs w:val="24"/>
                <w:color w:val="auto"/>
              </w:rPr>
            </w:pPr>
          </w:p>
        </w:tc>
      </w:tr>
      <w:tr>
        <w:trPr>
          <w:trHeight w:val="33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Mercedes-Benz Corporate Investments LLC</w:t>
            </w:r>
            <w:r>
              <w:rPr>
                <w:rFonts w:ascii="Times New Roman" w:cs="Times New Roman" w:eastAsia="Times New Roman" w:hAnsi="Times New Roman"/>
                <w:sz w:val="20"/>
                <w:szCs w:val="20"/>
                <w:color w:val="auto"/>
                <w:vertAlign w:val="superscript"/>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2,000,000</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128,092</w:t>
            </w:r>
          </w:p>
        </w:tc>
        <w:tc>
          <w:tcPr>
            <w:tcW w:w="20" w:type="dxa"/>
            <w:vAlign w:val="bottom"/>
          </w:tcPr>
          <w:p>
            <w:pPr>
              <w:spacing w:after="0"/>
              <w:rPr>
                <w:sz w:val="24"/>
                <w:szCs w:val="24"/>
                <w:color w:val="auto"/>
              </w:rPr>
            </w:pPr>
          </w:p>
        </w:tc>
      </w:tr>
      <w:tr>
        <w:trPr>
          <w:trHeight w:val="33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GVP Climate Series SVP LP - Series 3</w:t>
            </w:r>
            <w:r>
              <w:rPr>
                <w:rFonts w:ascii="Times New Roman" w:cs="Times New Roman" w:eastAsia="Times New Roman" w:hAnsi="Times New Roman"/>
                <w:sz w:val="20"/>
                <w:szCs w:val="20"/>
                <w:color w:val="auto"/>
                <w:vertAlign w:val="superscript"/>
              </w:rPr>
              <w:t>(3)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5,500,000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5,500,000</w:t>
            </w:r>
          </w:p>
        </w:tc>
        <w:tc>
          <w:tcPr>
            <w:tcW w:w="7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352,254</w:t>
            </w:r>
          </w:p>
        </w:tc>
        <w:tc>
          <w:tcPr>
            <w:tcW w:w="20" w:type="dxa"/>
            <w:vAlign w:val="bottom"/>
          </w:tcPr>
          <w:p>
            <w:pPr>
              <w:spacing w:after="0"/>
              <w:rPr>
                <w:sz w:val="24"/>
                <w:szCs w:val="24"/>
                <w:color w:val="auto"/>
              </w:rPr>
            </w:pPr>
          </w:p>
        </w:tc>
      </w:tr>
      <w:tr>
        <w:trPr>
          <w:trHeight w:val="166"/>
        </w:trPr>
        <w:tc>
          <w:tcPr>
            <w:tcW w:w="362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GVP Climate Fund I LP</w:t>
            </w:r>
            <w:r>
              <w:rPr>
                <w:rFonts w:ascii="Times New Roman" w:cs="Times New Roman" w:eastAsia="Times New Roman" w:hAnsi="Times New Roman"/>
                <w:sz w:val="19"/>
                <w:szCs w:val="19"/>
                <w:color w:val="auto"/>
                <w:vertAlign w:val="superscript"/>
              </w:rPr>
              <w:t>(4)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2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48" w:lineRule="exact"/>
        <w:rPr>
          <w:sz w:val="20"/>
          <w:szCs w:val="20"/>
          <w:color w:val="auto"/>
        </w:rPr>
      </w:pPr>
    </w:p>
    <w:p>
      <w:pPr>
        <w:jc w:val="both"/>
        <w:ind w:left="1020" w:right="959" w:hanging="256"/>
        <w:spacing w:after="0" w:line="255"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Stellantis Ventures B.V., an affiliate of Stellantis Europe S.p.A. (f/k/a FCA Italy S.p.A.) (“Stellantis Europe”), a holder of more than 5% of Legacy Factorial’s capital stock. Additionally, Michael Bly is employed by an affiliate of Stellantis Europe and is a member of the Legacy Factorial Board.</w:t>
      </w:r>
    </w:p>
    <w:p>
      <w:pPr>
        <w:ind w:left="1020" w:right="1399" w:hanging="256"/>
        <w:spacing w:after="0" w:line="255"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Mercedes-Benz Corporate Investments LLC (“MBCI”) is a holder of more than 5% of Legacy Factorial’s capital stock. Additionally, Uwe Keller is affiliated with Mercedes-Benz and is a member of the Legacy Factorial Board.</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551" w:right="1440"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779" w:hanging="256"/>
        <w:spacing w:after="0" w:line="252"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GVP Climate Series SVP LP - Series 3 is affiliated with GVP Climate Fund I LP, which also holds August Convertible Notes, and with Gatemore Storage Partners II, LLC, Gatemore Special Opportunities Master Fund Ltd, Gatemore Storage Partners, LLC, and Gatemore Storage Partners III, LLC (collectively, “Gatemore”), which collectively holds more than 5% of Factorial’s capital stock. Additionally, Liad Meidar is affiliated with GVP Climate Series SVP LP - Series 3 and Gatemore and is a member of the Factorial Board.</w:t>
      </w:r>
    </w:p>
    <w:p>
      <w:pPr>
        <w:spacing w:after="0" w:line="1" w:lineRule="exact"/>
        <w:rPr>
          <w:rFonts w:ascii="Times New Roman" w:cs="Times New Roman" w:eastAsia="Times New Roman" w:hAnsi="Times New Roman"/>
          <w:sz w:val="14"/>
          <w:szCs w:val="14"/>
          <w:color w:val="auto"/>
        </w:rPr>
      </w:pPr>
    </w:p>
    <w:p>
      <w:pPr>
        <w:ind w:left="1020" w:right="999" w:hanging="256"/>
        <w:spacing w:after="0" w:line="251"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GVP Climate Fund I LP is affiliated with GVP Climate Series SVP LP - Series 3, which also holds August Convertible Notes, and with Gatemore, which collectively holds more than 5% of Factorial Energy’s capital stock. Additionally, Liad Meidar is affiliated with GVP Climate Fund I LP and Gatemore and is a member of the Factorial Energy Board.</w:t>
      </w:r>
    </w:p>
    <w:p>
      <w:pPr>
        <w:spacing w:after="0" w:line="145" w:lineRule="exact"/>
        <w:rPr>
          <w:sz w:val="20"/>
          <w:szCs w:val="20"/>
          <w:color w:val="auto"/>
        </w:rPr>
      </w:pPr>
    </w:p>
    <w:p>
      <w:pPr>
        <w:ind w:left="760" w:right="939" w:firstLine="249"/>
        <w:spacing w:after="0" w:line="262" w:lineRule="auto"/>
        <w:rPr>
          <w:sz w:val="20"/>
          <w:szCs w:val="20"/>
          <w:color w:val="auto"/>
        </w:rPr>
      </w:pPr>
      <w:r>
        <w:rPr>
          <w:rFonts w:ascii="Times New Roman" w:cs="Times New Roman" w:eastAsia="Times New Roman" w:hAnsi="Times New Roman"/>
          <w:sz w:val="14"/>
          <w:szCs w:val="14"/>
          <w:color w:val="auto"/>
        </w:rPr>
        <w:t>In connection with the August Convertible Notes, in August 2025, Legacy Factorial entered into a Security Agreement with the Convertible Note Purchasers pursuant to which Legacy Factorial granted to the Convertible Note Purchasers a security interest in certain property, assets and rights of Legacy Factorial as set forth therein.</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Collaboration agreements with Stellantis Europe and FCA US LLC</w:t>
      </w:r>
    </w:p>
    <w:p>
      <w:pPr>
        <w:spacing w:after="0" w:line="173" w:lineRule="exact"/>
        <w:rPr>
          <w:sz w:val="20"/>
          <w:szCs w:val="20"/>
          <w:color w:val="auto"/>
        </w:rPr>
      </w:pPr>
    </w:p>
    <w:p>
      <w:pPr>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In November 2021, Legacy Factorial entered into a Collaboration Agreement with Stellantis Europe (the “Stellantis Europe Collaboration Agreement”) to design and develop solid-state rechargeable battery cell technology. See “</w:t>
      </w:r>
      <w:r>
        <w:rPr>
          <w:rFonts w:ascii="Times New Roman" w:cs="Times New Roman" w:eastAsia="Times New Roman" w:hAnsi="Times New Roman"/>
          <w:sz w:val="14"/>
          <w:szCs w:val="14"/>
          <w:i w:val="1"/>
          <w:iCs w:val="1"/>
          <w:color w:val="auto"/>
        </w:rPr>
        <w:t>Business - Partnerships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Stellantis.” </w:t>
      </w:r>
      <w:r>
        <w:rPr>
          <w:rFonts w:ascii="Times New Roman" w:cs="Times New Roman" w:eastAsia="Times New Roman" w:hAnsi="Times New Roman"/>
          <w:sz w:val="14"/>
          <w:szCs w:val="14"/>
          <w:color w:val="auto"/>
        </w:rPr>
        <w:t>Stellantis Europe is a holder of more than 5% of Factorial Energy’s capital stock. Additionally, Michael Bly is employed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an affiliate of Stellantis Europe and was a member of the Legacy Factorial Board.</w:t>
      </w:r>
    </w:p>
    <w:p>
      <w:pPr>
        <w:spacing w:after="0" w:line="142"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For the year ended December 31, 2024, the Company received $0.8 million in expense reimbursements for the services provided under the Stellantis Europe Collaboration Agreement, which are recorded net within research and development expenses on the consolidated statement of operations. Amounts due from Stellantis Europe totaled $0.6 million, which are included in receivables under collaboration agreements on the consolidated balance sheet as of December 31, 2024.</w:t>
      </w:r>
    </w:p>
    <w:p>
      <w:pPr>
        <w:spacing w:after="0" w:line="142" w:lineRule="exact"/>
        <w:rPr>
          <w:sz w:val="20"/>
          <w:szCs w:val="20"/>
          <w:color w:val="auto"/>
        </w:rPr>
      </w:pPr>
    </w:p>
    <w:p>
      <w:pPr>
        <w:ind w:left="760" w:right="879" w:firstLine="249"/>
        <w:spacing w:after="0" w:line="252" w:lineRule="auto"/>
        <w:rPr>
          <w:sz w:val="20"/>
          <w:szCs w:val="20"/>
          <w:color w:val="auto"/>
        </w:rPr>
      </w:pPr>
      <w:r>
        <w:rPr>
          <w:rFonts w:ascii="Times New Roman" w:cs="Times New Roman" w:eastAsia="Times New Roman" w:hAnsi="Times New Roman"/>
          <w:sz w:val="14"/>
          <w:szCs w:val="14"/>
          <w:color w:val="auto"/>
        </w:rPr>
        <w:t>In August 2025, Legacy Factorial entered into a Collaboration Agreement with FCA US LLC (the “FCA US Collaboration Agreement”), which replaced the Stellantis Europe Collaboration Agreement. Pursuant to the FCA US Collaboration Agreement, the Company and Stellantis jointly developed a timeline, which includes deliverables of Stellantis to the Company through June 2027 such as module and pack safety reports, battery management system results, installation and retrofitting of test cells, and validation results associated with the demonstration program. During the year ended December 31, 2025, the Company prepaid $2 million to Stellantis for these services. See “</w:t>
      </w:r>
      <w:r>
        <w:rPr>
          <w:rFonts w:ascii="Times New Roman" w:cs="Times New Roman" w:eastAsia="Times New Roman" w:hAnsi="Times New Roman"/>
          <w:sz w:val="14"/>
          <w:szCs w:val="14"/>
          <w:i w:val="1"/>
          <w:iCs w:val="1"/>
          <w:color w:val="auto"/>
        </w:rPr>
        <w:t>Business - Partnerships - Stellantis</w:t>
      </w:r>
      <w:r>
        <w:rPr>
          <w:rFonts w:ascii="Times New Roman" w:cs="Times New Roman" w:eastAsia="Times New Roman" w:hAnsi="Times New Roman"/>
          <w:sz w:val="14"/>
          <w:szCs w:val="14"/>
          <w:color w:val="auto"/>
        </w:rPr>
        <w:t>.” FCA US LLC is an affiliate of Stellantis Europe, a holder of more than 5% of Factorial Energy’s capital stock.</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Sale Purchase Agreement with Hermitage</w:t>
      </w:r>
    </w:p>
    <w:p>
      <w:pPr>
        <w:spacing w:after="0" w:line="173"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In June 2023, Hermitage Investment Fund 1 LP (“Hermitage”), an existing investor in Legacy Factorial, negotiated a sale purchase agreement with certain stockholders in Legacy Factorial for the Series D Preferred Stock price of $34.0131 per share, where the transfer of the shares occurred during the year ended December 31, 2024 (“Secondary Transactions”). Two of the stockholders that were a party of the transaction were certain trusts, of which Dr. Alex Yu, Factorial’s Co-founder and Chief Technology Officer, and Dr. Siyu Huang, Factorial’s Co-founder and Chief Executive Officer, are trustees, respectively. Specifically, Dr. Yu sold 32,693 shares of Legacy Factorial Common Stock and Dr. Huang sold 39,930 shares of Legacy Factorial Common Stock, respectively. The fair value of the Factorial Common Stock at the time of the Secondary Transactions was $4.80 per share and the shares were sold for price of $34.0131 per share, leading to excess of fair value of $29.2131 per share. Additionally, Legacy Factorial determined the excess paid over fair value was not for a purpose clearly other than compensation and therefore, recorded stock-based compensation for the year ended December 31, 2024 of $1.0 million for Dr. Yu and $1.2 million for Dr. Huang related to the incremental fair value received by the employees.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Common Development Agreement with Mercedes-Benz</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In November 2021, Legacy Factorial entered into a Common Development Agreement with Mercedes-Benz, as amended by that certain Amendment #1, dated August 1, 2025 (the “Mercedes-Benz Agreement”) to collaborate to create and develop solid-state battery technology for use in hybrid and battery-powered electric vehicles. See “</w:t>
      </w:r>
      <w:r>
        <w:rPr>
          <w:rFonts w:ascii="Times New Roman" w:cs="Times New Roman" w:eastAsia="Times New Roman" w:hAnsi="Times New Roman"/>
          <w:sz w:val="14"/>
          <w:szCs w:val="14"/>
          <w:i w:val="1"/>
          <w:iCs w:val="1"/>
          <w:color w:val="auto"/>
        </w:rPr>
        <w:t>Business - Partnerships - Mercedes-Benz.”</w:t>
      </w:r>
      <w:r>
        <w:rPr>
          <w:rFonts w:ascii="Times New Roman" w:cs="Times New Roman" w:eastAsia="Times New Roman" w:hAnsi="Times New Roman"/>
          <w:sz w:val="14"/>
          <w:szCs w:val="14"/>
          <w:color w:val="auto"/>
        </w:rPr>
        <w:t xml:space="preserve"> Mercedes-Benz is affiliated with MBCI, a holder of more than 5% of Factorial Energy’s capital stock. Additionally, Uwe Keller is affiliated with Mercedes- Benz and is a member of the Factorial Energy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551" w:right="1440" w:bottom="1440" w:gutter="0" w:footer="0" w:header="0"/>
        </w:sectPr>
      </w:pPr>
    </w:p>
    <w:bookmarkStart w:id="97" w:name="page98"/>
    <w:bookmarkEnd w:id="9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For the year ended December 31, 2024, the Company received $2.6 million in expense reimbursements for the services provided under the Mercedes-Benz Agreement, which are recorded net within research and development expenses on the consolidated statement of operations. Amounts due from Mercedes-Benz totaled $4,000, which are included in receivables under collaboration agreements on the consolidated balance sheet as of December 31, 2024.</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Taylor Consulting Agreement</w:t>
      </w:r>
    </w:p>
    <w:p>
      <w:pPr>
        <w:spacing w:after="0" w:line="173" w:lineRule="exact"/>
        <w:rPr>
          <w:sz w:val="20"/>
          <w:szCs w:val="20"/>
          <w:color w:val="auto"/>
        </w:rPr>
      </w:pPr>
    </w:p>
    <w:p>
      <w:pPr>
        <w:ind w:left="760" w:right="819" w:firstLine="249"/>
        <w:spacing w:after="0" w:line="272" w:lineRule="auto"/>
        <w:rPr>
          <w:sz w:val="20"/>
          <w:szCs w:val="20"/>
          <w:color w:val="auto"/>
        </w:rPr>
      </w:pPr>
      <w:r>
        <w:rPr>
          <w:rFonts w:ascii="Times New Roman" w:cs="Times New Roman" w:eastAsia="Times New Roman" w:hAnsi="Times New Roman"/>
          <w:sz w:val="13"/>
          <w:szCs w:val="13"/>
          <w:color w:val="auto"/>
        </w:rPr>
        <w:t>In March 2020, Legacy Factorial entered into a consulting services agreement with Joseph Taylor, Executive Chairman of the Factorial Energy Board. For the fiscal year ended December 31, 2025, Mr. Taylor was eligible to be paid annual cash fees of $350,004 for services as Executive Chairman of the Factorial Energy Board. However, effective January 1, 2025, Mr. Taylor volunteered for a temporary 50% reduction in his cash fees, which fees were reinstated to their pre-reduction levels effective January 1, 2026.</w:t>
      </w:r>
    </w:p>
    <w:p>
      <w:pPr>
        <w:spacing w:after="0" w:line="2" w:lineRule="exact"/>
        <w:rPr>
          <w:sz w:val="20"/>
          <w:szCs w:val="20"/>
          <w:color w:val="auto"/>
        </w:rPr>
      </w:pPr>
    </w:p>
    <w:p>
      <w:pPr>
        <w:ind w:left="760" w:right="919"/>
        <w:spacing w:after="0" w:line="249" w:lineRule="auto"/>
        <w:rPr>
          <w:sz w:val="20"/>
          <w:szCs w:val="20"/>
          <w:color w:val="auto"/>
        </w:rPr>
      </w:pPr>
      <w:r>
        <w:rPr>
          <w:rFonts w:ascii="Times New Roman" w:cs="Times New Roman" w:eastAsia="Times New Roman" w:hAnsi="Times New Roman"/>
          <w:sz w:val="14"/>
          <w:szCs w:val="14"/>
          <w:color w:val="auto"/>
        </w:rPr>
        <w:t>Mr. Taylor is serving as the Executive Chairman of the Factorial Energy Board. In connection with such service, Mr. Taylor’s compensation was determined by the independent members of the Factorial Energy Board in replacement of the consulting services. For a description of the compensation expected to be paid the Mr. Taylor for his role as Executive Chairman of the Factorial Energy Board, see “</w:t>
      </w:r>
      <w:r>
        <w:rPr>
          <w:rFonts w:ascii="Times New Roman" w:cs="Times New Roman" w:eastAsia="Times New Roman" w:hAnsi="Times New Roman"/>
          <w:sz w:val="14"/>
          <w:szCs w:val="14"/>
          <w:i w:val="1"/>
          <w:iCs w:val="1"/>
          <w:color w:val="auto"/>
        </w:rPr>
        <w:t>Executive and Director Compensation of Factorial - Director Compensation - Non-Employee Director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Policy.</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 and Insurance</w:t>
      </w:r>
    </w:p>
    <w:p>
      <w:pPr>
        <w:spacing w:after="0" w:line="173"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In connection with the Closing, Factorial Energy entered into an indemnification agreement with each of its directors and officers and Factorial Energy purchased, prior to the Closing, directors’ and officers’ liability insurance. The indemnification agreements require Factorial Energy to indemnify its directors and officers to the fullest extent permitted under Delaware law.</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Compensation Arrangements</w:t>
      </w:r>
    </w:p>
    <w:p>
      <w:pPr>
        <w:spacing w:after="0" w:line="173" w:lineRule="exact"/>
        <w:rPr>
          <w:sz w:val="20"/>
          <w:szCs w:val="20"/>
          <w:color w:val="auto"/>
        </w:rPr>
      </w:pPr>
    </w:p>
    <w:p>
      <w:pPr>
        <w:ind w:left="760" w:right="1259" w:firstLine="249"/>
        <w:spacing w:after="0" w:line="278" w:lineRule="auto"/>
        <w:rPr>
          <w:sz w:val="20"/>
          <w:szCs w:val="20"/>
          <w:color w:val="auto"/>
        </w:rPr>
      </w:pPr>
      <w:r>
        <w:rPr>
          <w:rFonts w:ascii="Times New Roman" w:cs="Times New Roman" w:eastAsia="Times New Roman" w:hAnsi="Times New Roman"/>
          <w:sz w:val="14"/>
          <w:szCs w:val="14"/>
          <w:color w:val="auto"/>
        </w:rPr>
        <w:t>Compensation arrangements for Factorial Energy’s named executive officers and directors are described elsewhere in this prospectus. See “</w:t>
      </w:r>
      <w:r>
        <w:rPr>
          <w:rFonts w:ascii="Times New Roman" w:cs="Times New Roman" w:eastAsia="Times New Roman" w:hAnsi="Times New Roman"/>
          <w:sz w:val="14"/>
          <w:szCs w:val="14"/>
          <w:i w:val="1"/>
          <w:iCs w:val="1"/>
          <w:color w:val="auto"/>
        </w:rPr>
        <w:t>Executive and Director Compensation of Factorial.</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CGC</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Founder Shares</w:t>
      </w:r>
    </w:p>
    <w:p>
      <w:pPr>
        <w:spacing w:after="0" w:line="173" w:lineRule="exact"/>
        <w:rPr>
          <w:sz w:val="20"/>
          <w:szCs w:val="20"/>
          <w:color w:val="auto"/>
        </w:rPr>
      </w:pPr>
    </w:p>
    <w:p>
      <w:pPr>
        <w:ind w:left="760" w:right="859" w:firstLine="249"/>
        <w:spacing w:after="0" w:line="251" w:lineRule="auto"/>
        <w:rPr>
          <w:sz w:val="20"/>
          <w:szCs w:val="20"/>
          <w:color w:val="auto"/>
        </w:rPr>
      </w:pPr>
      <w:r>
        <w:rPr>
          <w:rFonts w:ascii="Times New Roman" w:cs="Times New Roman" w:eastAsia="Times New Roman" w:hAnsi="Times New Roman"/>
          <w:sz w:val="14"/>
          <w:szCs w:val="14"/>
          <w:color w:val="auto"/>
        </w:rPr>
        <w:t>On November 12, 2024, the Initial Shareholders paid $25,000, or approximately $0.004 per share, to cover certain of the CGC’s offering and formation costs in exchange for 5,750,000 Founder Shares. Each of CGC’s independent directors, Ali Bouzarif, Kevin Gold and Sanford Litvack, has received for their services as directors an indirect interest in 30,000 Founder Shares through membership interests in DirectorCo. On May 1, 2025, pursuant to a share recapitalization, CGC issued an additional 1,150,000 Founder Shares to the Sponsor (with DirectorCo waiving its entitlement to be issued additional Founder Shares in connection therewith and directing its allotment be issued to the Sponsor), resulting in the Initial Shareholders holding an aggregate of 6,900,000 Founder Shares, with up to 900,000 Founder Shares subject to surrender and forfeiture depending on the extent to which the over-allotment option of the underwriter was exercised. On May 2, 2025, the underwriters exercised their over-allotment option in full, which was settled as part of the closing of the IPO. As a result of the underwriter’s election to fully exercise their over-allotment option, 900,000 Founder Shares were no longer subject to forfeiture by the Sponsor.</w:t>
      </w:r>
    </w:p>
    <w:p>
      <w:pPr>
        <w:spacing w:after="0" w:line="145" w:lineRule="exact"/>
        <w:rPr>
          <w:sz w:val="20"/>
          <w:szCs w:val="20"/>
          <w:color w:val="auto"/>
        </w:rPr>
      </w:pPr>
    </w:p>
    <w:p>
      <w:pPr>
        <w:ind w:left="760" w:right="859" w:firstLine="249"/>
        <w:spacing w:after="0" w:line="279" w:lineRule="auto"/>
        <w:rPr>
          <w:sz w:val="20"/>
          <w:szCs w:val="20"/>
          <w:color w:val="auto"/>
        </w:rPr>
      </w:pPr>
      <w:r>
        <w:rPr>
          <w:rFonts w:ascii="Times New Roman" w:cs="Times New Roman" w:eastAsia="Times New Roman" w:hAnsi="Times New Roman"/>
          <w:sz w:val="13"/>
          <w:szCs w:val="13"/>
          <w:color w:val="auto"/>
        </w:rPr>
        <w:t>Furthermore, in connection with the IPO, the Initial Shareholders, officers and directors have agreed not to transfer, assign or sell any of their Founder Shares and any Factorial Energy Common Stock issuable upon conversion thereof until the earlier to occur of:</w:t>
      </w:r>
    </w:p>
    <w:p>
      <w:pPr>
        <w:ind w:left="760" w:right="779" w:firstLine="4"/>
        <w:spacing w:after="0" w:line="249" w:lineRule="auto"/>
        <w:tabs>
          <w:tab w:leader="none" w:pos="92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year after the completion of the Business Combination or (ii) the date following the completion of the Business Combination on which we complete a liquidation, merger, share exchange or other similar transaction that results in all of our shareholders having the right to exchange their Factorial Energy Common Stock for cash, securities or other property. Notwithstanding the foregoing, if the closing price of the Class A Shares equals or exceeds $12.00 per share (as adjusted for share sub-divisions, share capitalizations, reorganizations, recapitalizations and the like) for any 20 trading days within any 30-trading day period commencing at least 150 days after the Business Combination, the Founder Shares will be released from the lock-up.</w:t>
      </w:r>
    </w:p>
    <w:p>
      <w:pPr>
        <w:spacing w:after="0" w:line="146"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Additionally, concurrently with the execution of the Business Combination Agreement, on December 17, 2025, CGC entered into those certain Investor Stock Purchase Agreements with the Sponsor and the Institutional Investor. Pursuant to the Investor Stock Purchase Agreements, among other things, the Sponsor agreed to transfer an aggregate amount of 1,000,000 CGC Class A Shares to the PIPE Investors.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551" w:right="1440"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of CGC Private Warrants</w:t>
      </w:r>
    </w:p>
    <w:p>
      <w:pPr>
        <w:spacing w:after="0" w:line="173"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Simultaneously with the IPO, CGC consummated the sale of an aggregate of 6,800,000 CGC Private Warrants to the Sponsor and Cantor, the representative of the underwriters of the IPO, at a price of $1.00 per warrant, generating gross proceeds of $6,800,000. Of those 6,800,000 CGC Private Warrants, the Sponsor purchased 4,400,000 CGC Private Warrants and Cantor purchased 2,400,000 CGC Private Warrants. Each Unit consists of one CGC Class A Share and one-half of one redeemable warrant. Each whole warrant entitles the holder to purchase one CGC Class A Share at a price of $11.50 per share.</w:t>
      </w:r>
    </w:p>
    <w:p>
      <w:pPr>
        <w:spacing w:after="0" w:line="142"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The CGC Private Warrants are identical to the warrants underlying the CGC Units sold in the IPO, except that so long as they are held by the initial purchasers or their permitted transferees, they (i) may not (including the CGC Class A Shares issuable upon exercise of the CGC Private Warrants), subject to certain limited exceptions, be transferred, assigned or sold by the holders until 30 days after the completion of the initial Business Combination, (ii) are entitled to registration rights and (iii) with respect to CGC Private Warrants held by Cantor and/or its designees, will not be exercisable more than five years from the commencement of sales in the IPO in accordance with FINRA Rule 5110(g)(8).</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Working Capital Loans</w:t>
      </w:r>
    </w:p>
    <w:p>
      <w:pPr>
        <w:spacing w:after="0" w:line="173"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On October 29, 2024, as amended on March 31, 2025, CGC issued the Sponsor Promissory Note to the Sponsor, pursuant to which CGC may borrow up to an aggregate principal amount of $250,000. The Sponsor Promissory Note was non-interest bearing and payable on the earlier of (i) May 31, 2025 or (ii) the completion of the IPO. As of May 5, 2025, CGC had borrowed $250,000 under the Sponsor Promissory Note, which was repaid simultaneously with the closing of the IPO.</w:t>
      </w:r>
    </w:p>
    <w:p>
      <w:pPr>
        <w:spacing w:after="0" w:line="142" w:lineRule="exact"/>
        <w:rPr>
          <w:sz w:val="20"/>
          <w:szCs w:val="20"/>
          <w:color w:val="auto"/>
        </w:rPr>
      </w:pPr>
    </w:p>
    <w:p>
      <w:pPr>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In connection with the Business Combination, CGC repaid any such Working Capital Loans out of the proceeds of the Trust Account released to CGC without interest. Except for the foregoing, the terms of such Working Capital Loans, if any, have not been determined and no written agreements exist with respect to such loans.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Commencing on May 1, 2025, the effective date of the IPO registration statement, CGC entered into the Administrative Services Agreement with the Sponsor to pay an aggregate of $10,000 per month for office space, utilities, and secretarial and administrative support. For the year ended December 31, 2025, CGC incurred $80,000 in fees for these services, of which such amount is included in accrued expenses in the accompanying balance sheet. As of December 31, 2025 and 2024, CGC had paid $50,000 and $0 on the balance sheet, respectively.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Agreements Related to the Business Combination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Investor Stock Purchase Agreement</w:t>
      </w:r>
    </w:p>
    <w:p>
      <w:pPr>
        <w:spacing w:after="0" w:line="173"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on December 17, 2025, CGC entered into the Sponsor Stock Purchase Agreement with the Sponsor Investor and the Institutional Investor Stock Purchase Agreement with the Institutional Investors. Pursuant to the Investor Stock Purchase Agreements, the PIPE Investors agreed to subscribe for and purchase, and CGC agreed to issue and sell to the PIPE Investors, on the Closing Date, an aggregate number of 9,927,184 shares of Series A Common Stock, at an average subscription price of $10.08 per share (assuming a Redemption Price (as defined in the CGC Articles) of $10.30 per share) for aggregate gross proceeds of $100,000,000 (assuming that no PIPE Investor elects to use Class A ordinary shares held by it (if any) to satisfy its obligations under its respective Investor Stock Purchase Agreement). The Institutional Investor subscribed for 7,500,000 shares of Series A Common Stock at a subscription price of $10.00 per share, and the Sponsor Investor subscribed for 2,427,184 shares of Series A Common Stock (assuming a Redemption Price of $10.30 per share) at a subscription price equal to the Redemption Price. Pursuant to the Investor Stock Purchase Agreements, the Sponsor will transfer at the Closing (which transfer may be indirectly through forfeiture and reissuance) an aggregate of 750,000 shares of Series A Common Stock to the Institutional Investor and 250,000 shares of Series A Common Stock to the Sponsor Investor. The Investor Stock Purchase Agreements provide that CGC will grant the PIPE Investors certain customary registration rights, and do not place any contractual lock-up restrictions on the shares issued or received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551" w:right="1440" w:bottom="1440" w:gutter="0" w:footer="0" w:header="0"/>
        </w:sectPr>
      </w:pPr>
    </w:p>
    <w:bookmarkStart w:id="99" w:name="page100"/>
    <w:bookmarkEnd w:id="9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Lock-Up Restrictions</w:t>
      </w:r>
    </w:p>
    <w:p>
      <w:pPr>
        <w:spacing w:after="0" w:line="173" w:lineRule="exact"/>
        <w:rPr>
          <w:sz w:val="20"/>
          <w:szCs w:val="20"/>
          <w:color w:val="auto"/>
        </w:rPr>
      </w:pPr>
    </w:p>
    <w:p>
      <w:pPr>
        <w:ind w:left="760" w:right="779" w:firstLine="249"/>
        <w:spacing w:after="0" w:line="273" w:lineRule="auto"/>
        <w:rPr>
          <w:sz w:val="20"/>
          <w:szCs w:val="20"/>
          <w:color w:val="auto"/>
        </w:rPr>
      </w:pPr>
      <w:r>
        <w:rPr>
          <w:rFonts w:ascii="Times New Roman" w:cs="Times New Roman" w:eastAsia="Times New Roman" w:hAnsi="Times New Roman"/>
          <w:sz w:val="13"/>
          <w:szCs w:val="13"/>
          <w:color w:val="auto"/>
        </w:rPr>
        <w:t>The Factorial Energy Bylaws provide that the Sponsor and certain Factorial stockholders will be prohibited from transferring (except for certain permitted transfers) any shares of Factorial Energy Series A Common Stock held by such holder (beginning on the Closing Date and ending (i) with respect to 25% of the Lock-Up Shares, on the date 180 days after the Closing Date, (ii) with respect to 25% of the Lock-Up Shares, on the date 270 days after the Closing Date and (iii) with respect to 50% of the Lock-Up Shares, on the first anniversary of the Closing Date; provided, however, that, on the dates on which certain trading price conditions are satisfied, such transfer restrictions will terminate with respect to one-third of the Lock-Up Shares, with such Early Release Lock-Up Shares allocated first among the Lock-Up Shares with the earliest Lock-Up Termination Date that has not yet occurred and successively to each remaining tranche of Lock-Up Shares in chronological order. The foregoing transfer restrictions will not apply to a specified number of shares (such number to be agreed upon prior to Closing) held by each such holder and such specified shares are not Lock-up Shares.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A&amp;R Registration Rights Agreement</w:t>
      </w:r>
    </w:p>
    <w:p>
      <w:pPr>
        <w:spacing w:after="0" w:line="173" w:lineRule="exact"/>
        <w:rPr>
          <w:sz w:val="20"/>
          <w:szCs w:val="20"/>
          <w:color w:val="auto"/>
        </w:rPr>
      </w:pPr>
    </w:p>
    <w:p>
      <w:pPr>
        <w:ind w:left="760" w:right="839" w:firstLine="249"/>
        <w:spacing w:after="0" w:line="269" w:lineRule="auto"/>
        <w:rPr>
          <w:sz w:val="20"/>
          <w:szCs w:val="20"/>
          <w:color w:val="auto"/>
        </w:rPr>
      </w:pPr>
      <w:r>
        <w:rPr>
          <w:rFonts w:ascii="Times New Roman" w:cs="Times New Roman" w:eastAsia="Times New Roman" w:hAnsi="Times New Roman"/>
          <w:sz w:val="13"/>
          <w:szCs w:val="13"/>
          <w:color w:val="auto"/>
        </w:rPr>
        <w:t>In connection with the Closing, Factorial Energy, Sponsor, Cantor and certain stockholders of Legacy Factorial entered into the A&amp;R Registration Rights Agreement. Pursuant to the A&amp;R Registration Rights Agreement, among other things, Factorial Energy agreed that, within 30 calendar days following the Closing Date, Factorial Energy will file with the SEC (at Factorial Energy’s sole cost and expense) a Resale Registration Statement registering the resale of certain shares of Factorial Energy Series A Common Stock held by or issuable to the parties thereto, and Factorial Energy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A&amp;R Registration Rights Agreement amends and restates the registration rights agreement that was entered into by CGC, Cantor, the Sponsor and CGC</w:t>
      </w:r>
    </w:p>
    <w:p>
      <w:pPr>
        <w:spacing w:after="0" w:line="4" w:lineRule="exact"/>
        <w:rPr>
          <w:sz w:val="20"/>
          <w:szCs w:val="20"/>
          <w:color w:val="auto"/>
        </w:rPr>
      </w:pPr>
    </w:p>
    <w:p>
      <w:pPr>
        <w:ind w:left="760" w:right="779" w:firstLine="4"/>
        <w:spacing w:after="0" w:line="250" w:lineRule="auto"/>
        <w:tabs>
          <w:tab w:leader="none" w:pos="93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 DirectorCo LLC in connection with the IPO. The Registration Rights Agreement will terminate on the earlier of (a) the seven year anniversary of the date of the Registration Rights Agreement or (b) with respect to any holder party thereto, on the date that such holder no longer holds any Registrable Securities (as defined therein). The PIPE Investors also have registration rights pursuant to the terms of the Investor Stock Purchase Agreements.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Policies and Procedures for Related Persons Transactions</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Company adopted a related party transaction approval policy and the Company’s audit committee is responsible for the review, consideration and approval or ratification of related party transactions. For purposes of the Company’s policy,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spacing w:after="0" w:line="142" w:lineRule="exact"/>
        <w:rPr>
          <w:sz w:val="20"/>
          <w:szCs w:val="20"/>
          <w:color w:val="auto"/>
        </w:rPr>
      </w:pPr>
    </w:p>
    <w:p>
      <w:pPr>
        <w:ind w:left="1280" w:right="859" w:hanging="246"/>
        <w:spacing w:after="0" w:line="278" w:lineRule="auto"/>
        <w:tabs>
          <w:tab w:leader="none" w:pos="1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one of the Company’s executive officers or a member of our board of directors;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by the Company to be the beneficial owner of more than five percent (5%) of its voting stock;</w:t>
      </w:r>
    </w:p>
    <w:p>
      <w:pPr>
        <w:spacing w:after="0" w:line="171" w:lineRule="exact"/>
        <w:rPr>
          <w:rFonts w:ascii="Times New Roman" w:cs="Times New Roman" w:eastAsia="Times New Roman" w:hAnsi="Times New Roman"/>
          <w:sz w:val="14"/>
          <w:szCs w:val="14"/>
          <w:color w:val="auto"/>
        </w:rPr>
      </w:pPr>
    </w:p>
    <w:p>
      <w:pPr>
        <w:ind w:left="1280" w:right="819" w:hanging="246"/>
        <w:spacing w:after="0" w:line="257" w:lineRule="auto"/>
        <w:tabs>
          <w:tab w:leader="none" w:pos="1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our voting stock, and any person sharing the household of such director, executive officer or beneficial owner of more than five percent (5%) of its voting stock; and</w:t>
      </w:r>
    </w:p>
    <w:p>
      <w:pPr>
        <w:spacing w:after="0" w:line="141" w:lineRule="exact"/>
        <w:rPr>
          <w:rFonts w:ascii="Times New Roman" w:cs="Times New Roman" w:eastAsia="Times New Roman" w:hAnsi="Times New Roman"/>
          <w:sz w:val="14"/>
          <w:szCs w:val="14"/>
          <w:color w:val="auto"/>
        </w:rPr>
      </w:pPr>
    </w:p>
    <w:p>
      <w:pPr>
        <w:ind w:left="1280" w:right="839" w:hanging="246"/>
        <w:spacing w:after="0" w:line="278" w:lineRule="auto"/>
        <w:tabs>
          <w:tab w:leader="none" w:pos="1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firm, corporation or other entity in which any of the foregoing persons is a partner or principal or in a similar position or in which such person has a 10 percent (10%) or greater beneficial ownership interest.</w:t>
      </w:r>
    </w:p>
    <w:p>
      <w:pPr>
        <w:spacing w:after="0" w:line="126" w:lineRule="exact"/>
        <w:rPr>
          <w:sz w:val="20"/>
          <w:szCs w:val="20"/>
          <w:color w:val="auto"/>
        </w:rPr>
      </w:pPr>
    </w:p>
    <w:p>
      <w:pPr>
        <w:jc w:val="both"/>
        <w:ind w:left="760" w:right="979" w:firstLine="249"/>
        <w:spacing w:after="0" w:line="262" w:lineRule="auto"/>
        <w:rPr>
          <w:sz w:val="20"/>
          <w:szCs w:val="20"/>
          <w:color w:val="auto"/>
        </w:rPr>
      </w:pPr>
      <w:r>
        <w:rPr>
          <w:rFonts w:ascii="Times New Roman" w:cs="Times New Roman" w:eastAsia="Times New Roman" w:hAnsi="Times New Roman"/>
          <w:sz w:val="14"/>
          <w:szCs w:val="14"/>
          <w:color w:val="auto"/>
        </w:rPr>
        <w:t>The Company has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551" w:right="1440" w:bottom="1440" w:gutter="0" w:footer="0" w:header="0"/>
        </w:sectPr>
      </w:pPr>
    </w:p>
    <w:bookmarkStart w:id="100" w:name="page101"/>
    <w:bookmarkEnd w:id="10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3"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following sets forth certain information, as of the date of this prospectus, concerning the persons who serve as directors and executive officers of Factorial Energy.</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54"/>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157"/>
        </w:trPr>
        <w:tc>
          <w:tcPr>
            <w:tcW w:w="31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Siyu Huang, Ph.D.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6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Co-founder, Chief Executive Officer and Director</w:t>
            </w:r>
          </w:p>
        </w:tc>
      </w:tr>
      <w:tr>
        <w:trPr>
          <w:trHeight w:val="16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Alex Yu, Ph.D.</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Co-founder, Chief Technology Officer and Director</w:t>
            </w:r>
          </w:p>
        </w:tc>
      </w:t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Richard Wei</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6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Jason Duva</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Counsel and Secretary</w:t>
            </w:r>
          </w:p>
        </w:tc>
      </w:t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(excluding those already listed above)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6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Joseph M. Taylor</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Chairperson</w:t>
            </w:r>
          </w:p>
        </w:tc>
      </w:t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Uwe Keller</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6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Liad Meidar</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Dieter Zetsche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6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Jon Nelson</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6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71"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b w:val="1"/>
          <w:bCs w:val="1"/>
          <w:color w:val="auto"/>
        </w:rPr>
        <w:t>Siyu Huang, Ph.D.</w:t>
      </w:r>
      <w:r>
        <w:rPr>
          <w:rFonts w:ascii="Times New Roman" w:cs="Times New Roman" w:eastAsia="Times New Roman" w:hAnsi="Times New Roman"/>
          <w:sz w:val="14"/>
          <w:szCs w:val="14"/>
          <w:color w:val="auto"/>
        </w:rPr>
        <w:t>, has served as the Chief Executive Officer of Factorial Energy since June 2026. Previously, Dr. Huang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Legacy Factorial’s Co-founder and Chief Executive Officer since January 2020 and as a member of the Legacy Factorial Board from August 2019 to June 2026. Dr. Huang co-founded Lionano Inc., a battery materials company and predecessor to Legacy Factorial, where she served on the Board of Directors from inception and held successive operational roles, including VP of Business Development and subsequently Chief Operating Officer, from October 2013 to October 2019. From 2014 to 2017, Dr. Huang participated in the Marketing Leadership Development Program at Johnson &amp; Johnson. Dr. Huang holds a Ph.D. in Chemistry, M.S. in Chemistry, and an MBA from Cornell University, and a B.S. in Chemistry from Xiamen University. We believe that Dr. Huang is qualified to serve on the Factorial Energy Board based on her record in building battery material, advancing solid-state battery technology from concept to deployment and securing strategic partnerships and financings for Factorial in her role as Chief Executive Officer. She has been recognized as one of Inc.’s Female Founders 250 (2024, 2025), a Boston Globe Tech Power Player (2023, 2025), and as one of Automotive News 100 Leading Women (2025). Dr. Huang is married to Dr. Yu, Factorial Energy’s Co-founder, Chief Technology Officer and Director.</w:t>
      </w:r>
    </w:p>
    <w:p>
      <w:pPr>
        <w:spacing w:after="0" w:line="148"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b w:val="1"/>
          <w:bCs w:val="1"/>
          <w:color w:val="auto"/>
        </w:rPr>
        <w:t>Alex Yu, Ph.D.</w:t>
      </w:r>
      <w:r>
        <w:rPr>
          <w:rFonts w:ascii="Times New Roman" w:cs="Times New Roman" w:eastAsia="Times New Roman" w:hAnsi="Times New Roman"/>
          <w:sz w:val="14"/>
          <w:szCs w:val="14"/>
          <w:color w:val="auto"/>
        </w:rPr>
        <w:t>, has served as the Chief Technology Officer of Factorial Energy since June 2026. Previously, Dr. Yu served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Legacy Factorial’s Co-founder and Chief Technology Officer from May 2022 to June 2026 and as a member of the Legacy Factorial Board since August 2019. From January 2020 to May 2022, Dr. Yu served as Legacy Factorial’s President, and from August 2019 to December 2019 served as Legacy Factorial’s CEO. Previously, from October 2013 to October 2019, Dr. Yu served as chief executive officer and founder of Lionano Inc., a predecessor to Legacy Factorial. Dr. Yu holds a Ph.D. in Chemistry from Cornell University and a B.S. in Chemistry from Xiamen University. We believe that Dr. Yu is qualified to serve on the Factorial Energy Board based on his extensive battery materials and electrochemistry background and leadership in developing automotive-grade solid-state cells, and his knowledge of Factorial Energy from his role as Factorial’s Chief Technology Officer. Dr. Yu is married to Dr. Huang, Factorial Energy’s Co-founder, Chief Executive Officer and Director.</w:t>
      </w:r>
    </w:p>
    <w:p>
      <w:pPr>
        <w:spacing w:after="0" w:line="147"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Richard Wei </w:t>
      </w:r>
      <w:r>
        <w:rPr>
          <w:rFonts w:ascii="Times New Roman" w:cs="Times New Roman" w:eastAsia="Times New Roman" w:hAnsi="Times New Roman"/>
          <w:sz w:val="14"/>
          <w:szCs w:val="14"/>
          <w:color w:val="auto"/>
        </w:rPr>
        <w:t>has served as the Chief Financial Officer of Factorial Energy since June 2026. Previously, Mr. Wei served as Legacy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Factorial’s Chief Financial Officer from December 2025 to June 2026 and served as a financial advisor to Legacy Factorial from September 2025 to December 2025. From April 2018 to October 2020, Mr. Wei served as chief financial officer to ECMOHO Limited, a health and wellness e-commerce and integrated solutions company. Prior to that, Mr. Wei served as chief financial officer of five Nasdaq-listed technology, semiconductor, and online media companies for a total of over 18 years, including at Shanda Games Limited, Spreadtrum Communications, Inc., Silicon Motion Technology Corporation (Nasdaq:SIMO), Kong-Zhong Corporation, and ASE Test Limited. Earlier in his career, Mr. Wei spent six years as an equity research analyst covering the Asian technology and semiconductor sectors at Lehman Brothers Asia and Morgan Stanley Asia Limited. Mr. Wei also held various roles at companies such as IBM, Morgan Stanley and Lehman Brothers. Mr. Wei holds an MBA from Cornell University and an S.B. in Computer Science from Massachusetts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551" w:right="1440" w:bottom="1440" w:gutter="0" w:footer="0" w:header="0"/>
        </w:sectPr>
      </w:pPr>
    </w:p>
    <w:bookmarkStart w:id="101" w:name="page102"/>
    <w:bookmarkEnd w:id="10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Jason Duva </w:t>
      </w:r>
      <w:r>
        <w:rPr>
          <w:rFonts w:ascii="Times New Roman" w:cs="Times New Roman" w:eastAsia="Times New Roman" w:hAnsi="Times New Roman"/>
          <w:sz w:val="14"/>
          <w:szCs w:val="14"/>
          <w:color w:val="auto"/>
        </w:rPr>
        <w:t>has served as Factorial Energy’s General Counsel and Head of Government Affairs since June 2026. Previously,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Mr. Duva served as Legacy Factorial’s General Counsel since April 2022 and as Head of Government Affairs from December 2024 to June 2026. From December 2020 to April 2022, Mr. Duva served as general counsel &amp; chief administrative officer of Latham Group, Inc. (Nasdaq:SWIM), a global manufacturer of residential swimming pools and related products. Previously, from February 2005 to October 2020, Mr. Duva worked at Avid Technology, Inc., a global technology company, where he most recently served as executive vice president, chief legal and administrative officer and advisor. Mr. Duva holds a J.D. from Boston College Law School and an A.B. in Political Science from Brown University.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Directors (excluding those already listed above)</w:t>
      </w:r>
    </w:p>
    <w:p>
      <w:pPr>
        <w:spacing w:after="0" w:line="140" w:lineRule="exact"/>
        <w:rPr>
          <w:sz w:val="20"/>
          <w:szCs w:val="20"/>
          <w:color w:val="auto"/>
        </w:rPr>
      </w:pPr>
    </w:p>
    <w:p>
      <w:pPr>
        <w:ind w:left="760" w:right="819" w:firstLine="249"/>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Joseph M. Taylor </w:t>
      </w:r>
      <w:r>
        <w:rPr>
          <w:rFonts w:ascii="Times New Roman" w:cs="Times New Roman" w:eastAsia="Times New Roman" w:hAnsi="Times New Roman"/>
          <w:sz w:val="13"/>
          <w:szCs w:val="13"/>
          <w:color w:val="auto"/>
        </w:rPr>
        <w:t>has served as the Executive Chairman of the Factorial Energy Board since June 2026. Previously, Mr. Taylor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served as Executive Chairman of the Legacy Factorial Board from May 2020 to June 2026. Mr. Taylor has served as director of CeriBell, Inc. (Nasdaq:CBLL) since May 2017. Previously, Mr. Taylor held various roles of increasing responsibility at Panasonic Corporation of North America (OTCMKTS: PCRFY), a diversified electronics and technology company with businesses spanning consumer electronics, automotive systems, energy storage, and industrial solutions, from September 1983 to April 2017, serving most recently as Chairman and Chief Executive Officer from April 2010 to April 2017. During this tenure, Mr. Taylor also served as Managing Executive Officer of parent company Panasonic Corporation for 12 years. Mr. Taylor also served as Vice-Chairman of the board of Trustees of the New Jersey Institute of Technology, a public polytechnic university, from June 2014 to June 2022 and has served as an advisory board member of WAVE Equity Partners, a private equity firm, since September 2023 and as an Advisor to Plug and Play, a startup accelerator. Mr. Taylor holds a B.A. from LaSalle College and an honorary doctorate from the New Jersey Institute of Technology. We believe that Mr. Taylor is qualified to serve on the Factorial Energy Board due to his extensive experience in leading a large and innovative technology company and experience in corporate governance and business strategy.</w:t>
      </w:r>
    </w:p>
    <w:p>
      <w:pPr>
        <w:spacing w:after="0" w:line="104"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b w:val="1"/>
          <w:bCs w:val="1"/>
          <w:color w:val="auto"/>
        </w:rPr>
        <w:t>Uwe Keller, Ph.D.</w:t>
      </w:r>
      <w:r>
        <w:rPr>
          <w:rFonts w:ascii="Times New Roman" w:cs="Times New Roman" w:eastAsia="Times New Roman" w:hAnsi="Times New Roman"/>
          <w:sz w:val="14"/>
          <w:szCs w:val="14"/>
          <w:color w:val="auto"/>
        </w:rPr>
        <w:t>, has served as a member of the Factorial Energy Board since June 2026. Previously, Dr. Keller served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 of the Legacy Factorial Board from February 2022 to June 2026. Dr. Keller has also served as Director of Battery Development at Mercedes-Benz AG, an automotive manufacturer, since January 2021. Previously, Dr. Keller served in various leadership roles at Mercedes-Benz AG, including Director of Autonomous Driving from March 2018 to December 2020 and Director of Drivetrain Systems from January 2015 to February 2018, and held positions of increasing responsibility at Mercedes-Benz AG from April 2000 to December 2014. Dr. Keller holds a Ph.D. in Control Engineering from Heriot-Watt University and a Diploma (Master) in Electrical Engineering from the Technical University Darmstadt. We believe that Dr. Keller is qualified to serve on the Factorial Energy Board due to his extensive experience in automotive engineering, including battery systems and autonomous driving technologies, as well as his leadership experience at a global automotive manufacturer.</w:t>
      </w:r>
    </w:p>
    <w:p>
      <w:pPr>
        <w:spacing w:after="0" w:line="12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Liad Meidar </w:t>
      </w:r>
      <w:r>
        <w:rPr>
          <w:rFonts w:ascii="Times New Roman" w:cs="Times New Roman" w:eastAsia="Times New Roman" w:hAnsi="Times New Roman"/>
          <w:sz w:val="14"/>
          <w:szCs w:val="14"/>
          <w:color w:val="auto"/>
        </w:rPr>
        <w:t>has served as a member of the Factorial Energy Board since June 2026. Previously, Mr. Meidar served as a member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Legacy Factorial Board from May 2021 to June 2026. Mr. Meidar is the Founder and Managing Partner of Gatemore Capital Management, a principal investment firm focused on special situations and growth opportunities across public and private markets, a position he has held since May 2005. Mr. Meidar is also Co-Founder of GVP Climate, an affiliate of Gatemore Capital Management focused on climate technology investments. In addition, Mr. Meidar has served as Executive Chairman of GSE Worldwide, Inc., a sports marketing and talent management agency, since December 2018, and as Chairman of Adronite, Inc., an AI codebase intelligence technology company, since February 2026 (and board member since April 2025). Mr. Meidar has also served as a board member of Malibu Life Holdings Limited (LSE: MLHL)since May 2024 and SurvivorNet Inc. since November 2019. He has served on the Dean’s Advisory Council at Princeton University since April 2010. Mr. Meidar holds a Bachelor of Arts in Economics from Princeton University. We believe that Mr. Meidar is qualified to serve on the Factorial Energy Board due to his extensive experience as a principal investor and board member across public and private companies, including his expertise in capital allocation, strategic growth initiatives and governance of technology and climate-focused businesses.</w:t>
      </w:r>
    </w:p>
    <w:p>
      <w:pPr>
        <w:spacing w:after="0" w:line="117" w:lineRule="exact"/>
        <w:rPr>
          <w:sz w:val="20"/>
          <w:szCs w:val="20"/>
          <w:color w:val="auto"/>
        </w:rPr>
      </w:pPr>
    </w:p>
    <w:p>
      <w:pPr>
        <w:ind w:left="760" w:right="799" w:firstLine="249"/>
        <w:spacing w:after="0" w:line="271" w:lineRule="auto"/>
        <w:rPr>
          <w:sz w:val="20"/>
          <w:szCs w:val="20"/>
          <w:color w:val="auto"/>
        </w:rPr>
      </w:pPr>
      <w:r>
        <w:rPr>
          <w:rFonts w:ascii="Times New Roman" w:cs="Times New Roman" w:eastAsia="Times New Roman" w:hAnsi="Times New Roman"/>
          <w:sz w:val="13"/>
          <w:szCs w:val="13"/>
          <w:b w:val="1"/>
          <w:bCs w:val="1"/>
          <w:color w:val="auto"/>
        </w:rPr>
        <w:t>Dieter Zetsche, Ph.D.</w:t>
      </w:r>
      <w:r>
        <w:rPr>
          <w:rFonts w:ascii="Times New Roman" w:cs="Times New Roman" w:eastAsia="Times New Roman" w:hAnsi="Times New Roman"/>
          <w:sz w:val="13"/>
          <w:szCs w:val="13"/>
          <w:color w:val="auto"/>
        </w:rPr>
        <w:t>, has served as Chairman of the Supervisory Board of TUI Group AG, a global tourism company, since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June 2019, where he also serves on the audit and nomination committees. Dr. Zetsche has also served as a Senior Advisor at Perella Weinberg Partners since April 2024. Dr. Zetsche previously served as Vice Chairman of the board of Kensington Capital Acquisition Corp IV from March 2022 to September 2022 and Kensington Capital Acquisition Corp VI from March 2026. Previously, Dr. Zetsche served as Chairman of the Board of Management (Chief Executive Officer) of Daimler AG (formerly DaimlerChrysler AG), a global automotive manufacturer, from 2006 to 2019, and concurrently served as Head of Mercedes-Benz’ Cars Division from 2005 to 2019. Earlier in his career, Dr. Zetsche served as President and Chief Executive Officer of Chrysler Group from 2000 to 2005 and held various senior leadership roles at Daimler-Benz AG and its affiliates from 1992 to 2005, including responsibility for passenger car development and commercial vehicles. Dr. Zetsche holds a Doctor-Ingenieur from Technische Universität Paderborn and a Diplom-Ingenieur in Electrical Engineering from the Karlsruhe Institute of Technology. We believe that Dr. Zetsche is qualified to serve on the Factorial Energy Board due to his extensive leadership experience in the global automotive industry, including decades of executive and board-level experience overseeing large-scale manufacturing, technology innovation and international business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551" w:right="1440"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Jon K. Nelson </w:t>
      </w:r>
      <w:r>
        <w:rPr>
          <w:rFonts w:ascii="Times New Roman" w:cs="Times New Roman" w:eastAsia="Times New Roman" w:hAnsi="Times New Roman"/>
          <w:sz w:val="14"/>
          <w:szCs w:val="14"/>
          <w:color w:val="auto"/>
        </w:rPr>
        <w:t>has served as Chief Executive Officer of Stellantis Financial Services, the financial service operations of Stellantis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N.V. (NYSE:STLA), since January 2026. From April 2024 to December 2025, Mr. Nelson served as a Partner and Automotive Deals Co-Leader at PricewaterhouseCoopers (“PwC”). From January 2021 to February 2024, Mr. Nelson served as Senior Vice President of Finance, Product Planning, Capital Allocation &amp; Synergies at Stellantis N.V. Prior to that, Mr. Nelson served as Chief Accounting Officer and Group Controller of Fiat Chrysler Automobiles N.V. from February 2015 to January 2021, which merged with Groupe PSA to become Stellantis N.V. Earlier in his career, Mr. Nelson served in various roles, including in capital markets and accounting advisory roles, at PwC from August 2005 to January 2015. Mr. Nelson has also served as a member of the IFRS Interpretations Committee from August 2020 to March 2024. Mr. Nelson holds a Bachelor of Business Administration in Accounting from the University of Iowa. He is a licensed Certified Public Accountant (“CPA”) and holds a current active Michigan CPA license. We believe that Mr. Nelson is qualified to serve on the Factorial Energy Board due to his extensive experience in financial reporting, accounting, capital markets advisory, and senior finance leadership roles across the global automotive industry, including his expertise in SEC reporting, SOX compliance, M&amp;A transactions, and corporate governance.</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73"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The Factorial Energy Board manages the business and affairs of Factorial Energy, as provided by Delaware law, and conducts its business through meetings of the board of directors and its standing committees. The Factorial Energy Board consists of seven members; provided, that at least a majority of the Factorial Energy Board qualifies as independent directors (as such term is defined under Nasdaq rules). The primary responsibilities of the Factorial Energy Board are to provide risk oversight and strategic guidance to Factorial Energy and to counsel and direct Factorial Energy’s management. The Factorial Energy Board meets on a regular basis and convenes additional meetings, as required.</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Staggered Board</w:t>
      </w:r>
    </w:p>
    <w:p>
      <w:pPr>
        <w:spacing w:after="0" w:line="173"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In accordance with the terms of the Factorial Energy Charter and Factorial Energy Bylaws, the Factorial Energy Board is divided into three staggered classes of directors and each director is assigned to one of the three classes. At each regularly scheduled annual meeting of the stockholders, one class of directors will be elected for a three-year term to succeed the directors of the same class whose terms are then expiring. The terms of the directors will expire upon the election and qualification of successor directors at the regularly scheduled annual meeting of stockholders to be held during the years 2027 for Class I directors, 2028 for Class II directors and 2029 for Class III directors.</w:t>
      </w:r>
    </w:p>
    <w:p>
      <w:pPr>
        <w:spacing w:after="0" w:line="145" w:lineRule="exact"/>
        <w:rPr>
          <w:sz w:val="20"/>
          <w:szCs w:val="20"/>
          <w:color w:val="auto"/>
        </w:rPr>
      </w:pPr>
    </w:p>
    <w:p>
      <w:pPr>
        <w:ind w:left="1280" w:hanging="246"/>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 Energy’s Class I directors are Liad Meidar and Jon Nelson;</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 Energy’s Class II directors are Uwe Keller, Alex Yu, and Dieter Zetsche;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Factorial Energy’s Class III directors are Siyu Huang and Joseph Taylor.</w:t>
      </w:r>
    </w:p>
    <w:p>
      <w:pPr>
        <w:spacing w:after="0" w:line="171" w:lineRule="exact"/>
        <w:rPr>
          <w:sz w:val="20"/>
          <w:szCs w:val="20"/>
          <w:color w:val="auto"/>
        </w:rPr>
      </w:pPr>
    </w:p>
    <w:p>
      <w:pPr>
        <w:ind w:left="760" w:right="919" w:firstLine="249"/>
        <w:spacing w:after="0" w:line="255" w:lineRule="auto"/>
        <w:rPr>
          <w:sz w:val="20"/>
          <w:szCs w:val="20"/>
          <w:color w:val="auto"/>
        </w:rPr>
      </w:pPr>
      <w:r>
        <w:rPr>
          <w:rFonts w:ascii="Times New Roman" w:cs="Times New Roman" w:eastAsia="Times New Roman" w:hAnsi="Times New Roman"/>
          <w:sz w:val="14"/>
          <w:szCs w:val="14"/>
          <w:color w:val="auto"/>
        </w:rPr>
        <w:t xml:space="preserve">The Factorial Energy Charter and the Factorial Energy Bylaws that each became effective upon the Domestication provide that the number of directors that constitutes the Factorial Energy Board shall be fixed from time to time by a resolution of the Factorial Energy Board. If the number of directors is thereafter changed, any increase or decrease in directorships is apportioned among the classes by the Factorial Energy Board so as to make all classes as nearly equal in number as is practicable,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no decrease in the number of directors constituting the Factorial Energy Board shortens the term of any incumbent director.</w:t>
      </w:r>
    </w:p>
    <w:p>
      <w:pPr>
        <w:spacing w:after="0" w:line="142"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The division of the Factorial Energy Board into three classes with staggered three-year terms may delay or prevent stockholder efforts to effect a change of Factorial Energy management or a change in control.</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Series A Common Stock, Factorial Energy adheres to the rules of Nasdaq in determining whether a director is independent. The Factorial Board has consulted, and the Factorial Energy Board consults,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The parties have determined that Uwe Keller, Liad Meidar, Dieter Zetsche and Jon Nelson are considered independent directors of Factorial Energy. Factorial Energy’s independent directors have regularly scheduled meetings at which only independent directors are present.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551" w:right="1440"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019" w:firstLine="249"/>
        <w:spacing w:after="0" w:line="262" w:lineRule="auto"/>
        <w:rPr>
          <w:sz w:val="20"/>
          <w:szCs w:val="20"/>
          <w:color w:val="auto"/>
        </w:rPr>
      </w:pPr>
      <w:r>
        <w:rPr>
          <w:rFonts w:ascii="Times New Roman" w:cs="Times New Roman" w:eastAsia="Times New Roman" w:hAnsi="Times New Roman"/>
          <w:sz w:val="14"/>
          <w:szCs w:val="14"/>
          <w:color w:val="auto"/>
        </w:rPr>
        <w:t>Factorial Energy’s Co-founder, Chief Executive Officer and Director, Dr. Huang, and Factorial Energy’s Co-founder, Chief Technology Officer and Director, Dr. Yu, are married to each other. There are no other family relationships among any of Factorial Energy’s executive officers and directors.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73"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At the Closing, the Factorial Energy Board has an audit committee, a compensation committee and a nominating and corporate governance committee, each of which operates under a written charter effective since the Closing of the Business Combination, which satisfies the applicable Nasdaq Listing Rules. In addition, from time to time, special committees may be established under the direction of the Factorial Energy Board when necessary to address specific issues. Copies of each board committee’s charter are posted on Factorial Energy’s website. Factorial Energy’s website and the information contained on, or that can be accessed through, such website are not deemed to be incorporated by reference in, and are not considered part of, this prospectus. The composition and responsibilities of each of the committees of the Factorial Energy Board are described below. Members serve on these committees until their resignation or until otherwise determined by the Factorial Energy Board.</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73" w:lineRule="exact"/>
        <w:rPr>
          <w:sz w:val="20"/>
          <w:szCs w:val="20"/>
          <w:color w:val="auto"/>
        </w:rPr>
      </w:pPr>
    </w:p>
    <w:p>
      <w:pPr>
        <w:ind w:left="760" w:right="1139" w:firstLine="249"/>
        <w:spacing w:after="0" w:line="278" w:lineRule="auto"/>
        <w:rPr>
          <w:sz w:val="20"/>
          <w:szCs w:val="20"/>
          <w:color w:val="auto"/>
        </w:rPr>
      </w:pPr>
      <w:r>
        <w:rPr>
          <w:rFonts w:ascii="Times New Roman" w:cs="Times New Roman" w:eastAsia="Times New Roman" w:hAnsi="Times New Roman"/>
          <w:sz w:val="14"/>
          <w:szCs w:val="14"/>
          <w:color w:val="auto"/>
        </w:rPr>
        <w:t>Following the Business Combination, the Factorial Energy audit committee consists of Liad Meidar, Dieter Zetsche and Jon Nelson and is chaired by Jon Nelson. The functions of the audit committee include:</w:t>
      </w:r>
    </w:p>
    <w:p>
      <w:pPr>
        <w:spacing w:after="0" w:line="126" w:lineRule="exact"/>
        <w:rPr>
          <w:sz w:val="20"/>
          <w:szCs w:val="20"/>
          <w:color w:val="auto"/>
        </w:rPr>
      </w:pPr>
    </w:p>
    <w:p>
      <w:pPr>
        <w:ind w:left="1280" w:right="1039" w:hanging="246"/>
        <w:spacing w:after="0" w:line="278"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appointing, approving the compensation of, and assessing the independence of Factorial Energy’s independent registered public accounting firm;</w:t>
      </w:r>
    </w:p>
    <w:p>
      <w:pPr>
        <w:spacing w:after="0" w:line="125" w:lineRule="exact"/>
        <w:rPr>
          <w:rFonts w:ascii="Times New Roman" w:cs="Times New Roman" w:eastAsia="Times New Roman" w:hAnsi="Times New Roman"/>
          <w:sz w:val="14"/>
          <w:szCs w:val="14"/>
          <w:color w:val="auto"/>
        </w:rPr>
      </w:pPr>
    </w:p>
    <w:p>
      <w:pPr>
        <w:ind w:left="1280" w:right="1199" w:hanging="246"/>
        <w:spacing w:after="0" w:line="278"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pre-approving auditing and permissible non-audit services, and the terms of such services, to be provided by Factorial Energy’s independent registered public accounting firm;</w:t>
      </w:r>
    </w:p>
    <w:p>
      <w:pPr>
        <w:spacing w:after="0" w:line="125" w:lineRule="exact"/>
        <w:rPr>
          <w:rFonts w:ascii="Times New Roman" w:cs="Times New Roman" w:eastAsia="Times New Roman" w:hAnsi="Times New Roman"/>
          <w:sz w:val="14"/>
          <w:szCs w:val="14"/>
          <w:color w:val="auto"/>
        </w:rPr>
      </w:pPr>
    </w:p>
    <w:p>
      <w:pPr>
        <w:ind w:left="1280" w:right="1119" w:hanging="246"/>
        <w:spacing w:after="0" w:line="278"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the overall audit plan with Factorial Energy’s independent registered public accounting firm and members of management responsible for preparing Factorial Energy’s financial statements;</w:t>
      </w:r>
    </w:p>
    <w:p>
      <w:pPr>
        <w:spacing w:after="0" w:line="125" w:lineRule="exact"/>
        <w:rPr>
          <w:rFonts w:ascii="Times New Roman" w:cs="Times New Roman" w:eastAsia="Times New Roman" w:hAnsi="Times New Roman"/>
          <w:sz w:val="14"/>
          <w:szCs w:val="14"/>
          <w:color w:val="auto"/>
        </w:rPr>
      </w:pPr>
    </w:p>
    <w:p>
      <w:pPr>
        <w:ind w:left="1280" w:right="779" w:hanging="246"/>
        <w:spacing w:after="0" w:line="262"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discussing with management and Factorial Energy’s independent registered public accounting firm Factorial Energy’s annual and quarterly financial statements and related disclosures as well as critical accounting policies and practices used by Factorial Energy;</w:t>
      </w:r>
    </w:p>
    <w:p>
      <w:pPr>
        <w:spacing w:after="0" w:line="137"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coordinating the oversight and reviewing the adequacy of Factorial Energy’s internal control over financial reporting;</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establishing policies and procedures for the receipt and retention of accounting-related complaints and concerns;</w:t>
      </w:r>
    </w:p>
    <w:p>
      <w:pPr>
        <w:spacing w:after="0" w:line="171" w:lineRule="exact"/>
        <w:rPr>
          <w:rFonts w:ascii="Times New Roman" w:cs="Times New Roman" w:eastAsia="Times New Roman" w:hAnsi="Times New Roman"/>
          <w:sz w:val="14"/>
          <w:szCs w:val="14"/>
          <w:color w:val="auto"/>
        </w:rPr>
      </w:pPr>
    </w:p>
    <w:p>
      <w:pPr>
        <w:ind w:left="1280" w:right="799" w:hanging="246"/>
        <w:spacing w:after="0" w:line="262"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recommending based upon the audit committee’s review and discussions with management and Factorial Energy’s independent registered public accounting firm whether Factorial Energy’s audited financial statements shall be included in its Annual Report on Form 10-K;</w:t>
      </w:r>
    </w:p>
    <w:p>
      <w:pPr>
        <w:spacing w:after="0" w:line="137" w:lineRule="exact"/>
        <w:rPr>
          <w:rFonts w:ascii="Times New Roman" w:cs="Times New Roman" w:eastAsia="Times New Roman" w:hAnsi="Times New Roman"/>
          <w:sz w:val="14"/>
          <w:szCs w:val="14"/>
          <w:color w:val="auto"/>
        </w:rPr>
      </w:pPr>
    </w:p>
    <w:p>
      <w:pPr>
        <w:ind w:left="1280" w:right="1299" w:hanging="246"/>
        <w:spacing w:after="0" w:line="278" w:lineRule="auto"/>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monitoring the integrity of Factorial Energy’s financial statements and Factorial Energy’s compliance with legal and regulatory requirements as they relate to Factorial Energy’s financial statements and accounting matters;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preparing the audit committee report required by SEC rules to be included in Factorial Energy’s annual proxy statement;</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reviewing all related persons transactions for potential conflict of interest situations and approving all such transactions; and</w:t>
      </w:r>
    </w:p>
    <w:p>
      <w:pPr>
        <w:spacing w:after="0" w:line="182" w:lineRule="exact"/>
        <w:rPr>
          <w:rFonts w:ascii="Times New Roman" w:cs="Times New Roman" w:eastAsia="Times New Roman" w:hAnsi="Times New Roman"/>
          <w:sz w:val="13"/>
          <w:szCs w:val="13"/>
          <w:color w:val="auto"/>
        </w:rPr>
      </w:pPr>
    </w:p>
    <w:p>
      <w:pPr>
        <w:ind w:left="1280" w:hanging="246"/>
        <w:spacing w:after="0"/>
        <w:tabs>
          <w:tab w:leader="none" w:pos="1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quarterly earnings releases.</w:t>
      </w:r>
    </w:p>
    <w:p>
      <w:pPr>
        <w:spacing w:after="0" w:line="171" w:lineRule="exact"/>
        <w:rPr>
          <w:sz w:val="20"/>
          <w:szCs w:val="20"/>
          <w:color w:val="auto"/>
        </w:rPr>
      </w:pPr>
    </w:p>
    <w:p>
      <w:pPr>
        <w:ind w:left="760" w:right="859" w:firstLine="249"/>
        <w:spacing w:after="0" w:line="275" w:lineRule="auto"/>
        <w:rPr>
          <w:sz w:val="20"/>
          <w:szCs w:val="20"/>
          <w:color w:val="auto"/>
        </w:rPr>
      </w:pPr>
      <w:r>
        <w:rPr>
          <w:rFonts w:ascii="Times New Roman" w:cs="Times New Roman" w:eastAsia="Times New Roman" w:hAnsi="Times New Roman"/>
          <w:sz w:val="13"/>
          <w:szCs w:val="13"/>
          <w:color w:val="auto"/>
        </w:rPr>
        <w:t>All members of the audit committee meet the requirements for financial literacy under the applicable rules and regulations of the SEC and the Nasdaq listing rules. The Factorial Energy Board has determined that Jon Nelson qualifies as an “audit committee financial expert” within the meaning of applicable SEC regulations. In making this determination, the Factorial Energy Board considered the nature and scope of experience that Jon Nelson has previously had. The Factorial Energy Board determined that all of the directors that became members of our audit committee following the Business Combination satisfy the relevant independence requirements for service on the audit committee set forth in the rules of the SEC and the Nasdaq listing rules. Both Factorial Energy’s independent registered public accounting firm and management periodically meet privately with the audit committee.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551" w:right="1440" w:bottom="1440" w:gutter="0" w:footer="0" w:header="0"/>
        </w:sectPr>
      </w:pPr>
    </w:p>
    <w:bookmarkStart w:id="104" w:name="page105"/>
    <w:bookmarkEnd w:id="10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Following the Business Combination, the Factorial Energy compensation committee consists of Uwe Keller, Liad Meidar and</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Dieter Zetsche and is chaired by Liad Meidar. The functions of the compensation committee include:</w:t>
      </w:r>
    </w:p>
    <w:p>
      <w:pPr>
        <w:spacing w:after="0" w:line="156" w:lineRule="exact"/>
        <w:rPr>
          <w:sz w:val="20"/>
          <w:szCs w:val="20"/>
          <w:color w:val="auto"/>
        </w:rPr>
      </w:pPr>
    </w:p>
    <w:p>
      <w:pPr>
        <w:ind w:left="1280" w:right="1459" w:hanging="246"/>
        <w:spacing w:after="0" w:line="278" w:lineRule="auto"/>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annually reviewing and recommending to the board of directors the corporate goals and objectives relevant to the compensation of Factorial Energy’s Chief Executive Officer;</w:t>
      </w:r>
    </w:p>
    <w:p>
      <w:pPr>
        <w:spacing w:after="0" w:line="125" w:lineRule="exact"/>
        <w:rPr>
          <w:rFonts w:ascii="Times New Roman" w:cs="Times New Roman" w:eastAsia="Times New Roman" w:hAnsi="Times New Roman"/>
          <w:sz w:val="14"/>
          <w:szCs w:val="14"/>
          <w:color w:val="auto"/>
        </w:rPr>
      </w:pPr>
    </w:p>
    <w:p>
      <w:pPr>
        <w:jc w:val="both"/>
        <w:ind w:left="1280" w:right="799" w:hanging="246"/>
        <w:spacing w:after="0" w:line="292" w:lineRule="auto"/>
        <w:tabs>
          <w:tab w:leader="none" w:pos="12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evaluating the performance of Factorial Energy’s Chief Executive Officer in light of such corporate goals and objectives and based on such evaluation (i) reviewing and determining the cash compensation of Factorial Energy’s Chief Executive Officer and (ii) reviewing and approving grants and awards to Factorial Energy’s Chief Executive Officer under equity-based plans;</w:t>
      </w:r>
    </w:p>
    <w:p>
      <w:pPr>
        <w:spacing w:after="0" w:line="119" w:lineRule="exact"/>
        <w:rPr>
          <w:rFonts w:ascii="Times New Roman" w:cs="Times New Roman" w:eastAsia="Times New Roman" w:hAnsi="Times New Roman"/>
          <w:sz w:val="13"/>
          <w:szCs w:val="13"/>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approving the compensation of Factorial Energy’s other executive officers;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establishing Factorial Energy’s overall management compensation, philosophy and policy;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overseeing and administering Factorial Energy’s compensation and similar plans;</w:t>
      </w:r>
    </w:p>
    <w:p>
      <w:pPr>
        <w:spacing w:after="0" w:line="171" w:lineRule="exact"/>
        <w:rPr>
          <w:rFonts w:ascii="Times New Roman" w:cs="Times New Roman" w:eastAsia="Times New Roman" w:hAnsi="Times New Roman"/>
          <w:sz w:val="14"/>
          <w:szCs w:val="14"/>
          <w:color w:val="auto"/>
        </w:rPr>
      </w:pPr>
    </w:p>
    <w:p>
      <w:pPr>
        <w:ind w:left="1280" w:right="1259" w:hanging="246"/>
        <w:spacing w:after="0" w:line="278" w:lineRule="auto"/>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evaluating and assessing potential and current compensation advisors in accordance with the independence standards identified in the applicable Nasdaq listing rules;</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approving Factorial Energy’s policies and procedures for the grant of equity-based awards;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recommending to the board of directors the compensation of Factorial Energy’s directors;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preparing Factorial Energy’s compensation committee report if and when required by SEC rules;</w:t>
      </w:r>
    </w:p>
    <w:p>
      <w:pPr>
        <w:spacing w:after="0" w:line="171" w:lineRule="exact"/>
        <w:rPr>
          <w:rFonts w:ascii="Times New Roman" w:cs="Times New Roman" w:eastAsia="Times New Roman" w:hAnsi="Times New Roman"/>
          <w:sz w:val="14"/>
          <w:szCs w:val="14"/>
          <w:color w:val="auto"/>
        </w:rPr>
      </w:pPr>
    </w:p>
    <w:p>
      <w:pPr>
        <w:ind w:left="1280" w:right="999" w:hanging="246"/>
        <w:spacing w:after="0" w:line="278" w:lineRule="auto"/>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discussing annually with management Factorial Energy’s “Compensation Discussion and Analysis,” if and when required, to be included in Factorial Energy’s annual proxy statement; and</w:t>
      </w:r>
    </w:p>
    <w:p>
      <w:pPr>
        <w:spacing w:after="0" w:line="125" w:lineRule="exact"/>
        <w:rPr>
          <w:rFonts w:ascii="Times New Roman" w:cs="Times New Roman" w:eastAsia="Times New Roman" w:hAnsi="Times New Roman"/>
          <w:sz w:val="14"/>
          <w:szCs w:val="14"/>
          <w:color w:val="auto"/>
        </w:rPr>
      </w:pPr>
    </w:p>
    <w:p>
      <w:pPr>
        <w:ind w:left="1280" w:right="919" w:hanging="246"/>
        <w:spacing w:after="0" w:line="278" w:lineRule="auto"/>
        <w:tabs>
          <w:tab w:leader="none" w:pos="12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and approving the retention or termination of any consulting firm or outside advisor to assist in the evaluation of compensation matters.</w:t>
      </w:r>
    </w:p>
    <w:p>
      <w:pPr>
        <w:spacing w:after="0" w:line="126" w:lineRule="exact"/>
        <w:rPr>
          <w:sz w:val="20"/>
          <w:szCs w:val="20"/>
          <w:color w:val="auto"/>
        </w:rPr>
      </w:pPr>
    </w:p>
    <w:p>
      <w:pPr>
        <w:ind w:left="760" w:right="939" w:firstLine="249"/>
        <w:spacing w:after="0" w:line="278" w:lineRule="auto"/>
        <w:rPr>
          <w:sz w:val="20"/>
          <w:szCs w:val="20"/>
          <w:color w:val="auto"/>
        </w:rPr>
      </w:pPr>
      <w:r>
        <w:rPr>
          <w:rFonts w:ascii="Times New Roman" w:cs="Times New Roman" w:eastAsia="Times New Roman" w:hAnsi="Times New Roman"/>
          <w:sz w:val="14"/>
          <w:szCs w:val="14"/>
          <w:color w:val="auto"/>
        </w:rPr>
        <w:t>Each member of Factorial Energy’s compensation committee is a non-employee director, as defined in Rule 16b-3 promulgated under the Exchange Act.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Nominating and Corporate Governance Committee</w:t>
      </w:r>
    </w:p>
    <w:p>
      <w:pPr>
        <w:spacing w:after="0" w:line="173"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Following the Business Combination, Factorial Energy’s nominating and corporate governance committee consists of Uwe Keller and Jon Nelson and is chaired by Uwe Keller. The functions of the nominating and corporate governance committee include:</w:t>
      </w:r>
    </w:p>
    <w:p>
      <w:pPr>
        <w:spacing w:after="0" w:line="126" w:lineRule="exact"/>
        <w:rPr>
          <w:sz w:val="20"/>
          <w:szCs w:val="20"/>
          <w:color w:val="auto"/>
        </w:rPr>
      </w:pPr>
    </w:p>
    <w:p>
      <w:pPr>
        <w:ind w:left="1280" w:hanging="246"/>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developing and recommending to the Factorial Energy Board criteria for board and committee membership;</w:t>
      </w:r>
    </w:p>
    <w:p>
      <w:pPr>
        <w:spacing w:after="0" w:line="171" w:lineRule="exact"/>
        <w:rPr>
          <w:rFonts w:ascii="Times New Roman" w:cs="Times New Roman" w:eastAsia="Times New Roman" w:hAnsi="Times New Roman"/>
          <w:sz w:val="14"/>
          <w:szCs w:val="14"/>
          <w:color w:val="auto"/>
        </w:rPr>
      </w:pPr>
    </w:p>
    <w:p>
      <w:pPr>
        <w:ind w:left="1280" w:right="1019" w:hanging="246"/>
        <w:spacing w:after="0" w:line="278" w:lineRule="auto"/>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establishing procedures for identifying and evaluating board of director candidates, including nominees recommended by stockholders;</w:t>
      </w:r>
    </w:p>
    <w:p>
      <w:pPr>
        <w:spacing w:after="0" w:line="125" w:lineRule="exact"/>
        <w:rPr>
          <w:rFonts w:ascii="Times New Roman" w:cs="Times New Roman" w:eastAsia="Times New Roman" w:hAnsi="Times New Roman"/>
          <w:sz w:val="14"/>
          <w:szCs w:val="14"/>
          <w:color w:val="auto"/>
        </w:rPr>
      </w:pPr>
    </w:p>
    <w:p>
      <w:pPr>
        <w:ind w:left="1280" w:right="1099" w:hanging="246"/>
        <w:spacing w:after="0" w:line="278" w:lineRule="auto"/>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reviewing the composition of the board of directors to ensure that it is composed of members containing the appropriate skills and expertise to advise Factorial Energy;</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identifying individuals qualified to become members of the board of directors;</w:t>
      </w:r>
    </w:p>
    <w:p>
      <w:pPr>
        <w:spacing w:after="0" w:line="171" w:lineRule="exact"/>
        <w:rPr>
          <w:rFonts w:ascii="Times New Roman" w:cs="Times New Roman" w:eastAsia="Times New Roman" w:hAnsi="Times New Roman"/>
          <w:sz w:val="14"/>
          <w:szCs w:val="14"/>
          <w:color w:val="auto"/>
        </w:rPr>
      </w:pPr>
    </w:p>
    <w:p>
      <w:pPr>
        <w:ind w:left="1280" w:right="839" w:hanging="246"/>
        <w:spacing w:after="0" w:line="278" w:lineRule="auto"/>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recommending to the Factorial Energy Board the persons to be nominated for election as directors and to each of the board’s committees;</w:t>
      </w:r>
    </w:p>
    <w:p>
      <w:pPr>
        <w:spacing w:after="0" w:line="125" w:lineRule="exact"/>
        <w:rPr>
          <w:rFonts w:ascii="Times New Roman" w:cs="Times New Roman" w:eastAsia="Times New Roman" w:hAnsi="Times New Roman"/>
          <w:sz w:val="14"/>
          <w:szCs w:val="14"/>
          <w:color w:val="auto"/>
        </w:rPr>
      </w:pPr>
    </w:p>
    <w:p>
      <w:pPr>
        <w:ind w:left="1280" w:right="1319" w:hanging="246"/>
        <w:spacing w:after="0" w:line="278" w:lineRule="auto"/>
        <w:tabs>
          <w:tab w:leader="none" w:pos="1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developing and recommending to the board of directors a code of business conduct and ethics and a set of corporate governance guidelines;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551" w:right="1440"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231F20"/>
        </w:rPr>
        <w:t>overseeing the evaluation of the Factorial Energy Board and management.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73" w:lineRule="exact"/>
        <w:rPr>
          <w:sz w:val="20"/>
          <w:szCs w:val="20"/>
          <w:color w:val="auto"/>
        </w:rPr>
      </w:pPr>
    </w:p>
    <w:p>
      <w:pPr>
        <w:ind w:left="760" w:right="899" w:firstLine="249"/>
        <w:spacing w:after="0" w:line="259" w:lineRule="auto"/>
        <w:rPr>
          <w:sz w:val="20"/>
          <w:szCs w:val="20"/>
          <w:color w:val="auto"/>
        </w:rPr>
      </w:pPr>
      <w:r>
        <w:rPr>
          <w:rFonts w:ascii="Times New Roman" w:cs="Times New Roman" w:eastAsia="Times New Roman" w:hAnsi="Times New Roman"/>
          <w:sz w:val="14"/>
          <w:szCs w:val="14"/>
          <w:color w:val="auto"/>
        </w:rPr>
        <w:t>None of the members of Factorial Energy’s compensation committee is, or has at any time during the prior three years been, one of Factorial Energy’s officers or employees. None of Factorial Energy’s executive officers currently serves, or has in the past</w:t>
      </w:r>
    </w:p>
    <w:p>
      <w:pPr>
        <w:ind w:left="760" w:right="799"/>
        <w:spacing w:after="0" w:line="255" w:lineRule="auto"/>
        <w:rPr>
          <w:sz w:val="20"/>
          <w:szCs w:val="20"/>
          <w:color w:val="auto"/>
        </w:rPr>
      </w:pPr>
      <w:r>
        <w:rPr>
          <w:rFonts w:ascii="Times New Roman" w:cs="Times New Roman" w:eastAsia="Times New Roman" w:hAnsi="Times New Roman"/>
          <w:sz w:val="14"/>
          <w:szCs w:val="14"/>
          <w:color w:val="auto"/>
        </w:rPr>
        <w:t>fiscal year served, as a member of the board of directors or compensation committee of any entity that has one or more of its executive officers serving as a member of the Factorial Energy Board or the Factorial Energy compensation committee.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3" w:lineRule="exact"/>
        <w:rPr>
          <w:sz w:val="20"/>
          <w:szCs w:val="20"/>
          <w:color w:val="auto"/>
        </w:rPr>
      </w:pPr>
    </w:p>
    <w:p>
      <w:pPr>
        <w:ind w:left="760" w:right="799" w:firstLine="249"/>
        <w:spacing w:after="0" w:line="275" w:lineRule="auto"/>
        <w:rPr>
          <w:sz w:val="20"/>
          <w:szCs w:val="20"/>
          <w:color w:val="auto"/>
        </w:rPr>
      </w:pPr>
      <w:r>
        <w:rPr>
          <w:rFonts w:ascii="Times New Roman" w:cs="Times New Roman" w:eastAsia="Times New Roman" w:hAnsi="Times New Roman"/>
          <w:sz w:val="13"/>
          <w:szCs w:val="13"/>
          <w:color w:val="auto"/>
        </w:rPr>
        <w:t>The Factorial Energy Board has adopted a Code of Business Conduct and Ethics in connection with the Business Combination. The Code of Business Conduct and Ethics applies to all of Factorial Energy’s employees, officers (including its principal executive officer, principal financial officer, principal accounting officer or controller, or persons performing similar functions), agents and representatives, including directors and consultants, and is available on Factorial Energy’s website at https://www.factorialenergy.com. Factorial Energy intends to disclose future amendments to certain provisions of its Code of Business Conduct and Ethics on its website. The inclusion of Factorial Energy’s website address in this prospectus does not include or incorporate by reference the information on Factorial Energy’s website into this prospectus, and you should not consider that information a part of this prospectus.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Board Observer Rights</w:t>
      </w:r>
    </w:p>
    <w:p>
      <w:pPr>
        <w:spacing w:after="0" w:line="173"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Factorial Energy’s Bylaws provide that Factorial Energy may agree to appoint one or more observers to the Factorial Energy Board (each, an “Observer”). Pursuant to the Business Combination Agreement, CGC and Factorial agreed that one individual designated by Sponsor shall serve as an Observer beginning at Closing. The terms of appointment of any Observer are at the discretion of the Factorial Energy Board including with respect to entitlement, scope, and timing of communications, participation, and attendance. In no case is an Observer entitled to vote at any meeting of the Factorial Energy Board. Factorial appointed Peter Yu as the Observer.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551" w:right="1440"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77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01945" cy="7077710"/>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3"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As an emerging growth company, we have opted to comply with the executive compensation disclosure rules applicable to “smaller reporting companies,” as such term is defined in the rules promulgated under the Exchange Act. The compensation provided to Factorial Energy’s named executive officers (the “NEOs”) for the fiscal year ended December 31, 2025 is detailed in the 2025 Summary Compensation Table and accompanying footnotes and narrative that follow. Unless otherwise stated, all references in the following sections and tables to compensation earned, including stock options and restricted stock units (“RSUs”), relate to compensation provided by Factorial Energy. Factorial Energy’s NEOs for the fiscal year ended December 31, 2025, which consist of Factorial Energy’s Chief Executive Officer and its next two most highly compensated executive officers (other than the Chief Executive Officer) serving as executive officers as of December 31, 2025, are:</w:t>
      </w:r>
    </w:p>
    <w:p>
      <w:pPr>
        <w:spacing w:after="0" w:line="144" w:lineRule="exact"/>
        <w:rPr>
          <w:sz w:val="20"/>
          <w:szCs w:val="20"/>
          <w:color w:val="auto"/>
        </w:rPr>
      </w:pPr>
    </w:p>
    <w:p>
      <w:pPr>
        <w:ind w:left="1280" w:hanging="246"/>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Siyu Huang, Ph.D., MBA, its Founder and Chief Executive Officer;</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Alex Yu, Ph.D., its Founder and Chief Technical Officer;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Jason Duva, its General Counsel.</w:t>
      </w:r>
    </w:p>
    <w:p>
      <w:pPr>
        <w:spacing w:after="0" w:line="171"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To date, the compensation of the NEOs has consisted of a combination of base salary, cash bonuses and long-term incentive compensation in the form of stock options and RSUs. The NEOs, like all full-time employees, are eligible to participate in Factorial Energy’s health, welfare and retirement benefit plans. Following the Business Combination, Factorial Energy has developed an executive compensation program that is designed to align compensation with Factorial Energy’s business objectives and the creation of stockholder value, while enabling the combined company to attract, motivate and retain individuals who contribute to the long-term success of Factorial Energy.</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2025 Summary Compensation Table</w:t>
      </w:r>
    </w:p>
    <w:p>
      <w:pPr>
        <w:spacing w:after="0" w:line="173" w:lineRule="exact"/>
        <w:rPr>
          <w:sz w:val="20"/>
          <w:szCs w:val="20"/>
          <w:color w:val="auto"/>
        </w:rPr>
      </w:pPr>
    </w:p>
    <w:p>
      <w:pPr>
        <w:ind w:left="760" w:right="105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sets forth information regarding compensation awarded to, earned by or paid to Factorial Energy’s NEOs during the fiscal year ended December 31, 2025.</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Non-Equity</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ind w:left="6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0"/>
                <w:szCs w:val="10"/>
                <w:color w:val="auto"/>
              </w:rPr>
            </w:pPr>
          </w:p>
        </w:tc>
        <w:tc>
          <w:tcPr>
            <w:tcW w:w="600" w:type="dxa"/>
            <w:vAlign w:val="bottom"/>
          </w:tcPr>
          <w:p>
            <w:pPr>
              <w:jc w:val="right"/>
              <w:ind w:right="65"/>
              <w:spacing w:after="0" w:line="125" w:lineRule="exact"/>
              <w:rPr>
                <w:sz w:val="20"/>
                <w:szCs w:val="20"/>
                <w:color w:val="auto"/>
              </w:rPr>
            </w:pPr>
            <w:r>
              <w:rPr>
                <w:rFonts w:ascii="Times New Roman" w:cs="Times New Roman" w:eastAsia="Times New Roman" w:hAnsi="Times New Roman"/>
                <w:sz w:val="11"/>
                <w:szCs w:val="11"/>
                <w:b w:val="1"/>
                <w:bCs w:val="1"/>
                <w:color w:val="auto"/>
              </w:rPr>
              <w:t>Option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71"/>
              <w:spacing w:after="0" w:line="125"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Salary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Awards</w:t>
            </w:r>
          </w:p>
        </w:tc>
        <w:tc>
          <w:tcPr>
            <w:tcW w:w="120" w:type="dxa"/>
            <w:vAlign w:val="bottom"/>
          </w:tcPr>
          <w:p>
            <w:pPr>
              <w:spacing w:after="0"/>
              <w:rPr>
                <w:sz w:val="11"/>
                <w:szCs w:val="11"/>
                <w:color w:val="auto"/>
              </w:rPr>
            </w:pPr>
          </w:p>
        </w:tc>
        <w:tc>
          <w:tcPr>
            <w:tcW w:w="60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60" w:type="dxa"/>
            <w:vAlign w:val="bottom"/>
          </w:tcPr>
          <w:p>
            <w:pPr>
              <w:spacing w:after="0"/>
              <w:rPr>
                <w:sz w:val="11"/>
                <w:szCs w:val="11"/>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0"/>
                <w:szCs w:val="10"/>
                <w:b w:val="1"/>
                <w:bCs w:val="1"/>
                <w:color w:val="auto"/>
              </w:rPr>
              <w:t>​​​  ($)</w:t>
            </w:r>
            <w:r>
              <w:rPr>
                <w:rFonts w:ascii="Times New Roman" w:cs="Times New Roman" w:eastAsia="Times New Roman" w:hAnsi="Times New Roman"/>
                <w:sz w:val="15"/>
                <w:szCs w:val="15"/>
                <w:b w:val="1"/>
                <w:bCs w:val="1"/>
                <w:color w:val="auto"/>
                <w:vertAlign w:val="superscript"/>
              </w:rPr>
              <w:t>(1)</w:t>
            </w:r>
          </w:p>
        </w:tc>
        <w:tc>
          <w:tcPr>
            <w:tcW w:w="20" w:type="dxa"/>
            <w:vAlign w:val="bottom"/>
          </w:tcPr>
          <w:p>
            <w:pPr>
              <w:spacing w:after="0"/>
              <w:rPr>
                <w:sz w:val="11"/>
                <w:szCs w:val="11"/>
                <w:color w:val="auto"/>
              </w:rPr>
            </w:pPr>
          </w:p>
        </w:tc>
        <w:tc>
          <w:tcPr>
            <w:tcW w:w="640" w:type="dxa"/>
            <w:vAlign w:val="bottom"/>
            <w:gridSpan w:val="2"/>
          </w:tcPr>
          <w:p>
            <w:pPr>
              <w:jc w:val="right"/>
              <w:ind w:right="85"/>
              <w:spacing w:after="0" w:line="136" w:lineRule="exact"/>
              <w:rPr>
                <w:sz w:val="20"/>
                <w:szCs w:val="20"/>
                <w:color w:val="auto"/>
              </w:rPr>
            </w:pPr>
            <w:r>
              <w:rPr>
                <w:rFonts w:ascii="Times New Roman" w:cs="Times New Roman" w:eastAsia="Times New Roman" w:hAnsi="Times New Roman"/>
                <w:sz w:val="10"/>
                <w:szCs w:val="10"/>
                <w:b w:val="1"/>
                <w:bCs w:val="1"/>
                <w:color w:val="auto"/>
              </w:rPr>
              <w:t>​​​  ($)</w:t>
            </w:r>
            <w:r>
              <w:rPr>
                <w:rFonts w:ascii="Times New Roman" w:cs="Times New Roman" w:eastAsia="Times New Roman" w:hAnsi="Times New Roman"/>
                <w:sz w:val="15"/>
                <w:szCs w:val="15"/>
                <w:b w:val="1"/>
                <w:bCs w:val="1"/>
                <w:color w:val="auto"/>
                <w:vertAlign w:val="superscript"/>
              </w:rPr>
              <w:t>(2)</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gridSpan w:val="2"/>
          </w:tcPr>
          <w:p>
            <w:pPr>
              <w:jc w:val="right"/>
              <w:ind w:right="125"/>
              <w:spacing w:after="0" w:line="136" w:lineRule="exact"/>
              <w:rPr>
                <w:sz w:val="20"/>
                <w:szCs w:val="20"/>
                <w:color w:val="auto"/>
              </w:rPr>
            </w:pPr>
            <w:r>
              <w:rPr>
                <w:rFonts w:ascii="Times New Roman" w:cs="Times New Roman" w:eastAsia="Times New Roman" w:hAnsi="Times New Roman"/>
                <w:sz w:val="10"/>
                <w:szCs w:val="10"/>
                <w:b w:val="1"/>
                <w:bCs w:val="1"/>
                <w:color w:val="auto"/>
              </w:rPr>
              <w:t>​​​   ($)</w:t>
            </w:r>
            <w:r>
              <w:rPr>
                <w:rFonts w:ascii="Times New Roman" w:cs="Times New Roman" w:eastAsia="Times New Roman" w:hAnsi="Times New Roman"/>
                <w:sz w:val="15"/>
                <w:szCs w:val="15"/>
                <w:b w:val="1"/>
                <w:bCs w:val="1"/>
                <w:color w:val="auto"/>
                <w:vertAlign w:val="superscript"/>
              </w:rPr>
              <w:t>(3)</w:t>
            </w:r>
          </w:p>
        </w:tc>
        <w:tc>
          <w:tcPr>
            <w:tcW w:w="2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0"/>
                <w:szCs w:val="10"/>
                <w:b w:val="1"/>
                <w:bCs w:val="1"/>
                <w:color w:val="auto"/>
                <w:w w:val="94"/>
              </w:rPr>
              <w:t>($)</w:t>
            </w:r>
            <w:r>
              <w:rPr>
                <w:rFonts w:ascii="Times New Roman" w:cs="Times New Roman" w:eastAsia="Times New Roman" w:hAnsi="Times New Roman"/>
                <w:sz w:val="15"/>
                <w:szCs w:val="15"/>
                <w:b w:val="1"/>
                <w:bCs w:val="1"/>
                <w:color w:val="auto"/>
                <w:w w:val="94"/>
                <w:vertAlign w:val="superscript"/>
              </w:rPr>
              <w:t>(4)</w:t>
            </w:r>
          </w:p>
        </w:tc>
        <w:tc>
          <w:tcPr>
            <w:tcW w:w="60" w:type="dxa"/>
            <w:vAlign w:val="bottom"/>
          </w:tcPr>
          <w:p>
            <w:pPr>
              <w:spacing w:after="0"/>
              <w:rPr>
                <w:sz w:val="11"/>
                <w:szCs w:val="11"/>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260" w:type="dxa"/>
            <w:vAlign w:val="bottom"/>
            <w:tcBorders>
              <w:top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Siyu Huang, Ph.D., MBA</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Founder and Chief Executive Officer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4"/>
                <w:szCs w:val="14"/>
                <w:color w:val="auto"/>
                <w:w w:val="96"/>
              </w:rPr>
              <w:t>200,000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1,278,258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9,931</w:t>
            </w:r>
          </w:p>
        </w:tc>
        <w:tc>
          <w:tcPr>
            <w:tcW w:w="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1,688,189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Alex Yu, Ph.D.</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226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Founder and Chief Technical Officer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color w:val="auto"/>
                <w:w w:val="96"/>
              </w:rPr>
              <w:t>262,500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812,309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6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1,172,102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Jason Duva</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4"/>
                <w:szCs w:val="14"/>
                <w:color w:val="auto"/>
                <w:w w:val="96"/>
              </w:rPr>
              <w:t>251,244</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745,409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15,960</w:t>
            </w:r>
          </w:p>
        </w:tc>
        <w:tc>
          <w:tcPr>
            <w:tcW w:w="6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1,097,718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020" w:right="999" w:hanging="256"/>
        <w:spacing w:after="0" w:line="253"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Effective as of January 1, 2025, certain Factorial Energy executives, including each of the NEOs, volunteered for temporary reductions in their base salaries. The base salaries of each of the NEOs prior to these </w:t>
      </w:r>
      <w:r>
        <w:rPr>
          <w:rFonts w:ascii="Times New Roman" w:cs="Times New Roman" w:eastAsia="Times New Roman" w:hAnsi="Times New Roman"/>
          <w:sz w:val="14"/>
          <w:szCs w:val="14"/>
          <w:color w:val="000000"/>
        </w:rPr>
        <w:t>voluntary reductions were as follows: Dr.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Huang: $400,000, Dr. Yu: $350,000 and Mr. Duva: $308,700. The NEOs’ pre-reduction base salaries were reinstated effective January 1, 2026.</w:t>
      </w:r>
    </w:p>
    <w:p>
      <w:pPr>
        <w:spacing w:after="0" w:line="1" w:lineRule="exact"/>
        <w:rPr>
          <w:rFonts w:ascii="Times New Roman" w:cs="Times New Roman" w:eastAsia="Times New Roman" w:hAnsi="Times New Roman"/>
          <w:sz w:val="14"/>
          <w:szCs w:val="14"/>
          <w:color w:val="auto"/>
        </w:rPr>
      </w:pPr>
    </w:p>
    <w:p>
      <w:pPr>
        <w:jc w:val="both"/>
        <w:ind w:left="1020" w:right="799" w:hanging="256"/>
        <w:spacing w:after="0" w:line="247"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amounts reported represent discretionary make whole bonus payments approved by the Factorial Energy Board on November 20, 2025 due to the closing of the convertible notes issued by Factorial Energy in August 2025 and enhanced duties in connection with the Business Combination and, for Mr. Duva, a discretionary bonus payment of $20,155.</w:t>
      </w:r>
    </w:p>
    <w:p>
      <w:pPr>
        <w:spacing w:after="0" w:line="1" w:lineRule="exact"/>
        <w:rPr>
          <w:rFonts w:ascii="Times New Roman" w:cs="Times New Roman" w:eastAsia="Times New Roman" w:hAnsi="Times New Roman"/>
          <w:sz w:val="14"/>
          <w:szCs w:val="14"/>
          <w:color w:val="auto"/>
        </w:rPr>
      </w:pPr>
    </w:p>
    <w:p>
      <w:pPr>
        <w:ind w:left="1020" w:right="799" w:hanging="256"/>
        <w:spacing w:after="0" w:line="248"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stock options granted to Factorial Energy’s NEOs during the fiscal year ended December 31, 2025, as well as the incremental fair value of stock options that were repriced during the fiscal year ended December 31, 2025 (as described in more detail under the heading “</w:t>
      </w:r>
      <w:r>
        <w:rPr>
          <w:rFonts w:ascii="Times New Roman" w:cs="Times New Roman" w:eastAsia="Times New Roman" w:hAnsi="Times New Roman"/>
          <w:sz w:val="14"/>
          <w:szCs w:val="14"/>
          <w:i w:val="1"/>
          <w:iCs w:val="1"/>
          <w:color w:val="auto"/>
        </w:rPr>
        <w:t>Equity Incentive Compensation</w:t>
      </w:r>
      <w:r>
        <w:rPr>
          <w:rFonts w:ascii="Times New Roman" w:cs="Times New Roman" w:eastAsia="Times New Roman" w:hAnsi="Times New Roman"/>
          <w:sz w:val="14"/>
          <w:szCs w:val="14"/>
          <w:color w:val="auto"/>
        </w:rPr>
        <w:t>” below), in each case, calculated in accordance with Financial Accounting Standards Board (“FASB”) ASC Topic 718, disregarding estimated forfeitures related to service-based vesting conditions. For a description of the assumptions used in determining these values, see Note 3 of Factorial Energy’s audited financial statements for the fiscal year ended December 31, 2025 included elsewhere in this prospectus. The amounts reported in this column reflect the accounting cost for the stock options and do not correspond to the actual economic value that may be received by Factorial Energy’s NEOs upon the exercise of the stock options or any sale of the underlying shares.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551" w:right="1440" w:bottom="1440" w:gutter="0" w:footer="0" w:header="0"/>
        </w:sectPr>
      </w:pPr>
    </w:p>
    <w:bookmarkStart w:id="107" w:name="page108"/>
    <w:bookmarkEnd w:id="10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(4) The amounts reported represent 401(k) matching contributions made by Factorial Energy for each of the NEOs.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Narrative Disclosure to Summary Compensation Table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2025 Base Salaries</w:t>
      </w:r>
    </w:p>
    <w:p>
      <w:pPr>
        <w:spacing w:after="0" w:line="173"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Factorial Energy’s NEOs each receive a base salary to compensate them for services rendered to Factorial Energy. The base salary payable to each NEO is intended to provide a fixed component of compensation reflecting the executive’s skill set, experience, role and responsibilities. Base salaries are generally reviewed annually, typically in connection with Factorial Energy’s annual performance review process, approved by the Factorial Energy Board or the compensation committee of the Factorial Energy Board and may be adjusted from time to time to realign salaries with market levels after taking into account individual responsibilities, performance and experience.</w:t>
      </w:r>
    </w:p>
    <w:p>
      <w:pPr>
        <w:spacing w:after="0" w:line="145"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Effective January 1, 2025 and until December 31, 2025, certain of Factorial Energy’s executive officers, including each of the NEOs, volunteered for temporary reductions in their base salaries. The reduced base salaries for the fiscal year ended December 31, 2025 for Dr. Huang, Dr. Yu and Mr. Duva were $200,000, $262,500 and $251,244 respectively. The base salaries for Dr. Huang, Dr. Yu and Mr. Duva prior to the reduction were $400,000, $350,000 and $308,700, respectively.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Equity Incentive Compensation</w:t>
      </w:r>
    </w:p>
    <w:p>
      <w:pPr>
        <w:spacing w:after="0" w:line="173" w:lineRule="exact"/>
        <w:rPr>
          <w:sz w:val="20"/>
          <w:szCs w:val="20"/>
          <w:color w:val="auto"/>
        </w:rPr>
      </w:pPr>
    </w:p>
    <w:p>
      <w:pPr>
        <w:ind w:left="760" w:right="879" w:firstLine="249"/>
        <w:spacing w:after="0" w:line="275" w:lineRule="auto"/>
        <w:rPr>
          <w:sz w:val="20"/>
          <w:szCs w:val="20"/>
          <w:color w:val="auto"/>
        </w:rPr>
      </w:pPr>
      <w:r>
        <w:rPr>
          <w:rFonts w:ascii="Times New Roman" w:cs="Times New Roman" w:eastAsia="Times New Roman" w:hAnsi="Times New Roman"/>
          <w:sz w:val="13"/>
          <w:szCs w:val="13"/>
          <w:color w:val="auto"/>
        </w:rPr>
        <w:t>Factorial Energy believes that equity grants provide executives with a strong link to long-term performance, create an ownership culture and help to align the interests of its executives and its stockholders. In addition, Factorial Energy believes that equity grants promote executive retention because they incentivize executive officers to remain in its employment during the vesting period. Accordingly, the Factorial Energy Board periodically reviews the equity incentive compensation of its executives and may grant equity incentive awards to them from time to time. In the fiscal year ended December 31, 2025, the NEOs were each granted stock options that were fully vested and stock options that vest over four years from the vesting start date. Each NEO’s outstanding equity awards as of December 31, 2025 are set forth in the “Outstanding Equity Awards at Fiscal 2025 Year-End” table below.</w:t>
      </w:r>
    </w:p>
    <w:p>
      <w:pPr>
        <w:spacing w:after="0" w:line="131"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On January 24, 2025, the Factorial Energy Board approved the repricing of certain outstanding stock options held by then-current service providers of Factorial Energy, including each of the NEOs, with an exercise price in excess of $3.23 per share to $3.23 per share. The incremental fair value of the repriced stock options held by the NEOs are included in the Option Awards column of the “2025 Summary Compensation Table” above.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Retirement, Perquisites and Personal Benefits</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Factorial Energy currently maintains a tax-qualified 401(k) retirement savings plan (the “401(k) Plan”) for its employees, including its NEOs, who satisfy certain eligibility requirements. Factorial Energy’s NEOs are eligible to participate in the 401(k) Plan on the same terms as other full-time employees. The 401(k) Plan is intended to qualify for favorable tax treatment under</w:t>
      </w:r>
    </w:p>
    <w:p>
      <w:pPr>
        <w:spacing w:after="0" w:line="1" w:lineRule="exact"/>
        <w:rPr>
          <w:sz w:val="20"/>
          <w:szCs w:val="20"/>
          <w:color w:val="auto"/>
        </w:rPr>
      </w:pPr>
    </w:p>
    <w:p>
      <w:pPr>
        <w:ind w:left="760" w:right="959"/>
        <w:spacing w:after="0" w:line="249" w:lineRule="auto"/>
        <w:rPr>
          <w:sz w:val="20"/>
          <w:szCs w:val="20"/>
          <w:color w:val="auto"/>
        </w:rPr>
      </w:pPr>
      <w:r>
        <w:rPr>
          <w:rFonts w:ascii="Times New Roman" w:cs="Times New Roman" w:eastAsia="Times New Roman" w:hAnsi="Times New Roman"/>
          <w:sz w:val="14"/>
          <w:szCs w:val="14"/>
          <w:color w:val="auto"/>
        </w:rPr>
        <w:t>Section 401(a) of the Internal Revenue Code of 1986, as amended (the “Code”), and contains a cash or deferred feature that is intended to meet the requirements of Section 401(k) of the Code. Factorial Energy believes that providing a vehicle for tax-deferred retirement savings through its 401(k) Plan adds to the overall desirability of its executive compensation package and further incentivizes its employees, including its NEOs, in accordance with its compensation policies. Factorial Energy provides safe harbor matching contributions under the 401(k) Plan equal to 100% of the first 5% of each employee’s contributions. Other than the 401(k) Plan, Factorial Energy does not provide any qualified or non-qualified retirement or deferred compensation benefits to its employees, including its NEOs.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Employment Arrangements in Place Prior to the Business Combination for Named Executive Officers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Siyu Huang, Ph.D., MBA Founder Service Agreement</w:t>
      </w:r>
    </w:p>
    <w:p>
      <w:pPr>
        <w:spacing w:after="0" w:line="173"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On October 4, 2013, Factorial entered into a Founder Service Agreement with Dr. Huang, pursuant to which Dr. Huang provides services to Factorial for such payment as may be agreed to between Factorial and Dr. Huang.</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Alex Yu, Ph.D. Founder Service Agreement</w:t>
      </w:r>
    </w:p>
    <w:p>
      <w:pPr>
        <w:spacing w:after="0" w:line="173"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On October 4, 2013, Factorial entered into a Founder Service Agreement with Dr. Yu, pursuant to which Dr. Yu provides services to Factorial. In connection with his initial engagement, Dr. Yu was granted a restricted stock award.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551" w:right="1440"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Jason Duva Offer Letter</w:t>
      </w:r>
    </w:p>
    <w:p>
      <w:pPr>
        <w:spacing w:after="0" w:line="173" w:lineRule="exact"/>
        <w:rPr>
          <w:sz w:val="20"/>
          <w:szCs w:val="20"/>
          <w:color w:val="auto"/>
        </w:rPr>
      </w:pPr>
    </w:p>
    <w:p>
      <w:pPr>
        <w:ind w:left="760" w:right="1059" w:firstLine="249"/>
        <w:spacing w:after="0" w:line="283" w:lineRule="auto"/>
        <w:rPr>
          <w:sz w:val="20"/>
          <w:szCs w:val="20"/>
          <w:color w:val="auto"/>
        </w:rPr>
      </w:pPr>
      <w:r>
        <w:rPr>
          <w:rFonts w:ascii="Times New Roman" w:cs="Times New Roman" w:eastAsia="Times New Roman" w:hAnsi="Times New Roman"/>
          <w:sz w:val="13"/>
          <w:szCs w:val="13"/>
          <w:color w:val="auto"/>
        </w:rPr>
        <w:t>On March 8, 2022, Factorial entered into an offer letter with Mr. Duva (the “Duva Offer Letter”) for the position of General Counsel, which provides for Mr. Duva’s at-will employment. Pursuant to the Duva Offer Letter, Mr. Duva is eligible to receive an annual base salary and also received a one-time signing bonus and initial equity awards. Mr. Duva is also eligible to participate in Factorial’s employee benefit plans generally available to similarly situated employees, subject to the terms of those plans.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Change in Control Severance Agreements</w:t>
      </w:r>
    </w:p>
    <w:p>
      <w:pPr>
        <w:spacing w:after="0" w:line="173" w:lineRule="exact"/>
        <w:rPr>
          <w:sz w:val="20"/>
          <w:szCs w:val="20"/>
          <w:color w:val="auto"/>
        </w:rPr>
      </w:pPr>
    </w:p>
    <w:p>
      <w:pPr>
        <w:jc w:val="both"/>
        <w:ind w:left="760" w:right="1159" w:firstLine="249"/>
        <w:spacing w:after="0" w:line="274" w:lineRule="auto"/>
        <w:rPr>
          <w:sz w:val="20"/>
          <w:szCs w:val="20"/>
          <w:color w:val="auto"/>
        </w:rPr>
      </w:pPr>
      <w:r>
        <w:rPr>
          <w:rFonts w:ascii="Times New Roman" w:cs="Times New Roman" w:eastAsia="Times New Roman" w:hAnsi="Times New Roman"/>
          <w:sz w:val="13"/>
          <w:szCs w:val="13"/>
          <w:color w:val="auto"/>
        </w:rPr>
        <w:t xml:space="preserve">In November 2023, Factorial entered into Change in Control Severance Agreements with each of the NEOs (the “NEO CIC Severance Agreements”). Pursuant to the NEO CIC Severance Agreements, upon a (i) </w:t>
      </w:r>
      <w:r>
        <w:rPr>
          <w:rFonts w:ascii="Times New Roman" w:cs="Times New Roman" w:eastAsia="Times New Roman" w:hAnsi="Times New Roman"/>
          <w:sz w:val="13"/>
          <w:szCs w:val="13"/>
          <w:color w:val="231F20"/>
        </w:rPr>
        <w:t>termination of an NEO’s employment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Factorial other than for “cause” (as defined in the applicable NEO CIC Severance Agreement) or due to death or disability or</w:t>
      </w:r>
    </w:p>
    <w:p>
      <w:pPr>
        <w:spacing w:after="0" w:line="2" w:lineRule="exact"/>
        <w:rPr>
          <w:sz w:val="20"/>
          <w:szCs w:val="20"/>
          <w:color w:val="auto"/>
        </w:rPr>
      </w:pPr>
    </w:p>
    <w:p>
      <w:pPr>
        <w:ind w:left="760" w:right="859" w:firstLine="4"/>
        <w:spacing w:after="0" w:line="248" w:lineRule="auto"/>
        <w:tabs>
          <w:tab w:leader="none" w:pos="964" w:val="left"/>
        </w:tabs>
        <w:numPr>
          <w:ilvl w:val="0"/>
          <w:numId w:val="5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resignation by the NEO for “good reason” (as defined in the applicable NEO CIC Severance Agreement), in each case within the period beginning three months prior to and ending 12 months after a “change in control” (as defined in the applicable NEO CIC Severance Agreement) (the “Change in Control Period”), the NEOs are entitled to receive, subject to the execution and delivery of an effective and irrevocable release of claims in favor of Factorial: (A) a lump sum amount equal to 12 months (or, in the case of the Chief Executive Officer, </w:t>
      </w:r>
      <w:r>
        <w:rPr>
          <w:rFonts w:ascii="Times New Roman" w:cs="Times New Roman" w:eastAsia="Times New Roman" w:hAnsi="Times New Roman"/>
          <w:sz w:val="14"/>
          <w:szCs w:val="14"/>
          <w:color w:val="000000"/>
        </w:rPr>
        <w:t>24 months) of the NEO’s base salary; (B) a lump sum payment equal to 100% (or, in the case of the Chief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Executive Officer, 200%) of the NEO’s target annual bonus; (C) an amount equal to the employer portion of the monthly COBRA premium until 12 months (or, in the case of the Chief Executive Officer, 18 months) following termination of employment or, if earlier, until the NEO has secured other employment or is no longer eligible for coverage under COBRA; and (D) accelerated vesting of all outstanding and unvested Factorial equity awards held by the NEO that are subject solely to time-based vesting.</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Employment Arrangements in Place Following the Business Combination for Named Executive Officers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Executive Employment Agreements</w:t>
      </w:r>
    </w:p>
    <w:p>
      <w:pPr>
        <w:spacing w:after="0" w:line="173" w:lineRule="exact"/>
        <w:rPr>
          <w:sz w:val="20"/>
          <w:szCs w:val="20"/>
          <w:color w:val="auto"/>
        </w:rPr>
      </w:pPr>
    </w:p>
    <w:p>
      <w:pPr>
        <w:ind w:left="760" w:right="899" w:firstLine="249"/>
        <w:spacing w:after="0" w:line="255" w:lineRule="auto"/>
        <w:rPr>
          <w:sz w:val="20"/>
          <w:szCs w:val="20"/>
          <w:color w:val="auto"/>
        </w:rPr>
      </w:pPr>
      <w:r>
        <w:rPr>
          <w:rFonts w:ascii="Times New Roman" w:cs="Times New Roman" w:eastAsia="Times New Roman" w:hAnsi="Times New Roman"/>
          <w:sz w:val="14"/>
          <w:szCs w:val="14"/>
          <w:color w:val="auto"/>
        </w:rPr>
        <w:t>Factorial Energy entered into employment agreements with each of the NEOs (the “NEO Employment Agreements”), providing for the NEOs’ continued at-will employment. Pursuant to the NEO Employment Agreements, the NEOs are eligible to receive an annual base salary and are eligible to participate in the employee benefit plans generally available to similarly situated employees of Factorial Energy, subject to the terms of those plans. The NEO Employment Agreements also provides for eligibility for initial and annual long-term equity incentive awards.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Executive Change in Control Severance Plan</w:t>
      </w:r>
    </w:p>
    <w:p>
      <w:pPr>
        <w:spacing w:after="0" w:line="173" w:lineRule="exact"/>
        <w:rPr>
          <w:sz w:val="20"/>
          <w:szCs w:val="20"/>
          <w:color w:val="auto"/>
        </w:rPr>
      </w:pPr>
    </w:p>
    <w:p>
      <w:pPr>
        <w:jc w:val="both"/>
        <w:ind w:left="760" w:right="1019" w:firstLine="249"/>
        <w:spacing w:after="0" w:line="318" w:lineRule="auto"/>
        <w:rPr>
          <w:sz w:val="20"/>
          <w:szCs w:val="20"/>
          <w:color w:val="auto"/>
        </w:rPr>
      </w:pPr>
      <w:r>
        <w:rPr>
          <w:rFonts w:ascii="Times New Roman" w:cs="Times New Roman" w:eastAsia="Times New Roman" w:hAnsi="Times New Roman"/>
          <w:sz w:val="13"/>
          <w:szCs w:val="13"/>
          <w:color w:val="auto"/>
        </w:rPr>
        <w:t>In connection with the Business Combination, the Factorial Energy Board adopted an Executive Change of Control Severance Plan (the “Severance Plan”), effective as of the Closing, in which the NEOs and certain other executives are eligible to participate.</w:t>
      </w:r>
    </w:p>
    <w:p>
      <w:pPr>
        <w:spacing w:after="0" w:line="103" w:lineRule="exact"/>
        <w:rPr>
          <w:sz w:val="20"/>
          <w:szCs w:val="20"/>
          <w:color w:val="auto"/>
        </w:rPr>
      </w:pPr>
    </w:p>
    <w:p>
      <w:pPr>
        <w:ind w:left="760" w:right="879" w:firstLine="249"/>
        <w:spacing w:after="0" w:line="250" w:lineRule="auto"/>
        <w:rPr>
          <w:sz w:val="20"/>
          <w:szCs w:val="20"/>
          <w:color w:val="auto"/>
        </w:rPr>
      </w:pPr>
      <w:r>
        <w:rPr>
          <w:rFonts w:ascii="Times New Roman" w:cs="Times New Roman" w:eastAsia="Times New Roman" w:hAnsi="Times New Roman"/>
          <w:sz w:val="14"/>
          <w:szCs w:val="14"/>
          <w:color w:val="auto"/>
        </w:rPr>
        <w:t xml:space="preserve">The Severance Plan provides that upon a (i) termination of an eligible participant’s employment by Factorial Energy other than “cause” or due to death or “disability” (each as defined in the Severance Plan) or (ii) resignation by an eligible participant for “good reason” (as defined in the Severance Plan), in each case within the Change in Control Period, the eligible participant is entitled to receive, subject to the execution and delivery of an effective and irrevocable release of claims in favor of Factorial Energy and continued compliance with all applicable continuing obligations: (A) a lump sum amount equal to one times (or, in the case of the Chief Executive Officer, two times) the sum of the eligible participant’s base salary and the participant’s target annual bonus in effect immediately prior to the date of termination or immediately prior to the change in control, if higher; </w:t>
      </w:r>
      <w:r>
        <w:rPr>
          <w:rFonts w:ascii="Times New Roman" w:cs="Times New Roman" w:eastAsia="Times New Roman" w:hAnsi="Times New Roman"/>
          <w:sz w:val="14"/>
          <w:szCs w:val="14"/>
          <w:color w:val="231F20"/>
        </w:rPr>
        <w:t>(B) an amount equal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employer portion of the monthly COBRA premium until the earliest of (x) 12 months (or, in the case of the Chief Executive Officer, 24 months), (y) the date the eligible participant becomes eligible for group medical plan benefits under any other employer’s group medical plan or (z) the cessation of the eligible participant’s health continuation rights under COBRA; and (C) accelerated vesting of all outstanding and unvested Factorial Energy equity awards held by the eligible participant that are subject </w:t>
      </w:r>
      <w:r>
        <w:rPr>
          <w:rFonts w:ascii="Times New Roman" w:cs="Times New Roman" w:eastAsia="Times New Roman" w:hAnsi="Times New Roman"/>
          <w:sz w:val="14"/>
          <w:szCs w:val="14"/>
          <w:color w:val="000000"/>
        </w:rPr>
        <w:t>solely to time-based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vesting.</w:t>
      </w:r>
    </w:p>
    <w:p>
      <w:pPr>
        <w:spacing w:after="0" w:line="148"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The payments and benefits provided under the Severance Plan may not be eligible for a U.S. federal income tax deduction by Factorial Energy pursuant to Section 280G of the Code. These payments and benefits may also subject an eligible participant, including the NEOs, to an excise tax under Section 4999 of the Code. If the payments or benefits payable in connection with a change in control would be subject to the excise tax imposed under Section 4999 of the Code, then those payments or benefits are reduced if such reduction would result in a higher net after-tax benefit to the eligible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9019"/>
          </w:cols>
          <w:pgMar w:left="1440" w:top="551" w:right="1440"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Compensation Recovery Policy</w:t>
      </w:r>
    </w:p>
    <w:p>
      <w:pPr>
        <w:spacing w:after="0" w:line="173" w:lineRule="exact"/>
        <w:rPr>
          <w:sz w:val="20"/>
          <w:szCs w:val="20"/>
          <w:color w:val="auto"/>
        </w:rPr>
      </w:pPr>
    </w:p>
    <w:p>
      <w:pPr>
        <w:ind w:left="760" w:right="819" w:firstLine="249"/>
        <w:spacing w:after="0" w:line="275" w:lineRule="auto"/>
        <w:rPr>
          <w:sz w:val="20"/>
          <w:szCs w:val="20"/>
          <w:color w:val="auto"/>
        </w:rPr>
      </w:pPr>
      <w:r>
        <w:rPr>
          <w:rFonts w:ascii="Times New Roman" w:cs="Times New Roman" w:eastAsia="Times New Roman" w:hAnsi="Times New Roman"/>
          <w:sz w:val="13"/>
          <w:szCs w:val="13"/>
          <w:color w:val="auto"/>
        </w:rPr>
        <w:t>In accordance with the requirements of the SEC and Nasdaq listing rules and in connection with the Business Combination, the Factorial Energy Board adopted a compensation recovery policy, which became effective at the Closing. The compensation recovery policy provides that in the event that Factorial Energy is required to prepare a restatement of its financial statements due to material noncompliance with any financial reporting requirement under securities laws, Factorial Energy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would have exceeded the amount that the executive officer would have received based on the restated financial statements.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Outstanding Equity Awards at 2025 Fiscal Year-End</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Factorial’s NEOs as of December 31, 2025.</w:t>
      </w:r>
    </w:p>
    <w:p>
      <w:pPr>
        <w:spacing w:after="0" w:line="148"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660" w:type="dxa"/>
            <w:vAlign w:val="bottom"/>
            <w:gridSpan w:val="2"/>
          </w:tcPr>
          <w:p>
            <w:pPr>
              <w:jc w:val="right"/>
              <w:ind w:right="465"/>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6"/>
                <w:szCs w:val="16"/>
                <w:color w:val="auto"/>
              </w:rPr>
            </w:pPr>
          </w:p>
        </w:tc>
        <w:tc>
          <w:tcPr>
            <w:tcW w:w="860" w:type="dxa"/>
            <w:vAlign w:val="bottom"/>
            <w:gridSpan w:val="2"/>
          </w:tcPr>
          <w:p>
            <w:pPr>
              <w:jc w:val="right"/>
              <w:ind w:right="699"/>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501"/>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16"/>
                <w:szCs w:val="16"/>
                <w:b w:val="1"/>
                <w:bCs w:val="1"/>
                <w:color w:val="auto"/>
                <w:vertAlign w:val="superscript"/>
              </w:rPr>
              <w:t>(1)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Stock Awards</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Equity</w:t>
            </w:r>
          </w:p>
        </w:tc>
        <w:tc>
          <w:tcPr>
            <w:tcW w:w="520" w:type="dxa"/>
            <w:vAlign w:val="bottom"/>
            <w:tcBorders>
              <w:top w:val="single" w:sz="8" w:color="auto"/>
            </w:tcBorders>
            <w:gridSpan w:val="3"/>
          </w:tcPr>
          <w:p>
            <w:pPr>
              <w:ind w:left="40"/>
              <w:spacing w:after="0" w:line="106"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gridSpan w:val="2"/>
          </w:tcPr>
          <w:p>
            <w:pPr>
              <w:jc w:val="right"/>
              <w:ind w:right="461"/>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gridSpan w:val="2"/>
          </w:tcPr>
          <w:p>
            <w:pPr>
              <w:ind w:left="60"/>
              <w:spacing w:after="0" w:line="10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45"/>
              <w:spacing w:after="0" w:line="12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Plan</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45"/>
              <w:spacing w:after="0" w:line="12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25"/>
              <w:spacing w:after="0" w:line="125" w:lineRule="exact"/>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Plan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45"/>
              <w:spacing w:after="0" w:line="12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45"/>
              <w:spacing w:after="0" w:line="125"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5"/>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20" w:type="dxa"/>
            <w:vAlign w:val="bottom"/>
            <w:gridSpan w:val="2"/>
          </w:tcPr>
          <w:p>
            <w:pPr>
              <w:jc w:val="center"/>
              <w:ind w:right="25"/>
              <w:spacing w:after="0" w:line="125"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25"/>
              <w:spacing w:after="0" w:line="125"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100" w:type="dxa"/>
            <w:vAlign w:val="bottom"/>
          </w:tcPr>
          <w:p>
            <w:pPr>
              <w:spacing w:after="0"/>
              <w:rPr>
                <w:sz w:val="10"/>
                <w:szCs w:val="10"/>
                <w:color w:val="auto"/>
              </w:rPr>
            </w:pPr>
          </w:p>
        </w:tc>
        <w:tc>
          <w:tcPr>
            <w:tcW w:w="4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rPr>
              <w:t>Option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25"/>
              <w:spacing w:after="0" w:line="125"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5"/>
              </w:rPr>
              <w:t>Vesting</w:t>
            </w:r>
          </w:p>
        </w:tc>
        <w:tc>
          <w:tcPr>
            <w:tcW w:w="12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520" w:type="dxa"/>
            <w:vAlign w:val="bottom"/>
            <w:gridSpan w:val="3"/>
          </w:tcPr>
          <w:p>
            <w:pPr>
              <w:jc w:val="center"/>
              <w:ind w:left="18"/>
              <w:spacing w:after="0" w:line="12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25"/>
              <w:spacing w:after="0" w:line="125"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Grant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Commencement</w:t>
            </w:r>
          </w:p>
        </w:tc>
        <w:tc>
          <w:tcPr>
            <w:tcW w:w="700" w:type="dxa"/>
            <w:vAlign w:val="bottom"/>
            <w:gridSpan w:val="2"/>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1"/>
                <w:szCs w:val="11"/>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36"/>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Siyu Huang, Ph.D.,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MBA</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4/10/2022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2/11/2022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703,914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30,605</w:t>
            </w:r>
          </w:p>
        </w:tc>
        <w:tc>
          <w:tcPr>
            <w:tcW w:w="14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4/9/2032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262,875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8/24/2032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900,000</w:t>
            </w:r>
          </w:p>
        </w:tc>
        <w:tc>
          <w:tcPr>
            <w:tcW w:w="740" w:type="dxa"/>
            <w:vAlign w:val="bottom"/>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95"/>
                <w:vertAlign w:val="superscript"/>
              </w:rPr>
              <w:t>(5)</w:t>
            </w:r>
            <w:r>
              <w:rPr>
                <w:rFonts w:ascii="Times New Roman" w:cs="Times New Roman" w:eastAsia="Times New Roman" w:hAnsi="Times New Roman"/>
                <w:sz w:val="12"/>
                <w:szCs w:val="12"/>
                <w:color w:val="auto"/>
                <w:w w:val="95"/>
              </w:rPr>
              <w:t xml:space="preserve"> 35,226,000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1/24/2025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29,569</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3/13/2025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3/12/2035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10/8/2025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9/4/2025</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4/10/2022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2/11/2022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351,956</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4/9/2032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Alex Yu, Ph.D.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93,625</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8/24/2032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740" w:type="dxa"/>
            <w:vAlign w:val="bottom"/>
            <w:gridSpan w:val="3"/>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95"/>
                <w:vertAlign w:val="superscript"/>
              </w:rPr>
              <w:t>(5)</w:t>
            </w:r>
            <w:r>
              <w:rPr>
                <w:rFonts w:ascii="Times New Roman" w:cs="Times New Roman" w:eastAsia="Times New Roman" w:hAnsi="Times New Roman"/>
                <w:sz w:val="12"/>
                <w:szCs w:val="12"/>
                <w:color w:val="auto"/>
                <w:w w:val="95"/>
              </w:rPr>
              <w:t xml:space="preserve"> 11,742,000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1/24/2025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29,569</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3/13/2025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3/12/2035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10/8/2025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9/4/2025</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Jason Duva</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5/9/2022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4/30/2022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91,666</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5/8/2032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43,208</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8/24/2032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7/8/2024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28,794</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w w:val="94"/>
              </w:rPr>
              <w:t>(5)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1,126,997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1/24/2025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14,424</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3/13/2025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3/12/2035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10/8/2025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9/22/2025</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10/7/2035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10/8/2025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10/7/2035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020" w:hanging="25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All option and RSU awards were granted under the 2019 Plan described below.</w:t>
      </w:r>
    </w:p>
    <w:p>
      <w:pPr>
        <w:spacing w:after="0" w:line="20" w:lineRule="exact"/>
        <w:rPr>
          <w:rFonts w:ascii="Times New Roman" w:cs="Times New Roman" w:eastAsia="Times New Roman" w:hAnsi="Times New Roman"/>
          <w:sz w:val="14"/>
          <w:szCs w:val="14"/>
          <w:color w:val="auto"/>
        </w:rPr>
      </w:pPr>
    </w:p>
    <w:p>
      <w:pPr>
        <w:ind w:left="1020" w:right="839" w:hanging="256"/>
        <w:spacing w:after="0" w:line="247"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As no public market existed for the Legacy Factorial Common Stock as of December 31, 2025, there was no market value for these shares as of such date. The dollar amount included is based on $39.14 per Legacy Factorial Common Share, which equals the per share price used in the Business Combination pursuant to the Business Combination Agreement of approximately $10.30 multiplied by an Exchange Ratio of approximately 3.8 shares of Series A Common Stock per share of Legacy Factorial Common Stock.</w:t>
      </w:r>
    </w:p>
    <w:p>
      <w:pPr>
        <w:spacing w:after="0" w:line="2" w:lineRule="exact"/>
        <w:rPr>
          <w:rFonts w:ascii="Times New Roman" w:cs="Times New Roman" w:eastAsia="Times New Roman" w:hAnsi="Times New Roman"/>
          <w:sz w:val="14"/>
          <w:szCs w:val="14"/>
          <w:color w:val="auto"/>
        </w:rPr>
      </w:pPr>
    </w:p>
    <w:p>
      <w:pPr>
        <w:ind w:left="1020" w:right="879" w:hanging="256"/>
        <w:spacing w:after="0" w:line="247" w:lineRule="auto"/>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shares underlying this stock option vest over a four year period, with 25% vesting on the one year anniversary of the vesting commencement date and the remaining 75% vesting in 36 equal monthly installments over the following three years, subject to continued service through the applicable vesting date.</w:t>
      </w:r>
    </w:p>
    <w:p>
      <w:pPr>
        <w:spacing w:after="0" w:line="1" w:lineRule="exact"/>
        <w:rPr>
          <w:rFonts w:ascii="Times New Roman" w:cs="Times New Roman" w:eastAsia="Times New Roman" w:hAnsi="Times New Roman"/>
          <w:sz w:val="14"/>
          <w:szCs w:val="14"/>
          <w:color w:val="auto"/>
        </w:rPr>
      </w:pPr>
    </w:p>
    <w:p>
      <w:pPr>
        <w:ind w:left="1020" w:hanging="25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This stock option was fully vested upon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9019"/>
          </w:cols>
          <w:pgMar w:left="1440" w:top="551" w:right="1440" w:bottom="1440" w:gutter="0" w:footer="0" w:header="0"/>
        </w:sectPr>
      </w:pPr>
    </w:p>
    <w:bookmarkStart w:id="110" w:name="page111"/>
    <w:bookmarkEnd w:id="11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799" w:hanging="256"/>
        <w:spacing w:after="0" w:line="252" w:lineRule="auto"/>
        <w:tabs>
          <w:tab w:leader="none" w:pos="1020" w:val="left"/>
        </w:tabs>
        <w:numPr>
          <w:ilvl w:val="0"/>
          <w:numId w:val="5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shares underlying this RSU award are subject to a liquidity event vesting condition, a time-based vesting condition, a share price-based vesting condition, and a performance-based vesting condition, all of which must be satisfied before the shares will be deemed vested and may be settled. The liquidity event vesting condition was satisfied on the Closing Date, the time-based vesting condition will be satisfied on the second anniversary of the Closing Date and achievement of the performance-based vesting condition will be determined based on the number of specified corporate development, commercial, financial and production business milestones that are achieved. In addition, the number of RSUs that are deemed earned can be increased or decreased based on the value of the per share consideration received in the Business Combination.</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Additional Narrative Disclosure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Employee Benefit and Equity Compensation Plans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Factorial Inc. 2019 Stock Incentive Plan</w:t>
      </w:r>
    </w:p>
    <w:p>
      <w:pPr>
        <w:spacing w:after="0" w:line="171"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Legacy Factorial’s 2019 Stock Incentive Plan (the “2019 Plan”) was initially adopted by the Legacy Factorial Board on August 6, 2019, was approved by Legacy Factorial’s stockholders on August 11, 2019 and was most recently amended on December 5, 2023. The 2019 Plan allows for the grant of incentive stock options to Legacy Factorial’s employees and employees of any “parent corporation” or “subsidiary corporation” thereof (as such terms are defined in Sections 424(e) and 424(f) of the Code) and for the grant of incentive stock options, non-qualified stock options, stock appreciation rights, restricted stock, restricted stock units and other stock-based awards to employees, directors and consultants of Legacy Factorial and its parent or subsidiary corporations. Following the Closing, Factorial Energy did not grant any further awards under the 2019 Plan, and all outstanding awards under the 2019 Plan were cancelled and exchanged for awards under the Factorial Energy Incentive Plan.</w:t>
      </w:r>
    </w:p>
    <w:p>
      <w:pPr>
        <w:spacing w:after="0" w:line="144"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Under the 2019 Plan, Legacy Factorial reserved for issuance an aggregate of 8,668,779 shares of Legacy Factorial Common Stock. Any stock award or any portion thereof that expires or is terminated, surrendered or canceled without having been fully exercised, is forfeited in whole or in part (including as the result of shares being repurchased by Legacy Factorial at the original issuance price pursuant to a contractual repurchase right) or results in Legacy Factorial Common Stock not being issued, the unused Legacy Factorial Common Stock subject to such award shall again be available for the grant of awards under the 2019 Plan. Further, shares of Legacy Factorial Common Stock tendered to Legacy Factorial by a participant to exercise an award or to satisfy tax withholding obligations arising with respect to an award shall be added to the number of shares of Legacy Factorial Common Stock available for the grant of awards under the 2019 Plan. The number of shares of Legacy Factorial Common Stock reserved for issuance under the 2019 Plan is subject to adjustment in the event of stock split, reverse stock split, stock dividend, recapitalization, combination of shares, reclassification of shares, spin-off or other similar change in capitalization or event, or any dividend or distribution to holders of Legacy Factorial Common Stock other than an ordinary cash dividend, and no more than 8,668,779 shares of Legacy Factorial Common Stock may be issued under the 2019 Plan pursuant to incentive stock options.</w:t>
      </w:r>
    </w:p>
    <w:p>
      <w:pPr>
        <w:spacing w:after="0" w:line="148"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The 2019 Plan is administered by the Legacy Factorial Board or a committee or sub-committee appointed by it. The administrator of the 2019 Plan has full power to, among other things, select, from among the individuals eligible for awards, the individuals to whom awards will be granted, to accelerate the time at which a stock award may be exercised or vest, to amend the 2019 Plan and to determine the specific terms and conditions of each award, subject to the provisions of the 2019 Plan.</w:t>
      </w:r>
    </w:p>
    <w:p>
      <w:pPr>
        <w:spacing w:after="0" w:line="142" w:lineRule="exact"/>
        <w:rPr>
          <w:sz w:val="20"/>
          <w:szCs w:val="20"/>
          <w:color w:val="auto"/>
        </w:rPr>
      </w:pPr>
    </w:p>
    <w:p>
      <w:pPr>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Stock options may be granted under the 2019 Plan. The exercise price per share of all stock options granted under the 2019 Plan must equal at least 100% of the fair market value per share of Legacy Factorial Common Stock on the date of grant. The term of a stock option may not exceed ten years.</w:t>
      </w:r>
    </w:p>
    <w:p>
      <w:pPr>
        <w:spacing w:after="0" w:line="138" w:lineRule="exact"/>
        <w:rPr>
          <w:sz w:val="20"/>
          <w:szCs w:val="20"/>
          <w:color w:val="auto"/>
        </w:rPr>
      </w:pPr>
    </w:p>
    <w:p>
      <w:pPr>
        <w:jc w:val="both"/>
        <w:ind w:left="760" w:right="919" w:firstLine="249"/>
        <w:spacing w:after="0" w:line="283" w:lineRule="auto"/>
        <w:rPr>
          <w:sz w:val="20"/>
          <w:szCs w:val="20"/>
          <w:color w:val="auto"/>
        </w:rPr>
      </w:pPr>
      <w:r>
        <w:rPr>
          <w:rFonts w:ascii="Times New Roman" w:cs="Times New Roman" w:eastAsia="Times New Roman" w:hAnsi="Times New Roman"/>
          <w:sz w:val="13"/>
          <w:szCs w:val="13"/>
          <w:color w:val="auto"/>
        </w:rPr>
        <w:t>Stock appreciation rights may be granted under the 2019 Plan. Stock appreciation rights entitle the recipient to shares of Legacy Factorial Common Stock, or cash, equal to the value of the appreciation in Legacy Factorial’s Common Stock over the measurement price. The measurement price per share of all stock appreciation rights must equal at least 100% of the fair market value per share of Legacy Factorial Common Stock on the date of grant. The term of a stock appreciation right may not exceed ten years.</w:t>
      </w:r>
    </w:p>
    <w:p>
      <w:pPr>
        <w:spacing w:after="0" w:line="126"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Restricted stock may be granted under the 2019 Plan. Restricted stock awards are grants of Legacy Factorial Common Stock that are subject to various restrictions, including restrictions on transferability and forfeitures provisions. Shares of restricted stock will vest, and the restrictions on such shares will lapse, in accordance with terms and conditions established by the administrator of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9019"/>
          </w:cols>
          <w:pgMar w:left="1440" w:top="551" w:right="1440" w:bottom="1440" w:gutter="0" w:footer="0" w:header="0"/>
        </w:sectPr>
      </w:pPr>
    </w:p>
    <w:bookmarkStart w:id="111" w:name="page112"/>
    <w:bookmarkEnd w:id="11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jc w:val="both"/>
        <w:ind w:left="760" w:right="919" w:firstLine="249"/>
        <w:spacing w:after="0" w:line="262" w:lineRule="auto"/>
        <w:rPr>
          <w:sz w:val="20"/>
          <w:szCs w:val="20"/>
          <w:color w:val="auto"/>
        </w:rPr>
      </w:pPr>
      <w:r>
        <w:rPr>
          <w:rFonts w:ascii="Times New Roman" w:cs="Times New Roman" w:eastAsia="Times New Roman" w:hAnsi="Times New Roman"/>
          <w:sz w:val="14"/>
          <w:szCs w:val="14"/>
          <w:color w:val="auto"/>
        </w:rPr>
        <w:t>Restricted stock units may be granted under the 2019 Plan. A restricted stock unit is an award that covers a number of shares of Legacy Factorial Common Stock that may be settled upon vesting in cash, by the issuance of the underlying shares or a combination of both. The administrator of the 2019 Plan determines the terms and conditions of restricted stock units.</w:t>
      </w:r>
    </w:p>
    <w:p>
      <w:pPr>
        <w:spacing w:after="0" w:line="138"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Other stock-based awards may be granted under the 2019 Plan. An other stock-based award is an award of shares of Legacy Factorial Common Stock or other awards that are valued in whole or in part by reference to, or are otherwise based on, shares of Legacy Factorial Common Stock or other property. The administrator of the 2019 Plan determines the terms and conditions of other stock-based awards.</w:t>
      </w:r>
    </w:p>
    <w:p>
      <w:pPr>
        <w:spacing w:after="0" w:line="142" w:lineRule="exact"/>
        <w:rPr>
          <w:sz w:val="20"/>
          <w:szCs w:val="20"/>
          <w:color w:val="auto"/>
        </w:rPr>
      </w:pPr>
    </w:p>
    <w:p>
      <w:pPr>
        <w:ind w:left="760" w:right="999" w:firstLine="249"/>
        <w:spacing w:after="0" w:line="262" w:lineRule="auto"/>
        <w:rPr>
          <w:sz w:val="20"/>
          <w:szCs w:val="20"/>
          <w:color w:val="auto"/>
        </w:rPr>
      </w:pPr>
      <w:r>
        <w:rPr>
          <w:rFonts w:ascii="Times New Roman" w:cs="Times New Roman" w:eastAsia="Times New Roman" w:hAnsi="Times New Roman"/>
          <w:sz w:val="14"/>
          <w:szCs w:val="14"/>
          <w:color w:val="auto"/>
        </w:rPr>
        <w:t>The 2019 Plan generally does not allow for the transfer or assignment of awards, other than, by the laws of descent and distribution, to family members or pursuant to domestic relations orders, and generally only the recipient of an award may exercise such an award during his or her lifetime.</w:t>
      </w:r>
    </w:p>
    <w:p>
      <w:pPr>
        <w:spacing w:after="0" w:line="138" w:lineRule="exact"/>
        <w:rPr>
          <w:sz w:val="20"/>
          <w:szCs w:val="20"/>
          <w:color w:val="auto"/>
        </w:rPr>
      </w:pPr>
    </w:p>
    <w:p>
      <w:pPr>
        <w:ind w:left="760" w:right="1099" w:firstLine="249"/>
        <w:spacing w:after="0" w:line="262" w:lineRule="auto"/>
        <w:rPr>
          <w:sz w:val="20"/>
          <w:szCs w:val="20"/>
          <w:color w:val="auto"/>
        </w:rPr>
      </w:pPr>
      <w:r>
        <w:rPr>
          <w:rFonts w:ascii="Times New Roman" w:cs="Times New Roman" w:eastAsia="Times New Roman" w:hAnsi="Times New Roman"/>
          <w:sz w:val="14"/>
          <w:szCs w:val="14"/>
          <w:color w:val="auto"/>
        </w:rPr>
        <w:t>In the event of certain changes in Factorial Energy’s capitalization, the exercise prices of and the number of shares subject to outstanding options and the purchase or measurement price of and the numbers of shares subject to outstanding awards will be proportionately adjusted, subject to any required action by the Factorial Energy Board or Factorial Energy’s stockholders.</w:t>
      </w:r>
    </w:p>
    <w:p>
      <w:pPr>
        <w:spacing w:after="0" w:line="138" w:lineRule="exact"/>
        <w:rPr>
          <w:sz w:val="20"/>
          <w:szCs w:val="20"/>
          <w:color w:val="auto"/>
        </w:rPr>
      </w:pPr>
    </w:p>
    <w:p>
      <w:pPr>
        <w:ind w:left="760" w:right="839" w:firstLine="249"/>
        <w:spacing w:after="0" w:line="268" w:lineRule="auto"/>
        <w:rPr>
          <w:sz w:val="20"/>
          <w:szCs w:val="20"/>
          <w:color w:val="auto"/>
        </w:rPr>
      </w:pPr>
      <w:r>
        <w:rPr>
          <w:rFonts w:ascii="Times New Roman" w:cs="Times New Roman" w:eastAsia="Times New Roman" w:hAnsi="Times New Roman"/>
          <w:sz w:val="13"/>
          <w:szCs w:val="13"/>
          <w:color w:val="auto"/>
        </w:rPr>
        <w:t xml:space="preserve">In the event of a “reorganization event” (as defined in the 2019 Plan), the administrator of the 2019 Plan may take one or more of the following actions with respect to awards other than restricted stock: (i) </w:t>
      </w:r>
      <w:r>
        <w:rPr>
          <w:rFonts w:ascii="Times New Roman" w:cs="Times New Roman" w:eastAsia="Times New Roman" w:hAnsi="Times New Roman"/>
          <w:sz w:val="13"/>
          <w:szCs w:val="13"/>
          <w:color w:val="231F20"/>
        </w:rPr>
        <w:t>provide that such awards will be assumed, or substantially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 xml:space="preserve">equivalent awards will be substituted, by the acquiring or succeeding corporation (or an affiliate thereof), (ii)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(iii) provide that outstanding awards will </w:t>
      </w:r>
      <w:r>
        <w:rPr>
          <w:rFonts w:ascii="Times New Roman" w:cs="Times New Roman" w:eastAsia="Times New Roman" w:hAnsi="Times New Roman"/>
          <w:sz w:val="13"/>
          <w:szCs w:val="13"/>
          <w:color w:val="000000"/>
        </w:rPr>
        <w:t>become exercisable, realizable or deliverable, or</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000000"/>
        </w:rPr>
        <w:t>restrictions applicable to an award will lapse, in whole or in part, prior to or upon such reorganization event, (iv) in the event of a reorganization event under the terms of which holders of Legacy Factorial Common Stock will receive upon consummation thereof a cash payment for each share surrendered in the reorganization event (the “Acquisition Price”), make or provide for a cash payment to participants with respect to each award held by a participant equal to (A) the number of shares of Legacy Factorial Common Stock subject to the vested portion of the award multiplied by (B) the excess, if any, of (I) the Acquisition Price over (II) the exercise, measurement or purchase price of such award and any applicable tax withholdings, in exchange for the termination of such award,</w:t>
      </w:r>
    </w:p>
    <w:p>
      <w:pPr>
        <w:spacing w:after="0" w:line="7" w:lineRule="exact"/>
        <w:rPr>
          <w:sz w:val="20"/>
          <w:szCs w:val="20"/>
          <w:color w:val="auto"/>
        </w:rPr>
      </w:pPr>
    </w:p>
    <w:p>
      <w:pPr>
        <w:ind w:left="960" w:hanging="196"/>
        <w:spacing w:after="0"/>
        <w:tabs>
          <w:tab w:leader="none" w:pos="9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in connection with a liquidation or dissolution of Legacy Factorial, awards will convert into the right to receive</w:t>
      </w:r>
    </w:p>
    <w:p>
      <w:pPr>
        <w:spacing w:after="0" w:line="5" w:lineRule="exact"/>
        <w:rPr>
          <w:rFonts w:ascii="Times New Roman" w:cs="Times New Roman" w:eastAsia="Times New Roman" w:hAnsi="Times New Roman"/>
          <w:sz w:val="14"/>
          <w:szCs w:val="14"/>
          <w:color w:val="auto"/>
        </w:rPr>
      </w:pPr>
    </w:p>
    <w:p>
      <w:pPr>
        <w:ind w:left="760" w:right="81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proceeds (if applicable, net of the exercise, measurement or purchase price thereof and any applicable tax withholdings) and (vi) any combination of the foregoing. Upon the occurrence of a reorganization event other than a liquidation or dissolution of Legacy Factorial, the repurchase and other rights of Legacy Factorial with respect to outstanding restricted stock will inure to the benefit of Legacy Factorial’s successor and will, unless the administrator of the 2019 Plan determines otherwise, apply to the cash, securities or other property which the Legacy Factorial Common Stock was converted into or exchanged for pursuant to such reorganization event in the same manner and to the same extent as they applied to such restricted stock; provided, however, that the administrator of the 2019 Plan may provide for termination or deemed satisfaction of such repurchase or other rights under the instrument evidencing any restricted stock or any other agreement between a participant and Legacy Factorial, either initially or by amendment, or provide for forfeiture of such restricted stock if issued at no cost. Upon the occurrence of a reorganization event involving the liquidation or dissolution of Legacy Factorial, except to the extent specifically provided to the contrary in the instrument evidencing any restricted stock or any other agreement between a participant and Legacy Factorial, all restrictions and conditions on all restricted stock then outstanding will automatically be deemed terminated or satisfied.</w:t>
      </w:r>
    </w:p>
    <w:p>
      <w:pPr>
        <w:spacing w:after="0" w:line="149"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The Legacy Factorial Board may amend, suspend or terminate the 2019 Plan at any time; provided that the Legacy Factorial Board may not effect any such amendment without the approval of Legacy Factorial’s stockholders if such approval is required under Section 422 of the Code or any successor provision with respect to incentive stock options. Except as otherwise provided in the 2019 Plan or a stock award agreement, no amendment of the 2019 Plan will materially and adversely affect a participant’s rights under an outstanding stock award without the participant’s consent.</w:t>
      </w:r>
    </w:p>
    <w:p>
      <w:pPr>
        <w:spacing w:after="0" w:line="142"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As of December 31, 2025, options to purchase up to 5,546,772 shares of Legacy Factorial Common Stock at a weighted average exercise price of $3.90 per share and 1,394,670 RSUs were outstanding under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9019"/>
          </w:cols>
          <w:pgMar w:left="1440" w:top="551" w:right="1440" w:bottom="1440" w:gutter="0" w:footer="0" w:header="0"/>
        </w:sectPr>
      </w:pPr>
    </w:p>
    <w:bookmarkStart w:id="112" w:name="page113"/>
    <w:bookmarkEnd w:id="11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Factorial Energy Inc. 2026 Equity Incentive Plan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connection with the Business Combination, Factorial Energy adopted the Factorial Energy Incentive Plan.</w:t>
      </w:r>
    </w:p>
    <w:p>
      <w:pPr>
        <w:spacing w:after="0" w:line="171" w:lineRule="exact"/>
        <w:rPr>
          <w:sz w:val="20"/>
          <w:szCs w:val="20"/>
          <w:color w:val="auto"/>
        </w:rPr>
      </w:pPr>
    </w:p>
    <w:p>
      <w:pPr>
        <w:ind w:left="760" w:right="999" w:firstLine="249"/>
        <w:spacing w:after="0" w:line="255" w:lineRule="auto"/>
        <w:rPr>
          <w:sz w:val="20"/>
          <w:szCs w:val="20"/>
          <w:color w:val="auto"/>
        </w:rPr>
      </w:pPr>
      <w:r>
        <w:rPr>
          <w:rFonts w:ascii="Times New Roman" w:cs="Times New Roman" w:eastAsia="Times New Roman" w:hAnsi="Times New Roman"/>
          <w:sz w:val="14"/>
          <w:szCs w:val="14"/>
          <w:color w:val="auto"/>
        </w:rPr>
        <w:t>The Factorial Energy Incentive Plan allows Factorial Energy to make equity and equity-based incentive awards to officers, employees, non-employee directors and consultants. The Factorial Energy Board believes that providing such persons with a direct stake in Factorial Energy will assure a closer alignment of the interests of such individuals with those of Factorial Energy and its stockholders, thereby stimulating their efforts on Factorial Energy’s behalf and strengthening their desire to remain with Factorial Energy.</w:t>
      </w:r>
    </w:p>
    <w:p>
      <w:pPr>
        <w:spacing w:after="0" w:line="142"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The Factorial Energy Incentive Plan is administered by the Factorial Energy Board, the compensation committee of the Factorial Energy Board or such other similar committee pursuant to the terms of the Factorial Energy Incentive Plan (the “plan administrator”). The plan administrator has full power to select, from among the individuals eligible for awards, the individuals to whom awards are granted, to make any combination of awards to participants and to determine the specific terms and conditions of each award, subject to the provisions of the Factorial Energy Incentive Plan. The plan administrator may delegate to a subcommittee consisting of one or more members of the Factorial Energy Board, or a committee consisting of one or more officers, the authority to grant awards to employees who are not subject to the reporting and other provisions of Section 16 of the Exchange Act and not members of the delegated subcommittee or committee, subject to certain limitations and guidelines.</w:t>
      </w:r>
    </w:p>
    <w:p>
      <w:pPr>
        <w:spacing w:after="0" w:line="144" w:lineRule="exact"/>
        <w:rPr>
          <w:sz w:val="20"/>
          <w:szCs w:val="20"/>
          <w:color w:val="auto"/>
        </w:rPr>
      </w:pPr>
    </w:p>
    <w:p>
      <w:pPr>
        <w:jc w:val="both"/>
        <w:ind w:left="760" w:right="839" w:firstLine="249"/>
        <w:spacing w:after="0" w:line="274" w:lineRule="auto"/>
        <w:rPr>
          <w:sz w:val="20"/>
          <w:szCs w:val="20"/>
          <w:color w:val="auto"/>
        </w:rPr>
      </w:pPr>
      <w:r>
        <w:rPr>
          <w:rFonts w:ascii="Times New Roman" w:cs="Times New Roman" w:eastAsia="Times New Roman" w:hAnsi="Times New Roman"/>
          <w:sz w:val="13"/>
          <w:szCs w:val="13"/>
          <w:color w:val="auto"/>
        </w:rPr>
        <w:t>The total number of shares of Series A Common Stock initially reserved for issuance under the Factorial Energy Incentive Plan is equal to 21,000,000 shares (the “Initial Limit”). The Factorial Energy Incentive Plan provides that the number of shares reserved and available for issuance thereunder automatically increases on January 1, 2027 and each January 1 thereafter by (i) 5% of the sum of</w:t>
      </w:r>
    </w:p>
    <w:p>
      <w:pPr>
        <w:spacing w:after="0" w:line="2" w:lineRule="exact"/>
        <w:rPr>
          <w:sz w:val="20"/>
          <w:szCs w:val="20"/>
          <w:color w:val="auto"/>
        </w:rPr>
      </w:pPr>
    </w:p>
    <w:p>
      <w:pPr>
        <w:ind w:left="760" w:right="779" w:firstLine="4"/>
        <w:spacing w:after="0" w:line="248" w:lineRule="auto"/>
        <w:tabs>
          <w:tab w:leader="none" w:pos="94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Factorial Energy Common Stock issued and outstanding and (b) the number of shares of Series A Common Stock issuable pursuant to the exercise of any outstanding, pre-funded warrants to acquire Factorial Energy Common Stock for a nominal exercise price (the sum of (a) and (b), the “Outstanding Shares”) on the immediately preceding December 31 or (ii) such lesser number of shares as determined by the plan administrator (the “Annual Increase”). These limits are subject to adjustment in the event of a reorganization, recapitalization, reclassification, stock split, stock dividend, extraordinary cash dividend, reverse stock split or other similar change in Factorial Energy’s capitalization. The maximum aggregate number of shares of Series A Common Stock that may be issued upon exercise of incentive stock options under the Factorial Energy Incentive Plan shall not exceed the Initial Limit cumulatively increased on January 1, 2027 and on each January 1 thereafter by the lesser of the Annual Increase or 7,250,000 shares of Series A Common Stock, subject, in each case, to any adjustments permitted under the Factorial Energy Incentive Plan. Shares underlying any awards under the Factorial Energy Incentive Plan that are forfeited, canceled, held back upon exercise of an option or settlement of an award to cover the exercise price or tax withholding, reacquired by Factorial Energy prior to vesting, satisfied without the issuance of stock or otherwise terminated (other than by exercise) are added back to the shares available for issuance under the Factorial Energy Incentive Plan and, to the extent permitted under Section 422 of the Code and the regulations promulgated thereunder, the shares that may be issued as incentive stock options. Shares repurchased by Factorial Energy on the open market are not added to the shares available for issuance under the Factorial Energy Incentive Plan.</w:t>
      </w:r>
    </w:p>
    <w:p>
      <w:pPr>
        <w:spacing w:after="0" w:line="149"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The Factorial Energy Incentive Plan contains a limitation whereby the aggregate value of all awards under the Factorial Energy Incentive Plan and all other cash compensation paid by Factorial Energy to any non-employee director for in any calendar year services as a non-employee director may not exceed $750,000; provided, however, that such amount is $1,000,000 for the first calendar year a non-employee director is initially appointed to the Factorial Energy Board.</w:t>
      </w:r>
    </w:p>
    <w:p>
      <w:pPr>
        <w:spacing w:after="0" w:line="142"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Persons eligible to participate in the Factorial Energy Incentive Plan are those full-time or part-time officers, employees, non-employee directors and consultants of Factorial Energy as selected from time to time by the plan administrator in its discretion. As of the date of this prospectus, approximately 159 individuals are eligible to participate in the Factorial Energy Incentive Plan, which includes approximately 5 officers, 115 employees who are not officers, 4 non-employee directors and 35 consultants.</w:t>
      </w:r>
    </w:p>
    <w:p>
      <w:pPr>
        <w:spacing w:after="0" w:line="142"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2026 Incentive Plan permits the granting of both options to purchase Series A Common Stock that qualify as incentive stock options under Section 422 of the Code and options that do not so qualify. Options granted under the Factorial Energy Incentive Plan are non-qualified options if they fail to qualify as incentive stock options. Incentive stock options may only be granted to employees of Factorial Energy, its “parent corporation” within the meaning of Section 424(e) of the Code or its “subsidiary corporation” within the meaning of Section 424(f) of the Code. Non-qualified options may be granted to any persons eligible for awards under the Factorial Energy Incentive Plan. The exercise price of each option is determined by the plan administrator but generally may not be less than 100% of the fair market value of a share of Series A Common Stock on the date of grant or, in the case of an incentive stock option granted to a 10% stockholder, 110% of the fair market value of a share of Series A Common Stock on the date of grant. The term of each option is fixed by the plan administrator and may not exceed ten years from the date of grant. The plan administrator determines at what time or times each option may be exercised.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9019"/>
          </w:cols>
          <w:pgMar w:left="1440" w:top="551" w:right="1440" w:bottom="1440" w:gutter="0" w:footer="0" w:header="0"/>
        </w:sectPr>
      </w:pPr>
    </w:p>
    <w:bookmarkStart w:id="113" w:name="page114"/>
    <w:bookmarkEnd w:id="11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The plan administrator may award stock appreciation rights subject to such conditions and restrictions as it may determine. Stock appreciation rights entitle the recipient to receive shares of Series A Common Stock, or cash, equal to the value of the appreciation in the stock price over the exercise price. The exercise price generally may not be less than 100% of the fair market value of a share of Series A Common Stock on the date of grant. The term of each stock appreciation right is fixed by the plan administrator and may not exceed ten years from the date of grant. The plan administrator determines at what time or times each stock appreciation right may be exercised.</w:t>
      </w:r>
    </w:p>
    <w:p>
      <w:pPr>
        <w:spacing w:after="0" w:line="145"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The plan administrator may award restricted shares of Series A Common Stock and restricted stock units to participants subject to such conditions and restrictions as it may determine. The plan administrator may also grant shares of Series A Common Stock that are free from any restrictions under the Factorial Energy Incentive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based on cash dividends that would have been paid on specified shares of Series A Common Stock if such shares had been issued to the recipient.</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plan administrator may grant cash-based awards under the Factorial Energy Incentive Plan to participants.</w:t>
      </w:r>
    </w:p>
    <w:p>
      <w:pPr>
        <w:spacing w:after="0" w:line="171"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The Factorial Energy Incentive Plan requires the plan administrator to make appropriate adjustments to the number of shares of Series A Common Stock that are subject to the Factorial Energy Incentive Plan, to certain limits in the Factorial Energy Incentive Plan and to any outstanding awards to reflect stock dividends, stock splits, extraordinary cash dividends and similar events.</w:t>
      </w:r>
    </w:p>
    <w:p>
      <w:pPr>
        <w:spacing w:after="0" w:line="138"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The Factorial Energy Incentive Plan provides that upon the effectiveness of a “sale event,” as defined in the Factorial Energy Incentive Plan, an acquirer or successor entity may assume, continue or substitute outstanding awards under the 2026 Incentive Plan. To the extent that awards granted under the Factorial Energy Incentive Plan are not assumed, continued or substituted by the successor entity, all awards granted under the Factorial Energy Incentive Plan will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plan administrator’s discretion or to the extent specified in the relevant award agreement. In addition, participants holding options and stock appreciation rights may either (i) receive payment, in cash or in kind, equal to the difference between the per share consideration in the sale event and the exercise price of the options or stock appreciation rights (provided that, in the case of an option or stock appreciation right with an exercise price equal to or greater than the per share consideration in the sale event, such option or stock appreciation right will be cancelled for no consideration) or (ii) be permitted, within a specified period of time, to exercise such participant’s outstanding options or stock appreciation rights to the extent then exercisable. Factorial Energy also has the option to make or provide for a payment, in cash or in kind, to participants holding other awards in an amount equal to the per share consideration in the sale event multiplied by the number of vested shares underlying such awards.</w:t>
      </w:r>
    </w:p>
    <w:p>
      <w:pPr>
        <w:spacing w:after="0" w:line="154"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Participants in the 2026 Incentive Plan are responsible for the payment of any federal, state or local taxes that Factorial Energy is required by law to withhold with respect to awards granted under the Factorial Energy Incentive Plan. The plan administrator may cause any tax withholding obligation of Factorial Energy or its affiliates to be satisfied, in whole or in part, by Factorial Energy withholding from shares of Series A Common Stock to be issued pursuant to an award a number of shares with an aggregate fair market value that would satisfy the withholding amount due. The plan administrator may also require any tax withholding obligation of Factorial Energy or its affiliates to be satisfied, in whole or in part, by an arrangement whereby a certain number of shares issued pursuant to any award are immediately sold and proceeds from such sale are remitted to Factorial Energy or the applicable affiliate in an amount that would satisfy the withholding amount due.</w:t>
      </w:r>
    </w:p>
    <w:p>
      <w:pPr>
        <w:spacing w:after="0" w:line="144"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The Factorial Energy Incentive Plan generally does not allow for the transfer or assignment of awards, other than by will or by the laws of descent and distribution or pursuant to a domestic relations order; however, the plan administrator may permit the transfer of non-qualified options by gift to an immediate family member, to trusts for the benefit of family members or to partnerships in which such family members are the only partners.</w:t>
      </w:r>
    </w:p>
    <w:p>
      <w:pPr>
        <w:spacing w:after="0" w:line="142" w:lineRule="exact"/>
        <w:rPr>
          <w:sz w:val="20"/>
          <w:szCs w:val="20"/>
          <w:color w:val="auto"/>
        </w:rPr>
      </w:pPr>
    </w:p>
    <w:p>
      <w:pPr>
        <w:jc w:val="both"/>
        <w:ind w:left="760" w:right="999" w:firstLine="249"/>
        <w:spacing w:after="0" w:line="262" w:lineRule="auto"/>
        <w:rPr>
          <w:sz w:val="20"/>
          <w:szCs w:val="20"/>
          <w:color w:val="auto"/>
        </w:rPr>
      </w:pPr>
      <w:r>
        <w:rPr>
          <w:rFonts w:ascii="Times New Roman" w:cs="Times New Roman" w:eastAsia="Times New Roman" w:hAnsi="Times New Roman"/>
          <w:sz w:val="14"/>
          <w:szCs w:val="14"/>
          <w:color w:val="auto"/>
        </w:rPr>
        <w:t>Awards under the Factorial Energy Incentive Plan are subject to reduction, cancellation, forfeiture or recoupment to the extent necessary to comply with (i) any right Factorial Energy may have under any clawback, forfeiture or recoupment policy, as in effect from time to time, or other agreement or arrangement or (ii) applicable law.</w:t>
      </w:r>
    </w:p>
    <w:p>
      <w:pPr>
        <w:spacing w:after="0" w:line="138" w:lineRule="exact"/>
        <w:rPr>
          <w:sz w:val="20"/>
          <w:szCs w:val="20"/>
          <w:color w:val="auto"/>
        </w:rPr>
      </w:pPr>
    </w:p>
    <w:p>
      <w:pPr>
        <w:ind w:left="760" w:right="799" w:firstLine="249"/>
        <w:spacing w:after="0" w:line="283" w:lineRule="auto"/>
        <w:rPr>
          <w:sz w:val="20"/>
          <w:szCs w:val="20"/>
          <w:color w:val="auto"/>
        </w:rPr>
      </w:pPr>
      <w:r>
        <w:rPr>
          <w:rFonts w:ascii="Times New Roman" w:cs="Times New Roman" w:eastAsia="Times New Roman" w:hAnsi="Times New Roman"/>
          <w:sz w:val="13"/>
          <w:szCs w:val="13"/>
          <w:color w:val="auto"/>
        </w:rPr>
        <w:t>The Factorial Energy Board may amend or discontinue the Factorial Energy Incentive Plan and the plan administrator may amend or cancel outstanding awards for purposes of satisfying changes in law or any other lawful purpose, but no such action may materially and adversely affect rights under an award without the holder’s consent. Certain amendments to the Factorial Energy Incentive Plan require the approval of Factorial Energy’s stockholders. The plan administrator is specifically authorized to exercise its discretion to</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551" w:right="1440" w:bottom="1440" w:gutter="0" w:footer="0" w:header="0"/>
        </w:sectPr>
      </w:pPr>
    </w:p>
    <w:bookmarkStart w:id="114" w:name="page115"/>
    <w:bookmarkEnd w:id="11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079"/>
        <w:spacing w:after="0" w:line="278" w:lineRule="auto"/>
        <w:rPr>
          <w:sz w:val="20"/>
          <w:szCs w:val="20"/>
          <w:color w:val="auto"/>
        </w:rPr>
      </w:pPr>
      <w:r>
        <w:rPr>
          <w:rFonts w:ascii="Times New Roman" w:cs="Times New Roman" w:eastAsia="Times New Roman" w:hAnsi="Times New Roman"/>
          <w:sz w:val="14"/>
          <w:szCs w:val="14"/>
          <w:color w:val="auto"/>
        </w:rPr>
        <w:t>reduce the exercise price of outstanding stock options and stock appreciation rights or effect the repricing of such awards through cancellation and re-grants or cancellation in exchange for cash or other awards without stockholder consent.</w:t>
      </w:r>
    </w:p>
    <w:p>
      <w:pPr>
        <w:spacing w:after="0" w:line="126"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No awards may be granted under the Factorial Energy Incentive Plan after the date that is ten years from the Incentive Plan Effective Date. Awards of incentive stock options may not be granted under the 2026 Incentive Plan after the tenth anniversary of the Closing Date.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Factorial Energy Inc. 2026 Employee Stock Purchase Plan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connection with the Business Combination, Factorial Energy adopted the ESPP.</w:t>
      </w:r>
    </w:p>
    <w:p>
      <w:pPr>
        <w:spacing w:after="0" w:line="171"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w:t>
      </w:r>
    </w:p>
    <w:p>
      <w:pPr>
        <w:spacing w:after="0" w:line="142" w:lineRule="exact"/>
        <w:rPr>
          <w:sz w:val="20"/>
          <w:szCs w:val="20"/>
          <w:color w:val="auto"/>
        </w:rPr>
      </w:pPr>
    </w:p>
    <w:p>
      <w:pPr>
        <w:ind w:left="760" w:right="919" w:firstLine="249"/>
        <w:spacing w:after="0" w:line="277" w:lineRule="auto"/>
        <w:rPr>
          <w:sz w:val="20"/>
          <w:szCs w:val="20"/>
          <w:color w:val="auto"/>
        </w:rPr>
      </w:pPr>
      <w:r>
        <w:rPr>
          <w:rFonts w:ascii="Times New Roman" w:cs="Times New Roman" w:eastAsia="Times New Roman" w:hAnsi="Times New Roman"/>
          <w:sz w:val="13"/>
          <w:szCs w:val="13"/>
          <w:color w:val="auto"/>
        </w:rPr>
        <w:t>The total number of shares of Series A Common Stock initially reserved for issuance under the ESPP is 1,830,211 shares of Series A Common Stock. The ESPP provides that the number of shares reserved and available for issuance thereunder automatically increases each January 1, beginning on January 1, 2027 and ending on January 1, 2036, by the least of (i) 2% of our Outstanding Shares on the immediately preceding December 31, (ii) 3,000,000 shares of Series A Common Stock and (iii) such number of shares of Series A Common Stock as determined by the administrator of the ESPP. If our capital structure changes because of a stock dividend, stock split or similar event, the number of shares that can be issued under the ESPP is appropriately adjusted.</w:t>
      </w:r>
    </w:p>
    <w:p>
      <w:pPr>
        <w:spacing w:after="0" w:line="128"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The ESPP is administered by the person or persons appointed by the Factorial Energy Board and the administrator of the ESPP has full authority to make, administer and interpret such rules and regulations regarding the ESPP as it deems advisable.</w:t>
      </w:r>
    </w:p>
    <w:p>
      <w:pPr>
        <w:spacing w:after="0" w:line="126" w:lineRule="exact"/>
        <w:rPr>
          <w:sz w:val="20"/>
          <w:szCs w:val="20"/>
          <w:color w:val="auto"/>
        </w:rPr>
      </w:pPr>
    </w:p>
    <w:p>
      <w:pPr>
        <w:ind w:left="760" w:right="919" w:firstLine="249"/>
        <w:spacing w:after="0" w:line="272" w:lineRule="auto"/>
        <w:rPr>
          <w:sz w:val="20"/>
          <w:szCs w:val="20"/>
          <w:color w:val="auto"/>
        </w:rPr>
      </w:pPr>
      <w:r>
        <w:rPr>
          <w:rFonts w:ascii="Times New Roman" w:cs="Times New Roman" w:eastAsia="Times New Roman" w:hAnsi="Times New Roman"/>
          <w:sz w:val="13"/>
          <w:szCs w:val="13"/>
          <w:color w:val="auto"/>
        </w:rPr>
        <w:t>All individuals classified as employees on the payroll records of Factorial Energy or a “designated company,” as defined in the ESPP, are eligible to participate in the ESPP, provided that the administrator of the ESPP may determine, in advance of any offering, that such employees are eligible only if, as of the first day of the applicable offering (the “offering date”), (a) they are customarily employed by Factorial Energy or a designated company for more than (i) 20 hours a week or (ii) five months per calendar year,</w:t>
      </w:r>
    </w:p>
    <w:p>
      <w:pPr>
        <w:spacing w:after="0" w:line="2" w:lineRule="exact"/>
        <w:rPr>
          <w:sz w:val="20"/>
          <w:szCs w:val="20"/>
          <w:color w:val="auto"/>
        </w:rPr>
      </w:pPr>
    </w:p>
    <w:p>
      <w:pPr>
        <w:ind w:left="760" w:right="839" w:firstLine="4"/>
        <w:spacing w:after="0" w:line="249" w:lineRule="auto"/>
        <w:tabs>
          <w:tab w:leader="none" w:pos="95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have completed a minimum period of service prior to the offering date (provided such service requirement does not exceed two years of employment) and/or (c) they are not highly compensated employees (within the meaning of Section 414(q) of the Code). No person who owns or holds, or as a result of participation in the ESPP would own or hold, Factorial Energy Common Stock or options to purchase Factorial Energy Common Stock, that together equal 5% or more of total combined voting power or value of all classes of stock of Factorial Energy or any parent or subsidiary is entitled to participate in the ESPP. No employee may exercise an option granted under the ESPP that permits the employee to purchase Series A Common Stock having a value of more than $25,000 (determined using the fair market value of the stock at the time such option is granted) in any calendar year.</w:t>
      </w:r>
    </w:p>
    <w:p>
      <w:pPr>
        <w:spacing w:after="0" w:line="145" w:lineRule="exact"/>
        <w:rPr>
          <w:sz w:val="20"/>
          <w:szCs w:val="20"/>
          <w:color w:val="auto"/>
        </w:rPr>
      </w:pPr>
    </w:p>
    <w:p>
      <w:pPr>
        <w:ind w:left="760" w:right="1079" w:firstLine="249"/>
        <w:spacing w:after="0" w:line="252" w:lineRule="auto"/>
        <w:rPr>
          <w:sz w:val="20"/>
          <w:szCs w:val="20"/>
          <w:color w:val="auto"/>
        </w:rPr>
      </w:pPr>
      <w:r>
        <w:rPr>
          <w:rFonts w:ascii="Times New Roman" w:cs="Times New Roman" w:eastAsia="Times New Roman" w:hAnsi="Times New Roman"/>
          <w:sz w:val="14"/>
          <w:szCs w:val="14"/>
          <w:color w:val="auto"/>
        </w:rPr>
        <w:t>Participation in the ESPP is limited to eligible employees who authorize payroll deductions or contributions equal to a whole percentage (unless the administrator of the ESPP determines in advance of an offering to require that a fixed amount be specified in lieu of a percentage) of base pay to the ESPP. Employees may authorize payroll deductions or contributions, with a minimum of 1% of base pay and a maximum of 15% of base pay or such other minimum or maximum as may be specified by the administrator of the ESPP in advance of an offering. As of the date of this prospectus, there are currently approximately 115 employees who are eligible to participate in the ESPP. Once an employee becomes a participant in the ESPP, that employee will automatically participate in successive offering periods, as described below, until such time as that employee withdraws from the ESPP, becomes ineligible to participate in the ESPP or his or her employment ceases.</w:t>
      </w:r>
    </w:p>
    <w:p>
      <w:pPr>
        <w:spacing w:after="0" w:line="144"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Factorial Energy may make one or more offerings, consisting of one or more purchase periods, to its employees to purchase shares under the ESPP, which is referred to as an “offering period.” Each offering period begins and ends on the dates determined by the administrator of the ESPP; provided that, no offering period shall exceed 27 months in duration. Shares are purchased on the last business day of each purchase period or, if such purchase period is the last purchase period of the offering period, the last business day of such offering period, with that day being referred to as an “exercise date.”</w:t>
      </w:r>
    </w:p>
    <w:p>
      <w:pPr>
        <w:spacing w:after="0" w:line="142" w:lineRule="exact"/>
        <w:rPr>
          <w:sz w:val="20"/>
          <w:szCs w:val="20"/>
          <w:color w:val="auto"/>
        </w:rPr>
      </w:pPr>
    </w:p>
    <w:p>
      <w:pPr>
        <w:ind w:left="760" w:right="979" w:firstLine="249"/>
        <w:spacing w:after="0" w:line="283" w:lineRule="auto"/>
        <w:rPr>
          <w:sz w:val="20"/>
          <w:szCs w:val="20"/>
          <w:color w:val="auto"/>
        </w:rPr>
      </w:pPr>
      <w:r>
        <w:rPr>
          <w:rFonts w:ascii="Times New Roman" w:cs="Times New Roman" w:eastAsia="Times New Roman" w:hAnsi="Times New Roman"/>
          <w:sz w:val="13"/>
          <w:szCs w:val="13"/>
          <w:color w:val="auto"/>
        </w:rPr>
        <w:t>On the offering date, Factorial Energy grants to employees participating in that offering period an option to purchase shares of Series A Common Stock. On the exercise date of each purchase period, the employee is deemed to have exercised the option, at the exercise price, for the lowest of (i) the number of shares of Series A Common Stock determined by dividing such employee’s accumulated payroll deductions or contributions on such exercise date by the exercise price; (ii) the number of shares of Series A</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9019"/>
          </w:cols>
          <w:pgMar w:left="1440" w:top="551" w:right="1440"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79"/>
        <w:spacing w:after="0" w:line="275" w:lineRule="auto"/>
        <w:rPr>
          <w:sz w:val="20"/>
          <w:szCs w:val="20"/>
          <w:color w:val="auto"/>
        </w:rPr>
      </w:pPr>
      <w:r>
        <w:rPr>
          <w:rFonts w:ascii="Times New Roman" w:cs="Times New Roman" w:eastAsia="Times New Roman" w:hAnsi="Times New Roman"/>
          <w:sz w:val="13"/>
          <w:szCs w:val="13"/>
          <w:color w:val="auto"/>
        </w:rPr>
        <w:t xml:space="preserve">Common Stock determined by dividing $25,000 by the fair market value of the common stock on the applicable offering date for such offering; or (iii) such other number of shares as established by the administrator of the ESPP in advance of the offering. The exercise price is equal to the lesser of (i) 85% the fair market value per share of Series A Common Stock on the first day of the offering period or </w:t>
      </w:r>
      <w:r>
        <w:rPr>
          <w:rFonts w:ascii="Times New Roman" w:cs="Times New Roman" w:eastAsia="Times New Roman" w:hAnsi="Times New Roman"/>
          <w:sz w:val="13"/>
          <w:szCs w:val="13"/>
          <w:color w:val="231F20"/>
        </w:rPr>
        <w:t>(ii) 85% of the fair market value per share of Series A Common Stock on the exercise date. No participant may be granted an option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that permits such participant rights to purchase Series A Common Stock under the ESPP, and any other employee stock purchase plan of Factorial Energy and its parents and subsidiaries, to accrue at a rate that exceeds $25,000 of the fair market value of Series A Common Stock (determined on the option grant date) for each calendar year in which the option is outstanding at any time.</w:t>
      </w:r>
    </w:p>
    <w:p>
      <w:pPr>
        <w:spacing w:after="0" w:line="131"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In general, if an employee is no longer a participant on an exercise date, the employee’s option will be automatically terminated, and the amount of the employee’s accumulated payroll deductions or contributions will be refunded.</w:t>
      </w:r>
    </w:p>
    <w:p>
      <w:pPr>
        <w:spacing w:after="0" w:line="126" w:lineRule="exact"/>
        <w:rPr>
          <w:sz w:val="20"/>
          <w:szCs w:val="20"/>
          <w:color w:val="auto"/>
        </w:rPr>
      </w:pPr>
    </w:p>
    <w:p>
      <w:pPr>
        <w:ind w:left="760" w:right="919" w:firstLine="249"/>
        <w:spacing w:after="0" w:line="255" w:lineRule="auto"/>
        <w:rPr>
          <w:sz w:val="20"/>
          <w:szCs w:val="20"/>
          <w:color w:val="auto"/>
        </w:rPr>
      </w:pPr>
      <w:r>
        <w:rPr>
          <w:rFonts w:ascii="Times New Roman" w:cs="Times New Roman" w:eastAsia="Times New Roman" w:hAnsi="Times New Roman"/>
          <w:sz w:val="14"/>
          <w:szCs w:val="14"/>
          <w:color w:val="auto"/>
        </w:rPr>
        <w:t>To the extent an offering period has more than one purchase period and to the extent permitted by applicable law, if the fair market value of Series A Common Stock on any exercise date in an offering period is lower than the fair market value of Series A Common Stock on the first day of such offering, then all participants in such offering will be automatically withdrawn from such offering immediately after the exercise of their option on such exercise date and will be automatically re-enrolled in the immediately following offering period as of the first day thereof.</w:t>
      </w:r>
    </w:p>
    <w:p>
      <w:pPr>
        <w:spacing w:after="0" w:line="142"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Except as may be permitted by the administrator of the ESPP in advance of an offering period, a participant may not increase or decrease the amount of such participant’s payroll deductions or contributions during any offering period; provided, however, that a participant may increase or decrease such participant’s payroll deduction or contributions with respect to the next offering period by filing a new enrollment form within the period established by the administrator of the ESPP. A participant may withdraw from an offering period at any time without affecting such participant’s eligibility to participate in future offering periods. If a participant withdraws from an offering period, that participant may not again participate in the same offering period, but may enroll in subsequent offering periods. A participant’s withdrawal will be effective as soon as practicable following the date that the plan administrator receives the participant’s written notice of withdrawal under the ESPP.</w:t>
      </w:r>
    </w:p>
    <w:p>
      <w:pPr>
        <w:spacing w:after="0" w:line="144" w:lineRule="exact"/>
        <w:rPr>
          <w:sz w:val="20"/>
          <w:szCs w:val="20"/>
          <w:color w:val="auto"/>
        </w:rPr>
      </w:pPr>
    </w:p>
    <w:p>
      <w:pPr>
        <w:ind w:left="760" w:right="999" w:firstLine="249"/>
        <w:spacing w:after="0" w:line="274" w:lineRule="auto"/>
        <w:rPr>
          <w:sz w:val="20"/>
          <w:szCs w:val="20"/>
          <w:color w:val="auto"/>
        </w:rPr>
      </w:pPr>
      <w:r>
        <w:rPr>
          <w:rFonts w:ascii="Times New Roman" w:cs="Times New Roman" w:eastAsia="Times New Roman" w:hAnsi="Times New Roman"/>
          <w:sz w:val="13"/>
          <w:szCs w:val="13"/>
          <w:color w:val="auto"/>
        </w:rPr>
        <w:t>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 transactions or events: (a) to provide for either</w:t>
      </w:r>
    </w:p>
    <w:p>
      <w:pPr>
        <w:spacing w:after="0" w:line="2" w:lineRule="exact"/>
        <w:rPr>
          <w:sz w:val="20"/>
          <w:szCs w:val="20"/>
          <w:color w:val="auto"/>
        </w:rPr>
      </w:pPr>
    </w:p>
    <w:p>
      <w:pPr>
        <w:ind w:left="760" w:right="779" w:firstLine="4"/>
        <w:spacing w:after="0" w:line="269" w:lineRule="auto"/>
        <w:tabs>
          <w:tab w:leader="none" w:pos="92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of the ESPP in its sole discretion; (b) to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of Series A Common Stock (or other securities or property) subject to outstanding options under the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w:t>
      </w:r>
    </w:p>
    <w:p>
      <w:pPr>
        <w:spacing w:after="0" w:line="138"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The Factorial Energy Board may terminate or amend the ESPP at any time. An amendment that increases the number of shares of Series A Common Stock authorized under the ESPP and certain other amendments require the approval of the Factorial Energy stockholders.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Senior Executive Cash Incentive Bonus Plan</w:t>
      </w:r>
    </w:p>
    <w:p>
      <w:pPr>
        <w:spacing w:after="0" w:line="173" w:lineRule="exact"/>
        <w:rPr>
          <w:sz w:val="20"/>
          <w:szCs w:val="20"/>
          <w:color w:val="auto"/>
        </w:rPr>
      </w:pPr>
    </w:p>
    <w:p>
      <w:pPr>
        <w:ind w:left="760" w:right="91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Business Combination, the Factorial Energy Board adopted the Senior Executive Cash Incentive Bonus Plan (the “Bonus Plan”), effective as of the Closing. The Bonus Plan allows for cash bonus payments based upon company and individual performance targets that may be established by the compensation committee of the Factorial Energy Board. Any payment targets will be related to financial and operational measures or objectives with respect to Factorial Energy (the “Corporate Performance Goals”), as well as individual performance objectives.</w:t>
      </w:r>
    </w:p>
    <w:p>
      <w:pPr>
        <w:spacing w:after="0" w:line="142" w:lineRule="exact"/>
        <w:rPr>
          <w:sz w:val="20"/>
          <w:szCs w:val="20"/>
          <w:color w:val="auto"/>
        </w:rPr>
      </w:pPr>
    </w:p>
    <w:p>
      <w:pPr>
        <w:ind w:left="760" w:right="839" w:firstLine="249"/>
        <w:spacing w:after="0" w:line="277" w:lineRule="auto"/>
        <w:rPr>
          <w:sz w:val="20"/>
          <w:szCs w:val="20"/>
          <w:color w:val="auto"/>
        </w:rPr>
      </w:pPr>
      <w:r>
        <w:rPr>
          <w:rFonts w:ascii="Times New Roman" w:cs="Times New Roman" w:eastAsia="Times New Roman" w:hAnsi="Times New Roman"/>
          <w:sz w:val="13"/>
          <w:szCs w:val="13"/>
          <w:color w:val="auto"/>
        </w:rPr>
        <w:t>The compensation committee of the Factorial Energy Board may select Corporate Performance Goals from among the following: cash flow (including, but not limited to, operating cash flow and free cash flow); research and development, regulatory milestones; revenue; corporate revenue; earnings before interest, taxes, depreciation and amortization; net income (loss) (either before or after interest, taxes, depreciation and/or amortization); changes in the market price of the Series A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9019"/>
          </w:cols>
          <w:pgMar w:left="1440" w:top="551" w:right="1440" w:bottom="1440" w:gutter="0" w:footer="0" w:header="0"/>
        </w:sectPr>
      </w:pPr>
    </w:p>
    <w:bookmarkStart w:id="116" w:name="page117"/>
    <w:bookmarkEnd w:id="11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spacing w:after="0" w:line="255" w:lineRule="auto"/>
        <w:rPr>
          <w:sz w:val="20"/>
          <w:szCs w:val="20"/>
          <w:color w:val="auto"/>
        </w:rPr>
      </w:pPr>
      <w:r>
        <w:rPr>
          <w:rFonts w:ascii="Times New Roman" w:cs="Times New Roman" w:eastAsia="Times New Roman" w:hAnsi="Times New Roman"/>
          <w:sz w:val="14"/>
          <w:szCs w:val="14"/>
          <w:color w:val="auto"/>
        </w:rPr>
        <w:t>expense efficiency; margins; operating efficiency; customer satisfaction; working capital; earnings (loss) per share of Series A Common Stock; sales or market shares; operating income; net annual recurring revenue; or any other performance goal selected by the compensation committee of the Factorial Energy Board,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Each executive officer who is selected to participate in the Bonus Plan will have a target bonus opportunity set for each</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performance period. The bonus formulas are adopted in each performance period by the compensation committee of the Factorial</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Energy Board and communicated to each executive. The Corporate Performance Goals are measured at the end of each performance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period after Factorial Energy financial reports have been published or such other appropriate time as the compensation committee of</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Factorial Energy Board determines. If the Corporate Performance Goals and individual performance objectives are met, payments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will be made as soon as practicable following the end of each performance period, but not later than 74 days after the end of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fiscal year in which such performance period ends. Subject to any rights contained in any agreement between the executive officer and</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Factorial Energy, an executive officer is required to be employed by us on the bonus payment date to be eligible to receive a bonus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payment under the Bonus Plan. The Bonus Plan also permits the compensation committee of the Factorial Energy Board to approve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additional bonuses to executive officers in its sole discretion.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2025 Director Compensation Table</w:t>
      </w:r>
    </w:p>
    <w:p>
      <w:pPr>
        <w:spacing w:after="0" w:line="173" w:lineRule="exact"/>
        <w:rPr>
          <w:sz w:val="20"/>
          <w:szCs w:val="20"/>
          <w:color w:val="auto"/>
        </w:rPr>
      </w:pPr>
    </w:p>
    <w:p>
      <w:pPr>
        <w:jc w:val="both"/>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Factorial Energy’s non-employee directors for services rendered to Legacy Factorial during the fiscal year ended December 31, 2025. Directors who are employees of Factorial Energy do not receive additional compensation for serving as directors. We reimburse non-employee directors for reasonable travel and out-of-pocket expenses incurred in attending meetings of the Factorial Energy Board and the committees thereof.</w:t>
      </w:r>
    </w:p>
    <w:p>
      <w:pPr>
        <w:spacing w:after="0" w:line="156"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Fees Earned</w:t>
            </w:r>
          </w:p>
        </w:tc>
        <w:tc>
          <w:tcPr>
            <w:tcW w:w="840" w:type="dxa"/>
            <w:vAlign w:val="bottom"/>
            <w:gridSpan w:val="2"/>
          </w:tcPr>
          <w:p>
            <w:pPr>
              <w:jc w:val="right"/>
              <w:ind w:right="635"/>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r>
      <w:tr>
        <w:trPr>
          <w:trHeight w:val="125"/>
        </w:trPr>
        <w:tc>
          <w:tcPr>
            <w:tcW w:w="18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or Paid in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18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Cash</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Option Awards</w:t>
            </w:r>
          </w:p>
        </w:tc>
        <w:tc>
          <w:tcPr>
            <w:tcW w:w="1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4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80" w:type="dxa"/>
            <w:vAlign w:val="bottom"/>
            <w:gridSpan w:val="2"/>
          </w:tcPr>
          <w:p>
            <w:pPr>
              <w:jc w:val="center"/>
              <w:ind w:left="81"/>
              <w:spacing w:after="0" w:line="136"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(1)</w:t>
            </w:r>
          </w:p>
        </w:tc>
        <w:tc>
          <w:tcPr>
            <w:tcW w:w="840" w:type="dxa"/>
            <w:vAlign w:val="bottom"/>
            <w:gridSpan w:val="2"/>
          </w:tcPr>
          <w:p>
            <w:pPr>
              <w:jc w:val="right"/>
              <w:ind w:right="175"/>
              <w:spacing w:after="0" w:line="136"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(2)</w:t>
            </w:r>
          </w:p>
        </w:tc>
        <w:tc>
          <w:tcPr>
            <w:tcW w:w="740" w:type="dxa"/>
            <w:vAlign w:val="bottom"/>
            <w:gridSpan w:val="2"/>
          </w:tcPr>
          <w:p>
            <w:pPr>
              <w:jc w:val="center"/>
              <w:ind w:left="105"/>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r>
      <w:tr>
        <w:trPr>
          <w:trHeight w:val="157"/>
        </w:trPr>
        <w:tc>
          <w:tcPr>
            <w:tcW w:w="4340" w:type="dxa"/>
            <w:vAlign w:val="bottom"/>
            <w:tcBorders>
              <w:top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Michael Bly</w:t>
            </w:r>
            <w:r>
              <w:rPr>
                <w:rFonts w:ascii="Times New Roman" w:cs="Times New Roman" w:eastAsia="Times New Roman" w:hAnsi="Times New Roman"/>
                <w:sz w:val="18"/>
                <w:szCs w:val="18"/>
                <w:color w:val="auto"/>
                <w:vertAlign w:val="superscript"/>
              </w:rPr>
              <w:t>(3)</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4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66"/>
        </w:trPr>
        <w:tc>
          <w:tcPr>
            <w:tcW w:w="43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Uwe Keller</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43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Liad Meidar</w:t>
            </w:r>
            <w:r>
              <w:rPr>
                <w:rFonts w:ascii="Times New Roman" w:cs="Times New Roman" w:eastAsia="Times New Roman" w:hAnsi="Times New Roman"/>
                <w:sz w:val="19"/>
                <w:szCs w:val="19"/>
                <w:color w:val="auto"/>
                <w:vertAlign w:val="superscript"/>
              </w:rPr>
              <w:t>(4)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302,606</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302,606</w:t>
            </w:r>
          </w:p>
        </w:tc>
        <w:tc>
          <w:tcPr>
            <w:tcW w:w="40" w:type="dxa"/>
            <w:vAlign w:val="bottom"/>
          </w:tcPr>
          <w:p>
            <w:pPr>
              <w:spacing w:after="0"/>
              <w:rPr>
                <w:sz w:val="14"/>
                <w:szCs w:val="14"/>
                <w:color w:val="auto"/>
              </w:rPr>
            </w:pPr>
          </w:p>
        </w:tc>
      </w:tr>
      <w:tr>
        <w:trPr>
          <w:trHeight w:val="166"/>
        </w:trPr>
        <w:tc>
          <w:tcPr>
            <w:tcW w:w="43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Praveen Sahay</w:t>
            </w:r>
            <w:r>
              <w:rPr>
                <w:rFonts w:ascii="Times New Roman" w:cs="Times New Roman" w:eastAsia="Times New Roman" w:hAnsi="Times New Roman"/>
                <w:sz w:val="19"/>
                <w:szCs w:val="19"/>
                <w:color w:val="auto"/>
                <w:vertAlign w:val="superscript"/>
              </w:rPr>
              <w:t>(5)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302,606</w:t>
            </w:r>
          </w:p>
        </w:tc>
        <w:tc>
          <w:tcPr>
            <w:tcW w:w="14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302,606</w:t>
            </w:r>
          </w:p>
        </w:tc>
        <w:tc>
          <w:tcPr>
            <w:tcW w:w="40" w:type="dxa"/>
            <w:vAlign w:val="bottom"/>
          </w:tcPr>
          <w:p>
            <w:pPr>
              <w:spacing w:after="0"/>
              <w:rPr>
                <w:sz w:val="14"/>
                <w:szCs w:val="14"/>
                <w:color w:val="auto"/>
              </w:rPr>
            </w:pPr>
          </w:p>
        </w:tc>
      </w:tr>
      <w:tr>
        <w:trPr>
          <w:trHeight w:val="332"/>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Joseph Taylor</w:t>
            </w:r>
            <w:r>
              <w:rPr>
                <w:rFonts w:ascii="Times New Roman" w:cs="Times New Roman" w:eastAsia="Times New Roman" w:hAnsi="Times New Roman"/>
                <w:sz w:val="20"/>
                <w:szCs w:val="20"/>
                <w:color w:val="auto"/>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952,746</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1,302,750</w:t>
            </w:r>
          </w:p>
        </w:tc>
        <w:tc>
          <w:tcPr>
            <w:tcW w:w="40" w:type="dxa"/>
            <w:vAlign w:val="bottom"/>
          </w:tcPr>
          <w:p>
            <w:pPr>
              <w:spacing w:after="0"/>
              <w:rPr>
                <w:sz w:val="24"/>
                <w:szCs w:val="24"/>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bl>
    <w:p>
      <w:pPr>
        <w:spacing w:after="0" w:line="48" w:lineRule="exact"/>
        <w:rPr>
          <w:sz w:val="20"/>
          <w:szCs w:val="20"/>
          <w:color w:val="auto"/>
        </w:rPr>
      </w:pPr>
    </w:p>
    <w:p>
      <w:pPr>
        <w:ind w:left="1020" w:right="899" w:hanging="256"/>
        <w:spacing w:after="0" w:line="251"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For the fiscal year ended December 31, 2025, Mr. Taylor was eligible to be paid annual cash fees of </w:t>
      </w:r>
      <w:r>
        <w:rPr>
          <w:rFonts w:ascii="Times New Roman" w:cs="Times New Roman" w:eastAsia="Times New Roman" w:hAnsi="Times New Roman"/>
          <w:sz w:val="14"/>
          <w:szCs w:val="14"/>
          <w:color w:val="000000"/>
        </w:rPr>
        <w:t>$350,004 for services as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Executive Chairman of the Factorial Energy Board. However, effective January 1, 2025, Mr. Taylor volunteered for a temporary 50% reduction in his cash fees, which fees were reinstated to their pre-reduction levels effective January 1, 2026. The amount reported for Mr. Taylor represents cash fees paid for services as Executive Chairman of the Factorial Energy Board as well as a discretionary make whole bonus payment of $175,002 due to the closing of the convertible notes issued by Legacy Factorial in August 2025 and enhanced duties in connection with the Business Combination, which was approved by the Factorial Energy Board on November 20, 2025.</w:t>
      </w:r>
    </w:p>
    <w:p>
      <w:pPr>
        <w:ind w:left="1020" w:right="799" w:hanging="256"/>
        <w:spacing w:after="0" w:line="247" w:lineRule="auto"/>
        <w:tabs>
          <w:tab w:leader="none" w:pos="1020" w:val="left"/>
        </w:tabs>
        <w:numPr>
          <w:ilvl w:val="0"/>
          <w:numId w:val="5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The amounts reported represent the aggregate grant date fair value of stock options awarded to Legacy Factorial’s non-employee directors during the fiscal year ended December 31, 2025, as well as the incremental fair value of stock options that were repriced during the fiscal year ended December 31, 2025, in each case, calculated in accordance with FASB ASC Topic 718, disregarding estimated forfeitures related to service-based vesting. For a description of the assumptions used in determining these values, see Note 3 of Legacy Factorial’s audited financial statements for the fiscal year ended December 31, 2025 included elsewhere in this prospectus. The amounts reported in this column reflect the accounting cost for the stock options and do not correspond to the actual economic value that may be received by the applicable non-employee director upon the exercise of the stock options or any sale of the underlying shares.</w:t>
      </w:r>
    </w:p>
    <w:p>
      <w:pPr>
        <w:spacing w:after="0" w:line="4" w:lineRule="exact"/>
        <w:rPr>
          <w:rFonts w:ascii="Times New Roman" w:cs="Times New Roman" w:eastAsia="Times New Roman" w:hAnsi="Times New Roman"/>
          <w:sz w:val="14"/>
          <w:szCs w:val="14"/>
          <w:color w:val="231F20"/>
        </w:rPr>
      </w:pPr>
    </w:p>
    <w:p>
      <w:pPr>
        <w:ind w:left="1020" w:hanging="25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As of December 31. 2025, Messrs. Bly and Keller did not hold any outstanding equity awards.</w:t>
      </w:r>
    </w:p>
    <w:p>
      <w:pPr>
        <w:spacing w:after="0" w:line="5" w:lineRule="exact"/>
        <w:rPr>
          <w:rFonts w:ascii="Times New Roman" w:cs="Times New Roman" w:eastAsia="Times New Roman" w:hAnsi="Times New Roman"/>
          <w:sz w:val="14"/>
          <w:szCs w:val="14"/>
          <w:color w:val="auto"/>
        </w:rPr>
      </w:pPr>
    </w:p>
    <w:p>
      <w:pPr>
        <w:ind w:left="1020" w:right="1019" w:hanging="256"/>
        <w:spacing w:after="0" w:line="247"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As of December 31, 2025, Mr. Meidar held outstanding options to purchase an aggregate of 50,000 shares of Legacy Factorial Common Stock.</w:t>
      </w:r>
    </w:p>
    <w:p>
      <w:pPr>
        <w:spacing w:after="0" w:line="1" w:lineRule="exact"/>
        <w:rPr>
          <w:rFonts w:ascii="Times New Roman" w:cs="Times New Roman" w:eastAsia="Times New Roman" w:hAnsi="Times New Roman"/>
          <w:sz w:val="14"/>
          <w:szCs w:val="14"/>
          <w:color w:val="auto"/>
        </w:rPr>
      </w:pPr>
    </w:p>
    <w:p>
      <w:pPr>
        <w:ind w:left="1020" w:right="999" w:hanging="256"/>
        <w:spacing w:after="0" w:line="247"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As of December 31, 2025, Mr. Sahay held outstanding options to purchase an aggregate of 100,000 shares of Legacy Factorial Common Stock.</w:t>
      </w:r>
    </w:p>
    <w:p>
      <w:pPr>
        <w:spacing w:after="0" w:line="1" w:lineRule="exact"/>
        <w:rPr>
          <w:rFonts w:ascii="Times New Roman" w:cs="Times New Roman" w:eastAsia="Times New Roman" w:hAnsi="Times New Roman"/>
          <w:sz w:val="14"/>
          <w:szCs w:val="14"/>
          <w:color w:val="auto"/>
        </w:rPr>
      </w:pPr>
    </w:p>
    <w:p>
      <w:pPr>
        <w:ind w:left="1020" w:right="879" w:hanging="256"/>
        <w:spacing w:after="0" w:line="255"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As of December 31, 2025, Mr. Taylor held outstanding options to purchase an aggregate of 1,100,783 shares of Legacy Factorial Common Stock and 33,594 unvested RSUs.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9019"/>
          </w:cols>
          <w:pgMar w:left="1440" w:top="551" w:right="1440" w:bottom="1440" w:gutter="0" w:footer="0" w:header="0"/>
        </w:sectPr>
      </w:pPr>
    </w:p>
    <w:bookmarkStart w:id="117" w:name="page118"/>
    <w:bookmarkEnd w:id="11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 Compensation Policy</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Business Combination, the Factorial Energy Board adopted a non-employee director compensation policy that became effective at the Closing. The policy is designed to enable us to attract and retain, on a long-term basis, highly qualified non-employee directors. Under the policy, the Factorial Energy non-employee directors other than the Executive Chairman are eligible to receive cash retainers (which are payable quarterly in arrears and prorated for partial years of service) and equity awards as set forth below:</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Annual</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Retainer</w:t>
            </w:r>
          </w:p>
        </w:tc>
        <w:tc>
          <w:tcPr>
            <w:tcW w:w="0" w:type="dxa"/>
            <w:vAlign w:val="bottom"/>
          </w:tcPr>
          <w:p>
            <w:pPr>
              <w:spacing w:after="0"/>
              <w:rPr>
                <w:sz w:val="1"/>
                <w:szCs w:val="1"/>
                <w:color w:val="auto"/>
              </w:rPr>
            </w:pPr>
          </w:p>
        </w:tc>
      </w:tr>
      <w:tr>
        <w:trPr>
          <w:trHeight w:val="157"/>
        </w:trPr>
        <w:tc>
          <w:tcPr>
            <w:tcW w:w="47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Board of Directors:</w:t>
            </w:r>
          </w:p>
        </w:tc>
        <w:tc>
          <w:tcPr>
            <w:tcW w:w="16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Members</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retainer for non-executive chair</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Additional retainer for lead independent director</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1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760" w:right="779" w:firstLine="249"/>
        <w:spacing w:after="0" w:line="275" w:lineRule="auto"/>
        <w:rPr>
          <w:sz w:val="20"/>
          <w:szCs w:val="20"/>
          <w:color w:val="auto"/>
        </w:rPr>
      </w:pPr>
      <w:r>
        <w:rPr>
          <w:rFonts w:ascii="Times New Roman" w:cs="Times New Roman" w:eastAsia="Times New Roman" w:hAnsi="Times New Roman"/>
          <w:sz w:val="13"/>
          <w:szCs w:val="13"/>
          <w:color w:val="auto"/>
        </w:rPr>
        <w:t xml:space="preserve">In addition, the non-employee director compensation policy provides that, upon initial election to the Factorial Energy Board, each non-employee director other than the Executive Chairman is granted an initial RSU award with a value of $180,000 (the “Initial Grant”). The Initial Grant vests in full on the first anniversary of the date of grant, subject to continued service through the applicable vesting date. Furthermore, on the date of each annual meeting of stockholders following the completion of the Business Combination, each non-employee director who continues as a non-employee director following such meeting other than the Executive Chairman is granted an annual RSU award with a value of $180,000 (the “Annual Grant”). The Annual Grant vests in full upon the earlier of (i) the first anniversary of the date of grant or </w:t>
      </w:r>
      <w:r>
        <w:rPr>
          <w:rFonts w:ascii="Times New Roman" w:cs="Times New Roman" w:eastAsia="Times New Roman" w:hAnsi="Times New Roman"/>
          <w:sz w:val="13"/>
          <w:szCs w:val="13"/>
          <w:color w:val="231F20"/>
        </w:rPr>
        <w:t>(ii) the date of Factorial Energy’s next annual meeting of stockholders.</w:t>
      </w:r>
    </w:p>
    <w:p>
      <w:pPr>
        <w:spacing w:after="0" w:line="131"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Executive Chairman of the Factorial Energy Board receives such compensation as is determined annually by the independent members of the Factorial Energy Board. The compensation for the Executive Chairman of the Factorial Energy Board consists of an annual base salary of $360,000 and an annual RSU award with a value of $540,000, subject to vesting in full upon the first anniversary of the date of grant.</w:t>
      </w:r>
    </w:p>
    <w:p>
      <w:pPr>
        <w:spacing w:after="0" w:line="142" w:lineRule="exact"/>
        <w:rPr>
          <w:sz w:val="20"/>
          <w:szCs w:val="20"/>
          <w:color w:val="auto"/>
        </w:rPr>
      </w:pPr>
    </w:p>
    <w:p>
      <w:pPr>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The aggregate amount of compensation, including both equity compensation and cash compensation, paid to any non-employee director for service as a Factorial Energy non-employee director in a calendar year period does not exceed $1,000,000 in the first calendar year such individual becomes a non-employee director and $750,000 in any other calendar year; provided, however, that these limits do not apply to the Executive Chairman of the Factorial Energy Board.</w:t>
      </w:r>
    </w:p>
    <w:p>
      <w:pPr>
        <w:spacing w:after="0" w:line="142" w:lineRule="exact"/>
        <w:rPr>
          <w:sz w:val="20"/>
          <w:szCs w:val="20"/>
          <w:color w:val="auto"/>
        </w:rPr>
      </w:pPr>
    </w:p>
    <w:p>
      <w:pPr>
        <w:ind w:left="760" w:right="999" w:firstLine="249"/>
        <w:spacing w:after="0" w:line="278" w:lineRule="auto"/>
        <w:rPr>
          <w:sz w:val="20"/>
          <w:szCs w:val="20"/>
          <w:color w:val="auto"/>
        </w:rPr>
      </w:pPr>
      <w:r>
        <w:rPr>
          <w:rFonts w:ascii="Times New Roman" w:cs="Times New Roman" w:eastAsia="Times New Roman" w:hAnsi="Times New Roman"/>
          <w:sz w:val="14"/>
          <w:szCs w:val="14"/>
          <w:color w:val="auto"/>
        </w:rPr>
        <w:t>We reimburse all reasonable out-of-pocket expenses incurred by non-employee directors in attending meetings of the Factorial Energy Board and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9019"/>
          </w:cols>
          <w:pgMar w:left="1440" w:top="551" w:right="1440" w:bottom="1440" w:gutter="0" w:footer="0" w:header="0"/>
        </w:sectPr>
      </w:pPr>
    </w:p>
    <w:bookmarkStart w:id="118" w:name="page119"/>
    <w:bookmarkEnd w:id="11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3" w:lineRule="exact"/>
        <w:rPr>
          <w:sz w:val="20"/>
          <w:szCs w:val="20"/>
          <w:color w:val="auto"/>
        </w:rPr>
      </w:pPr>
    </w:p>
    <w:p>
      <w:pPr>
        <w:ind w:left="760" w:right="939" w:firstLine="249"/>
        <w:spacing w:after="0" w:line="255" w:lineRule="auto"/>
        <w:rPr>
          <w:sz w:val="20"/>
          <w:szCs w:val="20"/>
          <w:color w:val="auto"/>
        </w:rPr>
      </w:pPr>
      <w:r>
        <w:rPr>
          <w:rFonts w:ascii="Times New Roman" w:cs="Times New Roman" w:eastAsia="Times New Roman" w:hAnsi="Times New Roman"/>
          <w:sz w:val="14"/>
          <w:szCs w:val="14"/>
          <w:color w:val="auto"/>
        </w:rPr>
        <w:t>The following summary of the material terms of our securities is not intended to be a complete summary of the rights and preferences of such securities, and is qualified by reference to the Factorial Energy Charter and the Factorial Energy Bylaws, which are exhibits to the registration statement of which this prospectus is a part. We urge you to read each of the Factorial Energy Charter and the Factorial Energy Bylaws described herein in their entirety for a complete description of the rights and preferences of our securities.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173"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The Factorial Energy Charter authorizes the issuance of 750,000,000 shares of capital stock, consisting of (i) 600,000,000 shares of Series A common stock, par value $0.00001 per share, (ii) 50,000,000 shares of Series B common stock, par value $0.00001 per share, and (iii) 100,000,000 shares of preferred stock, par value $0.00001 per share. The shares of Series A Common Stock and Series B Common Stock issued in connection with the Business Combination pursuant to the Business Combination Agreement were duly authorized, validly issued, fully paid and non-assessable.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3"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The Factorial Energy Charter authorizes the issuance of 650,000,000 shares of common stock, par value $0.00001 per share. As of the Closing Date, there were issued and outstanding 91,510,501 shares of shares of Series A Common Stock and 15,512,744 shares of Series B Common Stock.</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Factorial Energy Charter provides that:</w:t>
      </w:r>
    </w:p>
    <w:p>
      <w:pPr>
        <w:spacing w:after="0" w:line="171" w:lineRule="exact"/>
        <w:rPr>
          <w:sz w:val="20"/>
          <w:szCs w:val="20"/>
          <w:color w:val="auto"/>
        </w:rPr>
      </w:pPr>
    </w:p>
    <w:p>
      <w:pPr>
        <w:ind w:left="1280" w:right="779" w:hanging="246"/>
        <w:spacing w:after="0" w:line="252" w:lineRule="auto"/>
        <w:tabs>
          <w:tab w:leader="none" w:pos="12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Series A Common Stock and Series B Common Stock shall vote together on all matters submitted to a vote of the stockholders, with each holder of Series A Common Stock entitled to one vote for each share held and each holder of Series B Common Stock entitled to ten votes for each share held; provided, however, that holders of Common Stock shall not be entitled to vote on any amendment to the Factorial Energy Charter (or on any amendment to a certificate of designation of any series of Preferred Stock) that relates solely to the terms of one or more outstanding series of Preferred Stock if the holders of such Preferred Stock or series thereof are entitled, either separately or together with the holders of one or more other such series, to vote thereon pursuant to the Factorial Energy Charter (or pursuant to a certificate of designation of any series of Preferred Stock) or under applicable law;</w:t>
      </w:r>
    </w:p>
    <w:p>
      <w:pPr>
        <w:spacing w:after="0" w:line="143" w:lineRule="exact"/>
        <w:rPr>
          <w:rFonts w:ascii="Times New Roman" w:cs="Times New Roman" w:eastAsia="Times New Roman" w:hAnsi="Times New Roman"/>
          <w:sz w:val="14"/>
          <w:szCs w:val="14"/>
          <w:color w:val="auto"/>
        </w:rPr>
      </w:pPr>
    </w:p>
    <w:p>
      <w:pPr>
        <w:ind w:left="1280" w:right="879" w:hanging="246"/>
        <w:spacing w:after="0" w:line="278" w:lineRule="auto"/>
        <w:tabs>
          <w:tab w:leader="none" w:pos="12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may be declared and paid ratably on the Common Stock out of the assets of Factorial Energy legally available for such purpose at such times and in such amounts as the Board in its discretion shall determine; and</w:t>
      </w:r>
    </w:p>
    <w:p>
      <w:pPr>
        <w:spacing w:after="0" w:line="125" w:lineRule="exact"/>
        <w:rPr>
          <w:rFonts w:ascii="Times New Roman" w:cs="Times New Roman" w:eastAsia="Times New Roman" w:hAnsi="Times New Roman"/>
          <w:sz w:val="14"/>
          <w:szCs w:val="14"/>
          <w:color w:val="auto"/>
        </w:rPr>
      </w:pPr>
    </w:p>
    <w:p>
      <w:pPr>
        <w:ind w:left="1280" w:right="839" w:hanging="246"/>
        <w:spacing w:after="0" w:line="262" w:lineRule="auto"/>
        <w:tabs>
          <w:tab w:leader="none" w:pos="12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voluntary or involuntary liquidation, dissolution or winding up of Factorial Energy, and subject to the rights, if any, of the holders of any outstanding series of Preferred Stock, the net assets of Factorial Energy shall be distributed pro rata to the holders of Common Stock.</w:t>
      </w:r>
    </w:p>
    <w:p>
      <w:pPr>
        <w:spacing w:after="0" w:line="138"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The rights of the holders of Series A Common Stock and Series B Common Stock are identical, except with respect to voting and conversion rights. Each share of Series B Common Stock is entitled to ten votes and will be convertible at the option of the holder at any time into one share of Series A Common Stock on a one-for-one basis. In addition, each share of Series B Common Stock will automatically convert into one share of Series A Common Stock upon the following events, including:</w:t>
      </w:r>
    </w:p>
    <w:p>
      <w:pPr>
        <w:spacing w:after="0" w:line="142" w:lineRule="exact"/>
        <w:rPr>
          <w:sz w:val="20"/>
          <w:szCs w:val="20"/>
          <w:color w:val="auto"/>
        </w:rPr>
      </w:pPr>
    </w:p>
    <w:p>
      <w:pPr>
        <w:ind w:left="1280" w:right="819" w:hanging="246"/>
        <w:spacing w:after="0" w:line="292" w:lineRule="auto"/>
        <w:tabs>
          <w:tab w:leader="none" w:pos="12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 transfer of such share, subject to limited exceptions for certain permitted transfers to family members, estate planning vehicles, retirement accounts and entities that are wholly owned and controlled by the applicable Legacy Factorial Founder, in each case so long as the Factorial Founder retains sole dispositive power and exclusive voting control over such shares;</w:t>
      </w:r>
    </w:p>
    <w:p>
      <w:pPr>
        <w:spacing w:after="0" w:line="119" w:lineRule="exact"/>
        <w:rPr>
          <w:rFonts w:ascii="Times New Roman" w:cs="Times New Roman" w:eastAsia="Times New Roman" w:hAnsi="Times New Roman"/>
          <w:sz w:val="13"/>
          <w:szCs w:val="13"/>
          <w:color w:val="auto"/>
        </w:rPr>
      </w:pPr>
    </w:p>
    <w:p>
      <w:pPr>
        <w:ind w:left="1280" w:right="1059" w:hanging="246"/>
        <w:spacing w:after="0" w:line="278" w:lineRule="auto"/>
        <w:tabs>
          <w:tab w:leader="none" w:pos="1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holder and its permitted transferees collectively cease to beneficially own at least 50% of the number of shares of Series B Common Stock held by such holder as of the Closing Date; or</w:t>
      </w:r>
    </w:p>
    <w:p>
      <w:pPr>
        <w:spacing w:after="0" w:line="125" w:lineRule="exact"/>
        <w:rPr>
          <w:rFonts w:ascii="Times New Roman" w:cs="Times New Roman" w:eastAsia="Times New Roman" w:hAnsi="Times New Roman"/>
          <w:sz w:val="14"/>
          <w:szCs w:val="14"/>
          <w:color w:val="auto"/>
        </w:rPr>
      </w:pPr>
    </w:p>
    <w:p>
      <w:pPr>
        <w:ind w:left="1280" w:right="899" w:hanging="246"/>
        <w:spacing w:after="0" w:line="262" w:lineRule="auto"/>
        <w:tabs>
          <w:tab w:leader="none" w:pos="1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earliest of: (i) the date specified by affirmative vote of the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shares of Series B Common Stock, voting as a single series; (ii) the date that is nine months following the death or incapacity of both Legacy Factorial Founders; and (iii) the date that is the seven year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9019"/>
          </w:cols>
          <w:pgMar w:left="1440" w:top="551" w:right="1440" w:bottom="1440" w:gutter="0" w:footer="0" w:header="0"/>
        </w:sectPr>
      </w:pPr>
    </w:p>
    <w:bookmarkStart w:id="119" w:name="page120"/>
    <w:bookmarkEnd w:id="11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Following any such automatic conversion of all outstanding shares of Series B Common Stock, Factorial Energy will retire such shares and no additional shares of Series B Common Stock may thereafter be issued.</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3" w:lineRule="exact"/>
        <w:rPr>
          <w:sz w:val="20"/>
          <w:szCs w:val="20"/>
          <w:color w:val="auto"/>
        </w:rPr>
      </w:pPr>
    </w:p>
    <w:p>
      <w:pPr>
        <w:ind w:left="760" w:right="859" w:firstLine="249"/>
        <w:spacing w:after="0" w:line="251" w:lineRule="auto"/>
        <w:rPr>
          <w:sz w:val="20"/>
          <w:szCs w:val="20"/>
          <w:color w:val="auto"/>
        </w:rPr>
      </w:pPr>
      <w:r>
        <w:rPr>
          <w:rFonts w:ascii="Times New Roman" w:cs="Times New Roman" w:eastAsia="Times New Roman" w:hAnsi="Times New Roman"/>
          <w:sz w:val="14"/>
          <w:szCs w:val="14"/>
          <w:color w:val="auto"/>
        </w:rPr>
        <w:t>The Factorial Energy Charter provides that shares of preferred stock may be issued from time to time in one or more series. The Factorial Energy Board is authorized to fix the voting rights, if any, designations, powers, preferences and relative, participating, optional, special and other rights, if any, and any qualifications, limitations and restrictions thereof, applicable to the shares of each series. The Factorial Energy Board is able, without stockholder approval, to issue preferred stock with voting and other rights that could adversely affect the voting power and other rights of the holders of the Series A Common Stock and could have anti-takeover effects. The ability of the Factorial Energy Board to issue preferred stock without stockholder approval could have the effect of delaying, deferring or preventing a change of control of us or the removal of existing management. Factorial Energy has no preferred stock outstanding at the date hereof. Although we do not currently intend to issue any shares of preferred stock, we cannot assure you that we will not do so in the future.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Public Warrants</w:t>
      </w:r>
    </w:p>
    <w:p>
      <w:pPr>
        <w:spacing w:after="0" w:line="173" w:lineRule="exact"/>
        <w:rPr>
          <w:sz w:val="20"/>
          <w:szCs w:val="20"/>
          <w:color w:val="auto"/>
        </w:rPr>
      </w:pPr>
    </w:p>
    <w:p>
      <w:pPr>
        <w:ind w:left="760" w:right="839" w:firstLine="249"/>
        <w:spacing w:after="0" w:line="251" w:lineRule="auto"/>
        <w:rPr>
          <w:sz w:val="20"/>
          <w:szCs w:val="20"/>
          <w:color w:val="auto"/>
        </w:rPr>
      </w:pPr>
      <w:r>
        <w:rPr>
          <w:rFonts w:ascii="Times New Roman" w:cs="Times New Roman" w:eastAsia="Times New Roman" w:hAnsi="Times New Roman"/>
          <w:sz w:val="14"/>
          <w:szCs w:val="14"/>
          <w:color w:val="auto"/>
        </w:rPr>
        <w:t>Each whole warrant entitles the registered holder to purchase one share of Series A Common Stock at a price of $11.50 per share, subject to adjustment as discussed below, at any time commencing 30 days after the completion of the Business Combination, provided that we have an effective registration statement under the Securities Act covering the shares of Series A Common Stock issuable upon exercise of the warrants and a current prospectus relating to them is available (or we permit holders to exercise their warrants on a cashless basis under the circumstances specified in the amended and restated warrant agreement entered into in connection with the Closing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Series A Common Stock. This means only a whole warrant may be exercised at a given time by a warrant holder. The warrants expire five years after the completion of the Business Combination, at 5:00 p.m., New York City time, or earlier upon redemption or liquidation.</w:t>
      </w:r>
    </w:p>
    <w:p>
      <w:pPr>
        <w:spacing w:after="0" w:line="145"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We will not be obligated to deliver any shares pursuant to the exercise of a warrant and will have no obligation to settle such warrant exercise unless a registration statement under the Securities Act with respect to the shares of Series A Common Stock underlying the warrants is then effective and a prospectus relating thereto is current, subject to our satisfying our obligations described below with respect to registration. No warrant will be exercisable and we will not be obligated to issue a share of Series A Common Stock upon exercise of a warrant unless the share of Series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47" w:lineRule="exact"/>
        <w:rPr>
          <w:sz w:val="20"/>
          <w:szCs w:val="20"/>
          <w:color w:val="auto"/>
        </w:rPr>
      </w:pPr>
    </w:p>
    <w:p>
      <w:pPr>
        <w:ind w:left="760" w:right="799" w:firstLine="249"/>
        <w:spacing w:after="0" w:line="249" w:lineRule="auto"/>
        <w:rPr>
          <w:sz w:val="20"/>
          <w:szCs w:val="20"/>
          <w:color w:val="auto"/>
        </w:rPr>
      </w:pPr>
      <w:r>
        <w:rPr>
          <w:rFonts w:ascii="Times New Roman" w:cs="Times New Roman" w:eastAsia="Times New Roman" w:hAnsi="Times New Roman"/>
          <w:sz w:val="14"/>
          <w:szCs w:val="14"/>
          <w:color w:val="auto"/>
        </w:rPr>
        <w:t>In order to comply with the requirements of Section 10(a)(3) of the Securities Act following the consummation of our initial business combination, under the terms of the Warrant Agreement, we agreed that, as soon as practicable, but in no event later than 20 business days, after the closing of the Business Combination, we would use our commercially reasonable efforts to file with the SEC a post-effective amendment to the registration statement of which this prospectus forms a part or a new registration statement covering the registration under the Securities Act of the shares of Series A Common Stock issuable upon exercise of the warrants and thereafter would use our commercially reasonable efforts to cause the same to become effective within 60 business days following the Business Combination and to maintain a current prospectus relating to the shares of Series A Common Stock issuable upon exercise of the warrants until the expiration of the warrants in accordance with the provisions of the Warrant Agreement. If a registration statement covering the shares of Series A Common Stock issuable upon exercise of the warrants is not effective by the 60th business day after the closing of the Business Combination, warrant holders may, until such time as there is an effective registration statement and during any period when we have failed to maintain an effective registration statement, exercise warrants on a “cashless basis” in accordance with Section 3(a)(9) of the Securities Act or another exemption. Notwithstanding the above, if our Series A Common Stock is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are not required to file or maintain in effect a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9019"/>
          </w:cols>
          <w:pgMar w:left="1440" w:top="551" w:right="1440" w:bottom="1440" w:gutter="0" w:footer="0" w:header="0"/>
        </w:sectPr>
      </w:pPr>
    </w:p>
    <w:bookmarkStart w:id="120" w:name="page121"/>
    <w:bookmarkEnd w:id="12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right="779" w:firstLine="249"/>
        <w:spacing w:after="0" w:line="281" w:lineRule="auto"/>
        <w:rPr>
          <w:sz w:val="20"/>
          <w:szCs w:val="20"/>
          <w:color w:val="auto"/>
        </w:rPr>
      </w:pPr>
      <w:r>
        <w:rPr>
          <w:rFonts w:ascii="Times New Roman" w:cs="Times New Roman" w:eastAsia="Times New Roman" w:hAnsi="Times New Roman"/>
          <w:sz w:val="14"/>
          <w:szCs w:val="14"/>
          <w:i w:val="1"/>
          <w:iCs w:val="1"/>
          <w:color w:val="auto"/>
        </w:rPr>
        <w:t>Redemption of warrants when the price per share of Series A Common Stock equals or exceeds $18.00</w:t>
      </w:r>
      <w:r>
        <w:rPr>
          <w:rFonts w:ascii="Times New Roman" w:cs="Times New Roman" w:eastAsia="Times New Roman" w:hAnsi="Times New Roman"/>
          <w:sz w:val="14"/>
          <w:szCs w:val="14"/>
          <w:color w:val="auto"/>
        </w:rPr>
        <w:t>. Once the warrants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exercisable, we may redeem the outstanding warrants:</w:t>
      </w:r>
    </w:p>
    <w:p>
      <w:pPr>
        <w:spacing w:after="0" w:line="124" w:lineRule="exact"/>
        <w:rPr>
          <w:sz w:val="20"/>
          <w:szCs w:val="20"/>
          <w:color w:val="auto"/>
        </w:rPr>
      </w:pPr>
    </w:p>
    <w:p>
      <w:pPr>
        <w:ind w:left="1280" w:hanging="246"/>
        <w:spacing w:after="0"/>
        <w:tabs>
          <w:tab w:leader="none" w:pos="1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71" w:lineRule="exact"/>
        <w:rPr>
          <w:rFonts w:ascii="Times New Roman" w:cs="Times New Roman" w:eastAsia="Times New Roman" w:hAnsi="Times New Roman"/>
          <w:sz w:val="14"/>
          <w:szCs w:val="14"/>
          <w:color w:val="auto"/>
        </w:rPr>
      </w:pPr>
    </w:p>
    <w:p>
      <w:pPr>
        <w:ind w:left="1280" w:right="1079" w:hanging="246"/>
        <w:spacing w:after="0" w:line="278" w:lineRule="auto"/>
        <w:tabs>
          <w:tab w:leader="none" w:pos="1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 upon a minimum of 30 days’ prior written notice of redemption (the “30-day redemption period”); and</w:t>
      </w:r>
    </w:p>
    <w:p>
      <w:pPr>
        <w:spacing w:after="0" w:line="125" w:lineRule="exact"/>
        <w:rPr>
          <w:rFonts w:ascii="Times New Roman" w:cs="Times New Roman" w:eastAsia="Times New Roman" w:hAnsi="Times New Roman"/>
          <w:sz w:val="14"/>
          <w:szCs w:val="14"/>
          <w:color w:val="auto"/>
        </w:rPr>
      </w:pPr>
    </w:p>
    <w:p>
      <w:pPr>
        <w:ind w:left="1280" w:right="779" w:hanging="246"/>
        <w:spacing w:after="0" w:line="255" w:lineRule="auto"/>
        <w:tabs>
          <w:tab w:leader="none" w:pos="12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and only if, the closing price of our Series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4"/>
          <w:szCs w:val="14"/>
          <w:i w:val="1"/>
          <w:iCs w:val="1"/>
          <w:color w:val="auto"/>
        </w:rPr>
        <w:t>Redemption Procedures - Anti-dilution Adjustments</w:t>
      </w:r>
      <w:r>
        <w:rPr>
          <w:rFonts w:ascii="Times New Roman" w:cs="Times New Roman" w:eastAsia="Times New Roman" w:hAnsi="Times New Roman"/>
          <w:sz w:val="14"/>
          <w:szCs w:val="14"/>
          <w:color w:val="auto"/>
        </w:rPr>
        <w:t>”) for any 20 trading days within a 30-trading day period commencing at least 30 days after completion of our initial business combination and ending three business days before we send the notice of redemption to the warrant holders.</w:t>
      </w:r>
    </w:p>
    <w:p>
      <w:pPr>
        <w:spacing w:after="0" w:line="142" w:lineRule="exact"/>
        <w:rPr>
          <w:sz w:val="20"/>
          <w:szCs w:val="20"/>
          <w:color w:val="auto"/>
        </w:rPr>
      </w:pPr>
    </w:p>
    <w:p>
      <w:pPr>
        <w:ind w:left="760" w:right="779" w:firstLine="249"/>
        <w:spacing w:after="0" w:line="271" w:lineRule="auto"/>
        <w:rPr>
          <w:sz w:val="20"/>
          <w:szCs w:val="20"/>
          <w:color w:val="auto"/>
        </w:rPr>
      </w:pPr>
      <w:r>
        <w:rPr>
          <w:rFonts w:ascii="Times New Roman" w:cs="Times New Roman" w:eastAsia="Times New Roman" w:hAnsi="Times New Roman"/>
          <w:sz w:val="13"/>
          <w:szCs w:val="13"/>
          <w:color w:val="auto"/>
        </w:rPr>
        <w:t>We will not redeem the warrants as described above unless a registration statement under the Securities Act covering the issuance of the shares of Series A Common Stock issuable upon exercise of the warrants is then effective and a current prospectus relating to those shares of Series A Common Stock is available throughout the measurement period. If and when the warrants become redeemable by us, we may not exercise our redemption right if the issuance of shares of Series A Common Stock upon exercise of the warrants is not exempt from registration or qualification under applicable state blue sky laws or we are unable to effect such registration or qualification. We will use our best efforts to register or qualify such shares of Series A Common Stock under the blue sky laws of the state of residence in those states in which the warrants were offered by us in this offering.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Series A Common Stock may fall below the $18.00 redemption trigger price (as adjusted for share sub-divisions, share capitalizations, reorganizations, recapitalizations and the like) as well as the $11.50 warrant exercise price after the redemption notice is issued.</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w:t>
      </w:r>
    </w:p>
    <w:p>
      <w:pPr>
        <w:spacing w:after="0" w:line="173" w:lineRule="exact"/>
        <w:rPr>
          <w:sz w:val="20"/>
          <w:szCs w:val="20"/>
          <w:color w:val="auto"/>
        </w:rPr>
      </w:pPr>
    </w:p>
    <w:p>
      <w:pPr>
        <w:ind w:left="760" w:right="899" w:firstLine="249"/>
        <w:spacing w:after="0" w:line="257" w:lineRule="auto"/>
        <w:rPr>
          <w:sz w:val="20"/>
          <w:szCs w:val="20"/>
          <w:color w:val="auto"/>
        </w:rPr>
      </w:pPr>
      <w:r>
        <w:rPr>
          <w:rFonts w:ascii="Times New Roman" w:cs="Times New Roman" w:eastAsia="Times New Roman" w:hAnsi="Times New Roman"/>
          <w:sz w:val="14"/>
          <w:szCs w:val="14"/>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Series A Common Stock outstanding immediately after giving effect to such exercise.</w:t>
      </w:r>
    </w:p>
    <w:p>
      <w:pPr>
        <w:spacing w:after="0" w:line="140"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i w:val="1"/>
          <w:iCs w:val="1"/>
          <w:color w:val="auto"/>
        </w:rPr>
        <w:t>Anti-dilution Adjustments</w:t>
      </w:r>
      <w:r>
        <w:rPr>
          <w:rFonts w:ascii="Times New Roman" w:cs="Times New Roman" w:eastAsia="Times New Roman" w:hAnsi="Times New Roman"/>
          <w:sz w:val="14"/>
          <w:szCs w:val="14"/>
          <w:color w:val="auto"/>
        </w:rPr>
        <w:t>. If the number of outstanding shares of Series A Common Stock is increased by a share capitalization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in Series A Common Stock, or by a sub-division of shares of Series A Common Stock or other similar event, then, on the effective date of such share capitalization, sub-division or similar event, the number of shares of Series A Common Stock issuable on exercise of each warrant will be increased in proportion to such increase in the outstanding shares of Series A Common Stock. A rights offering made to all or substantially all holders of shares of Series A Common Stock entitling holders to purchase shares of Series A Common Stock at a price less than the fair market value will be deemed a share capitalization of a number of shares of Series A Common Stock equal to the product of (i) the number of shares of Series A Common Stock actually sold in such rights offering (or issuable under any other equity securities sold in such rights offering that are convertible into or exercisable for shares of Series A Common Stock) and (ii) the quotient of (x) the price per shares of Series A Common Stock paid in such rights offering and (y) the fair market value. For these purposes (i) if the rights offering is for securities convertible into or exercisable for Series A Common Stock, in determining the price payable for Series A Common Stock, there will be taken into account any consideration received for such rights, as well as any additional amount payable upon exercise or conversion and (ii) fair market value means the volume weighted average price of shares of Series A Common Stock as reported during the ten (10) trading day period ending on the trading day prior to the first date on which the shares of Series A Common Stock trade on the applicable exchange or in the applicable market, regular way, without the right to receive such rights.</w:t>
      </w:r>
    </w:p>
    <w:p>
      <w:pPr>
        <w:spacing w:after="0" w:line="146" w:lineRule="exact"/>
        <w:rPr>
          <w:sz w:val="20"/>
          <w:szCs w:val="20"/>
          <w:color w:val="auto"/>
        </w:rPr>
      </w:pPr>
    </w:p>
    <w:p>
      <w:pPr>
        <w:ind w:left="760" w:right="979" w:firstLine="249"/>
        <w:spacing w:after="0" w:line="277" w:lineRule="auto"/>
        <w:rPr>
          <w:sz w:val="20"/>
          <w:szCs w:val="20"/>
          <w:color w:val="auto"/>
        </w:rPr>
      </w:pPr>
      <w:r>
        <w:rPr>
          <w:rFonts w:ascii="Times New Roman" w:cs="Times New Roman" w:eastAsia="Times New Roman" w:hAnsi="Times New Roman"/>
          <w:sz w:val="13"/>
          <w:szCs w:val="13"/>
          <w:color w:val="auto"/>
        </w:rPr>
        <w:t>In addition, if we, at any time while the warrants are outstanding and unexpired, pay a dividend or make a distribution in cash, securities or other assets to all or substantially all the holders of Series A Common Stock on account of such shares of Series A Common Stock (or other securities into which the warrants are convertible), other than (a) as described above, (b) certain ordinary cash dividends, (c) to satisfy the redemption rights of the holders of Series A Common Stock in connection with a proposed initial business combination or certain amendments to our amended and restated memorandum and articles of association, or (d) in connection with the redemption of our public shares upon our failure to complete our initial business combination, then the warrant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9019"/>
          </w:cols>
          <w:pgMar w:left="1440" w:top="551" w:right="1440" w:bottom="1440" w:gutter="0" w:footer="0" w:header="0"/>
        </w:sectPr>
      </w:pPr>
    </w:p>
    <w:bookmarkStart w:id="121" w:name="page122"/>
    <w:bookmarkEnd w:id="12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059"/>
        <w:spacing w:after="0" w:line="278" w:lineRule="auto"/>
        <w:rPr>
          <w:sz w:val="20"/>
          <w:szCs w:val="20"/>
          <w:color w:val="auto"/>
        </w:rPr>
      </w:pPr>
      <w:r>
        <w:rPr>
          <w:rFonts w:ascii="Times New Roman" w:cs="Times New Roman" w:eastAsia="Times New Roman" w:hAnsi="Times New Roman"/>
          <w:sz w:val="14"/>
          <w:szCs w:val="14"/>
          <w:color w:val="auto"/>
        </w:rPr>
        <w:t>exercise price will be decreased, effective immediately after the effective date of such event, by the amount of cash and/or the fair market value of any securities or other assets paid on each share of Series A Common Stock in respect of such event.</w:t>
      </w:r>
    </w:p>
    <w:p>
      <w:pPr>
        <w:spacing w:after="0" w:line="126"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If the number of outstanding shares of Series A Common Stock is decreased by a consolidation, combination, reverse share sub-division or reclassification of Series A Common Stock or other similar event, then, on the effective date of such consolidation, combination, reverse share sub-division, reclassification or similar event, the number of shares of Series A Common Stock issuable on exercise of each warrant will be decreased in proportion to such decrease in outstanding shares of Series A Common Stock.</w:t>
      </w:r>
    </w:p>
    <w:p>
      <w:pPr>
        <w:spacing w:after="0" w:line="142" w:lineRule="exact"/>
        <w:rPr>
          <w:sz w:val="20"/>
          <w:szCs w:val="20"/>
          <w:color w:val="auto"/>
        </w:rPr>
      </w:pPr>
    </w:p>
    <w:p>
      <w:pPr>
        <w:ind w:left="760" w:right="1019" w:firstLine="249"/>
        <w:spacing w:after="0" w:line="255" w:lineRule="auto"/>
        <w:rPr>
          <w:sz w:val="20"/>
          <w:szCs w:val="20"/>
          <w:color w:val="auto"/>
        </w:rPr>
      </w:pPr>
      <w:r>
        <w:rPr>
          <w:rFonts w:ascii="Times New Roman" w:cs="Times New Roman" w:eastAsia="Times New Roman" w:hAnsi="Times New Roman"/>
          <w:sz w:val="14"/>
          <w:szCs w:val="14"/>
          <w:color w:val="auto"/>
        </w:rPr>
        <w:t>Whenever the number of shares of Series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Series A Common Stock purchasable upon the exercise of the warrants immediately prior to such adjustment, and (y) the denominator of which will be the number of shares of Series A Common Stock so purchasable immediately thereafter.</w:t>
      </w:r>
    </w:p>
    <w:p>
      <w:pPr>
        <w:spacing w:after="0" w:line="142"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Series A Common Stock (other than those described above or that solely affects the par value of such shares of Series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Series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Series A Common Stock immediately theretofore purchasable and receivable upon the exercise of the rights represented thereby, the kind and amount of shares of Series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(the “Alternative Issuance”). If less than 70% of the consideration receivable by the holders of Series A Common Stock in such a transaction is payable in the form of securities in the successor entity that are listed for trading on a national securities exchange or quoted in an established over-the-counter market, or are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51" w:lineRule="exact"/>
        <w:rPr>
          <w:sz w:val="20"/>
          <w:szCs w:val="20"/>
          <w:color w:val="auto"/>
        </w:rPr>
      </w:pPr>
    </w:p>
    <w:p>
      <w:pPr>
        <w:ind w:left="760" w:right="1119" w:firstLine="249"/>
        <w:spacing w:after="0" w:line="279" w:lineRule="auto"/>
        <w:rPr>
          <w:sz w:val="20"/>
          <w:szCs w:val="20"/>
          <w:color w:val="auto"/>
        </w:rPr>
      </w:pPr>
      <w:r>
        <w:rPr>
          <w:rFonts w:ascii="Times New Roman" w:cs="Times New Roman" w:eastAsia="Times New Roman" w:hAnsi="Times New Roman"/>
          <w:sz w:val="13"/>
          <w:szCs w:val="13"/>
          <w:color w:val="auto"/>
        </w:rPr>
        <w:t>The warrants were issued in registered form under a Warrant Agreement between Continental, as warrant agent, and us. The Warrant Agreement provides that the terms of the warrants may be amended without the consent of any holder for the purpose of</w:t>
      </w:r>
    </w:p>
    <w:p>
      <w:pPr>
        <w:ind w:left="760" w:right="859" w:firstLine="4"/>
        <w:spacing w:after="0" w:line="266" w:lineRule="auto"/>
        <w:tabs>
          <w:tab w:leader="none" w:pos="92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Series A Common Stock as contemplated by and in accordance with the Warrant Agreement,</w:t>
      </w:r>
    </w:p>
    <w:p>
      <w:pPr>
        <w:spacing w:after="0" w:line="1" w:lineRule="exact"/>
        <w:rPr>
          <w:rFonts w:ascii="Times New Roman" w:cs="Times New Roman" w:eastAsia="Times New Roman" w:hAnsi="Times New Roman"/>
          <w:sz w:val="13"/>
          <w:szCs w:val="13"/>
          <w:color w:val="auto"/>
        </w:rPr>
      </w:pPr>
    </w:p>
    <w:p>
      <w:pPr>
        <w:ind w:left="760" w:right="779" w:firstLine="4"/>
        <w:spacing w:after="0" w:line="248" w:lineRule="auto"/>
        <w:tabs>
          <w:tab w:leader="none" w:pos="100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or (iv) to provide for the delivery of the Alternative Issuance. All other modifications or amendments require the vote or written consent the holders of at least 50% of the then-outstanding public warrants, except that amending our Warrant Agreement will require a vote of holders of at least 50% of the private placement warrants (including the vote in favor or written consent of CF&amp;CO) or private placement-equivalent warrants that may be issued upon conversion of working capital loans solely with respect to any amendment to the terms of the private placement warrants or private placement-equivalent warrants that may be issued upon conversion of working capital loans (including, for the avoidance of doubt, the forfeiture or cancellation of any warrants). You should review a copy of the Warrant Agreement, which is filed as an exhibit to the registration statement of which this prospectus forms a part, for a complete description of the terms and conditions applicable to the warrants.</w:t>
      </w:r>
    </w:p>
    <w:p>
      <w:pPr>
        <w:spacing w:after="0" w:line="150"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Series A Common Stock and any voting rights until they exercise their warrants and receive shares of Series A Common Stock. After the issuance of shares of Series A Common Stock upon exercise of the warrants, each holder will be entitled to one vote for each share held of record on all matters to be voted on by shareholders.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9019"/>
          </w:cols>
          <w:pgMar w:left="1440" w:top="551" w:right="1440" w:bottom="1440" w:gutter="0" w:footer="0" w:header="0"/>
        </w:sectPr>
      </w:pPr>
    </w:p>
    <w:bookmarkStart w:id="122" w:name="page123"/>
    <w:bookmarkEnd w:id="12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819" w:firstLine="249"/>
        <w:spacing w:after="0" w:line="249" w:lineRule="auto"/>
        <w:rPr>
          <w:sz w:val="20"/>
          <w:szCs w:val="20"/>
          <w:color w:val="auto"/>
        </w:rPr>
      </w:pPr>
      <w:r>
        <w:rPr>
          <w:rFonts w:ascii="Times New Roman" w:cs="Times New Roman" w:eastAsia="Times New Roman" w:hAnsi="Times New Roman"/>
          <w:sz w:val="14"/>
          <w:szCs w:val="14"/>
          <w:color w:val="auto"/>
        </w:rPr>
        <w:t>We have agreed that, subject to applicable law, any action, proceeding or claim against us arising out of or relating in any way to the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See “</w:t>
      </w:r>
      <w:r>
        <w:rPr>
          <w:rFonts w:ascii="Times New Roman" w:cs="Times New Roman" w:eastAsia="Times New Roman" w:hAnsi="Times New Roman"/>
          <w:sz w:val="14"/>
          <w:szCs w:val="14"/>
          <w:i w:val="1"/>
          <w:iCs w:val="1"/>
          <w:color w:val="auto"/>
        </w:rPr>
        <w:t>Risk Factors - Risks Related to Factorial Energy -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r>
        <w:rPr>
          <w:rFonts w:ascii="Times New Roman" w:cs="Times New Roman" w:eastAsia="Times New Roman" w:hAnsi="Times New Roman"/>
          <w:sz w:val="14"/>
          <w:szCs w:val="14"/>
          <w:color w:val="auto"/>
        </w:rPr>
        <w:t>.” This provision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If it is conclusively determined that the exclusive forum provision applies to claims under the Securities Act, we will notify investors of such update in future SEC filings (which notification will include clarification that the exclusive forum provision does not apply to claims under the Exchange Act) in future SEC filings.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Factorial Energy Private Warrants</w:t>
      </w:r>
    </w:p>
    <w:p>
      <w:pPr>
        <w:spacing w:after="0" w:line="173" w:lineRule="exact"/>
        <w:rPr>
          <w:sz w:val="20"/>
          <w:szCs w:val="20"/>
          <w:color w:val="auto"/>
        </w:rPr>
      </w:pPr>
    </w:p>
    <w:p>
      <w:pPr>
        <w:ind w:left="760" w:right="779" w:firstLine="249"/>
        <w:spacing w:after="0" w:line="272" w:lineRule="auto"/>
        <w:rPr>
          <w:sz w:val="20"/>
          <w:szCs w:val="20"/>
          <w:color w:val="auto"/>
        </w:rPr>
      </w:pPr>
      <w:r>
        <w:rPr>
          <w:rFonts w:ascii="Times New Roman" w:cs="Times New Roman" w:eastAsia="Times New Roman" w:hAnsi="Times New Roman"/>
          <w:sz w:val="13"/>
          <w:szCs w:val="13"/>
          <w:color w:val="auto"/>
        </w:rPr>
        <w:t>The Factorial Energy Private Warrants are identical to the Public Warrants described above except that, so long as they are held by the initial purchasers or their permitted transferees, the Factorial Energy Private Warrants (including the shares of Series A Common Stock issuable upon exercise of these warrants) (i) may not, subject to certain limited exceptions, be transferred, assigned or sold by the holders until 30 days after the completion of our initial business combination, (ii) will be are entitled to registration rights and</w:t>
      </w:r>
    </w:p>
    <w:p>
      <w:pPr>
        <w:spacing w:after="0" w:line="2" w:lineRule="exact"/>
        <w:rPr>
          <w:sz w:val="20"/>
          <w:szCs w:val="20"/>
          <w:color w:val="auto"/>
        </w:rPr>
      </w:pPr>
    </w:p>
    <w:p>
      <w:pPr>
        <w:ind w:left="760" w:right="799" w:firstLine="4"/>
        <w:spacing w:after="0" w:line="270" w:lineRule="auto"/>
        <w:tabs>
          <w:tab w:leader="none" w:pos="1002"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such Factorial Energy Private Warrants held by CF&amp;CO and/or its designees, are not be exercisable more than five years from the commencement of sales in this offering in accordance with FINRA Rule 5110(g)(8). Amending our Warrant Agreement (including, for the avoidance of doubt, the forfeiture or cancellation of any warrants) will require requires a vote of holders of at least 50% of the Factorial Energy Private Warrants (including the vote in favor or written consent of CF&amp;CO) or private placement-equivalent warrants that may be issued upon conversion of working capital loans solely with respect to any amendment to the terms of the private placement warrants or private placement-equivalent warrants that may be issued upon conversion of working capital loans (including, for the avoidance of doubt, the forfeiture or cancellation of any warrants). All other modifications or amendments require the vote or written consent of the holders of at least 50% of the then-outstanding Public Warrants.</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3" w:lineRule="exact"/>
        <w:rPr>
          <w:sz w:val="20"/>
          <w:szCs w:val="20"/>
          <w:color w:val="auto"/>
        </w:rPr>
      </w:pPr>
    </w:p>
    <w:p>
      <w:pPr>
        <w:ind w:left="760" w:right="1079" w:firstLine="249"/>
        <w:spacing w:after="0" w:line="262" w:lineRule="auto"/>
        <w:rPr>
          <w:sz w:val="20"/>
          <w:szCs w:val="20"/>
          <w:color w:val="auto"/>
        </w:rPr>
      </w:pPr>
      <w:r>
        <w:rPr>
          <w:rFonts w:ascii="Times New Roman" w:cs="Times New Roman" w:eastAsia="Times New Roman" w:hAnsi="Times New Roman"/>
          <w:sz w:val="14"/>
          <w:szCs w:val="14"/>
          <w:color w:val="auto"/>
        </w:rPr>
        <w:t>Under the Factorial Energy Charter, holders of Series A Common Stock and Series B Common Stock are entitled to receive ratable dividends, if any, as may be declared from time-to-time by our Board out of legally available assets or funds. There are no current plans to pay cash dividends on Series A Common Stock for the foreseeable future.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Voting Power</w:t>
      </w:r>
    </w:p>
    <w:p>
      <w:pPr>
        <w:spacing w:after="0" w:line="173"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under the Factorial Energy Charter, the holders of Series A Common Stock and Series B Common Stock possess all voting power for the election of our directors and all other matters requiring stockholder action. Each share of Series A Common Stock is entitled to one vote. Each share of Series B Common Stock is entitled to ten votes and is convertible at any time into one share of Series A Common Stock. Subject to certain limited exceptions, the holders of Series A Common Stock and Series B Common Stock shall at all times vote together as one class on all matters submitted to a vote of the holders of such stock under the Factorial Energy Charter.</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Preemptive or Other Rights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Factorial Energy Charter does not provide for any preemptive or other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9019"/>
          </w:cols>
          <w:pgMar w:left="1440" w:top="551" w:right="1440" w:bottom="1440" w:gutter="0" w:footer="0" w:header="0"/>
        </w:sectPr>
      </w:pPr>
    </w:p>
    <w:bookmarkStart w:id="123" w:name="page124"/>
    <w:bookmarkEnd w:id="12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71"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The Factorial Energy Board consists of seven directors, as discussed in greater detail in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 Under the terms of the Factorial Energy Charter, the Board is divided into three classes designated as Class I, Class II and Class III. Class I directors initially served for a term expiring at the first annual meeting of stockholders following the Closing. Class II and Class III directors initially served for a term expiring at the second and third annual meeting of stockholders following the Closing, respectively. At each succeeding annual meeting of stockholders, directors are elected for a full term of three years to succeed the directors of the class whose terms expire at such annual meeting of the stockholders. There is no limit on the number of terms a director may serve on the Factorial Energy Board.</w:t>
      </w:r>
    </w:p>
    <w:p>
      <w:pPr>
        <w:spacing w:after="0" w:line="144"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Under the Factorial Energy Charter, directors are elected by a plurality voting standard, whereby each of our stockholders may not give more than one vote per share towards any one director nominee. There are no cumulative voting rights.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173" w:lineRule="exact"/>
        <w:rPr>
          <w:sz w:val="20"/>
          <w:szCs w:val="20"/>
          <w:color w:val="auto"/>
        </w:rPr>
      </w:pPr>
    </w:p>
    <w:p>
      <w:pPr>
        <w:ind w:left="760" w:right="939" w:firstLine="249"/>
        <w:spacing w:after="0" w:line="262" w:lineRule="auto"/>
        <w:rPr>
          <w:sz w:val="20"/>
          <w:szCs w:val="20"/>
          <w:color w:val="auto"/>
        </w:rPr>
      </w:pPr>
      <w:r>
        <w:rPr>
          <w:rFonts w:ascii="Times New Roman" w:cs="Times New Roman" w:eastAsia="Times New Roman" w:hAnsi="Times New Roman"/>
          <w:sz w:val="14"/>
          <w:szCs w:val="14"/>
          <w:color w:val="auto"/>
        </w:rPr>
        <w:t>Factorial Energy provides that annual stockholder meetings will be held at a date, time and place, if any, as exclusively selected by the Factorial Energy Board. To the extent permitted under applicable law, Factorial Energy may conduct meetings by means of remote communication.</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73"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Under the DGCL, with certain exceptions, Factorial Energy’s stockholders have appraisal rights in connection with a merger or consolidation of Factorial Energy.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173"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Under the DGCL, any of Factorial Energy’s stockholders may bring an action in Factorial Energy’s name to procure a judgment in Factorial Energy’s favor, also known as a derivative action, provided that the stockholder bringing the action is a holder of Factorial Energy’s shares at the time of the transaction to which the action relates or such stockholder’s stock thereafter devolved by operation of law.</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73" w:lineRule="exact"/>
        <w:rPr>
          <w:sz w:val="20"/>
          <w:szCs w:val="20"/>
          <w:color w:val="auto"/>
        </w:rPr>
      </w:pPr>
    </w:p>
    <w:p>
      <w:pPr>
        <w:ind w:left="760" w:right="1059" w:firstLine="249"/>
        <w:spacing w:after="0" w:line="257" w:lineRule="auto"/>
        <w:rPr>
          <w:sz w:val="20"/>
          <w:szCs w:val="20"/>
          <w:color w:val="auto"/>
        </w:rPr>
      </w:pPr>
      <w:r>
        <w:rPr>
          <w:rFonts w:ascii="Times New Roman" w:cs="Times New Roman" w:eastAsia="Times New Roman" w:hAnsi="Times New Roman"/>
          <w:sz w:val="14"/>
          <w:szCs w:val="14"/>
          <w:color w:val="auto"/>
        </w:rPr>
        <w:t>The Factorial Energy Charter and Factorial Energy Bylaws provide for the indemnification of current and former officers and directors of Factorial Energy to the fullest extent permitted by Delaware law. Factorial Energy has further agreed to advance reasonable attorneys’ fees and other costs and expenses incurred in connection with the defense of any action, suit, proceeding or investigation involving such officer or director for which indemnity will or could be sought.</w:t>
      </w:r>
    </w:p>
    <w:p>
      <w:pPr>
        <w:spacing w:after="0" w:line="142" w:lineRule="exact"/>
        <w:rPr>
          <w:sz w:val="20"/>
          <w:szCs w:val="20"/>
          <w:color w:val="auto"/>
        </w:rPr>
      </w:pPr>
    </w:p>
    <w:p>
      <w:pPr>
        <w:jc w:val="both"/>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Factorial Energy has entered into agreements with our officers and directors to provide contractual indemnification in addition to the indemnification provided for in the Factorial Energy Charter. The Factorial Energy Charter also permits us to secure insurance on behalf of any officer, director or employee for any liability arising out of his or her actions.</w:t>
      </w:r>
    </w:p>
    <w:p>
      <w:pPr>
        <w:spacing w:after="0" w:line="138"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Factorial Energy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Factorial Energy purchased a tail policy with respect to liability coverage for the benefit of our current officers and directors on the same or substantially similar terms of our existing policy. Pursuant to the Business Combination Agreement, Factorial Energy maintains such tail policy for a period of six years following the Closing.</w:t>
      </w:r>
    </w:p>
    <w:p>
      <w:pPr>
        <w:spacing w:after="0" w:line="142" w:lineRule="exact"/>
        <w:rPr>
          <w:sz w:val="20"/>
          <w:szCs w:val="20"/>
          <w:color w:val="auto"/>
        </w:rPr>
      </w:pPr>
    </w:p>
    <w:p>
      <w:pPr>
        <w:ind w:left="760" w:right="959" w:firstLine="249"/>
        <w:spacing w:after="0" w:line="255" w:lineRule="auto"/>
        <w:rPr>
          <w:sz w:val="20"/>
          <w:szCs w:val="20"/>
          <w:color w:val="auto"/>
        </w:rPr>
      </w:pPr>
      <w:r>
        <w:rPr>
          <w:rFonts w:ascii="Times New Roman" w:cs="Times New Roman" w:eastAsia="Times New Roman" w:hAnsi="Times New Roman"/>
          <w:sz w:val="14"/>
          <w:szCs w:val="14"/>
          <w:color w:val="auto"/>
        </w:rPr>
        <w:t>These provisions may discourage current shareholders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and stockholders. Furthermore, a shareholder’s or stockholder’s investment may be adversely affected to the extent Factorial Energy pays the costs of settlement and damage awards against officers and directors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9019"/>
          </w:cols>
          <w:pgMar w:left="1440" w:top="551" w:right="1440" w:bottom="1440" w:gutter="0" w:footer="0" w:header="0"/>
        </w:sectPr>
      </w:pPr>
    </w:p>
    <w:bookmarkStart w:id="124" w:name="page125"/>
    <w:bookmarkEnd w:id="12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039" w:firstLine="249"/>
        <w:spacing w:after="0" w:line="278" w:lineRule="auto"/>
        <w:rPr>
          <w:sz w:val="20"/>
          <w:szCs w:val="20"/>
          <w:color w:val="auto"/>
        </w:rPr>
      </w:pPr>
      <w:r>
        <w:rPr>
          <w:rFonts w:ascii="Times New Roman" w:cs="Times New Roman" w:eastAsia="Times New Roman" w:hAnsi="Times New Roman"/>
          <w:sz w:val="14"/>
          <w:szCs w:val="14"/>
          <w:color w:val="auto"/>
        </w:rPr>
        <w:t>We believe that these provisions, the directors’ and officers’ liability insurance and the indemnity agreements are necessary to attract and retain talented and experienced officers and directors.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Certain Anti-Takeover Provisions of Delaware Law; Factorial Energy Charter and Factorial Energy Bylaws</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The Factorial Energy Charter and Factorial Energy Bylaws contain, and the DGCL contains, provisions, as summarized in the following paragraphs, that are intended to enhance the likelihood of continuity and stability in the composition of the Factorial Energy Board. These provisions are intended to avoid costly takeover battles, reduce our vulnerability to a hostile change of control and enhance the ability of the Factorial Energy Board to maximize stockholder value in connection with any unsolicited offer to acquire Factorial Energy. However, these provisions may have an anti-takeover effect and may delay, deter, or prevent a merger or acquisition of Factorial Energy by means of a tender offer, a proxy contest or other takeover attempt that a stockholder might consider in its best interest, including those attempts that might result in a premium over the prevailing market price for the shares of Series A Common Stock held by stockholders.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73"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The Factorial Energy Organizational Documents establish that, unless Factorial Energy consents in writing to the selection of an alternative forum, the Court of Chancery of the State of Delaware shall be the sole and exclusive forum for (i) any derivative action or proceeding brought on behalf of Factorial Energy, (ii) any action asserting a claim of, or a claim based on, a breach of a fiduciary duty owed by any current or former director, officer or other employee or stockholder of Factorial Energy to Factorial Energy or Factorial Energy’s stockholders, (iii) any action asserting a claim arising pursuant to any provision of the DGCL or the Factorial Energy Charter or Factorial Energy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does not apply to any causes of action arising under the Securities Act, or the Exchange Act, or to any claim for which the federal courts have exclusive jurisdiction. Unless Factorial Energy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73" w:lineRule="exact"/>
        <w:rPr>
          <w:sz w:val="20"/>
          <w:szCs w:val="20"/>
          <w:color w:val="auto"/>
        </w:rPr>
      </w:pPr>
    </w:p>
    <w:p>
      <w:pPr>
        <w:ind w:left="760" w:right="1479" w:firstLine="249"/>
        <w:spacing w:after="0" w:line="278" w:lineRule="auto"/>
        <w:rPr>
          <w:sz w:val="20"/>
          <w:szCs w:val="20"/>
          <w:color w:val="auto"/>
        </w:rPr>
      </w:pPr>
      <w:r>
        <w:rPr>
          <w:rFonts w:ascii="Times New Roman" w:cs="Times New Roman" w:eastAsia="Times New Roman" w:hAnsi="Times New Roman"/>
          <w:sz w:val="14"/>
          <w:szCs w:val="14"/>
          <w:color w:val="auto"/>
        </w:rPr>
        <w:t>The Series A Common Stock and the Public Warrants are listed on Nasdaq under the symbols “FAC” and “FACWW,” respectively.</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At the Closing, Factorial Energy entered into the A&amp;R Registration Rights Agreement, pursuant to which, among other things, the Sponsor and certain Legacy Factorial Stockholders have specified rights to require Factorial Energy to register all or a portion of their shares of Series A Common Stock under the Securities Act and provide customary demand as well as piggyback registration rights. The PIPE Investors also have registration rights pursuant to the terms of the Investor Stock 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9019"/>
          </w:cols>
          <w:pgMar w:left="1440" w:top="551" w:right="1440" w:bottom="1440" w:gutter="0" w:footer="0" w:header="0"/>
        </w:sectPr>
      </w:pPr>
    </w:p>
    <w:bookmarkStart w:id="125" w:name="page126"/>
    <w:bookmarkEnd w:id="12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ACT RESTRICTIONS ON RESALE OF SECURITIES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Resales under Rule 144</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Under the Securities Act, securities may be sold only if the sale is registered under the Securities Act or qualifies for an exemption from registration, including an exemption under Rule 144 under the Securities Act (“Rule 144”). Rule 144(b)(1) provides a safe harbor pursuant to which certain persons may sell shares of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securities pursuant to Rule 144(b)(1) are as follows: (i) the person selling the shares must not be an affiliate of ours at the time of the sale, and must not have been an affiliate of ours during the preceding three months, and (2) either (A) at least one year must have elapsed since the date of acquisition of the restricted securities from us or any of its affiliates or (B) if we satisfies the current public information requirements set forth in Rule 144, at least six months have elapsed since the date of acquisition of the restricted securities from us or any of its affiliates.</w:t>
      </w:r>
    </w:p>
    <w:p>
      <w:pPr>
        <w:spacing w:after="0" w:line="145"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Rule 144(b)(2) provides a safe harbor pursuant to which persons who are affiliates of ours may sell shares of its stock, whether restricted securities or not, without registration under the Securities Act if certain conditions are met. In general, the conditions that must be met for a person who is an affiliate of ours (or has been within three months prior to the date of sale) to sell shares of stock of ours pursuant to Rule 144(b)(2) are as follows (1) if the shares being sold are restricted securities, at least six months must have elapsed since the date of acquisition of the shares of stock from us or any of its affiliates, (2) the seller must comply with volume limitations, manner of sale restrictions and notice requirements and (3) we must satisfy the current public information requirements set forth in Rule 144. In order to comply with the volume limitations, a seller may not sell, in any three month period, more than the following number of shares:</w:t>
      </w:r>
    </w:p>
    <w:p>
      <w:pPr>
        <w:spacing w:after="0" w:line="144" w:lineRule="exact"/>
        <w:rPr>
          <w:sz w:val="20"/>
          <w:szCs w:val="20"/>
          <w:color w:val="auto"/>
        </w:rPr>
      </w:pPr>
    </w:p>
    <w:p>
      <w:pPr>
        <w:ind w:left="1280" w:hanging="246"/>
        <w:spacing w:after="0"/>
        <w:tabs>
          <w:tab w:leader="none" w:pos="12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shares of our common stock then outstanding as shown by the most recent report or statement published by us;</w:t>
      </w:r>
    </w:p>
    <w:p>
      <w:pPr>
        <w:spacing w:after="0" w:line="171" w:lineRule="exact"/>
        <w:rPr>
          <w:rFonts w:ascii="Times New Roman" w:cs="Times New Roman" w:eastAsia="Times New Roman" w:hAnsi="Times New Roman"/>
          <w:sz w:val="14"/>
          <w:szCs w:val="14"/>
          <w:color w:val="auto"/>
        </w:rPr>
      </w:pPr>
    </w:p>
    <w:p>
      <w:pPr>
        <w:ind w:left="1280" w:right="879" w:hanging="246"/>
        <w:spacing w:after="0" w:line="283" w:lineRule="auto"/>
        <w:tabs>
          <w:tab w:leader="none" w:pos="12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weekly reported volume of trading in our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25" w:lineRule="exact"/>
        <w:rPr>
          <w:rFonts w:ascii="Times New Roman" w:cs="Times New Roman" w:eastAsia="Times New Roman" w:hAnsi="Times New Roman"/>
          <w:sz w:val="13"/>
          <w:szCs w:val="13"/>
          <w:color w:val="auto"/>
        </w:rPr>
      </w:pPr>
    </w:p>
    <w:p>
      <w:pPr>
        <w:ind w:left="1280" w:right="919" w:hanging="246"/>
        <w:spacing w:after="0" w:line="262" w:lineRule="auto"/>
        <w:tabs>
          <w:tab w:leader="none" w:pos="12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the Use of Rule 144 by Shell Companies or Former Shell Companies</w:t>
      </w:r>
    </w:p>
    <w:p>
      <w:pPr>
        <w:spacing w:after="0" w:line="173" w:lineRule="exact"/>
        <w:rPr>
          <w:sz w:val="20"/>
          <w:szCs w:val="20"/>
          <w:color w:val="auto"/>
        </w:rPr>
      </w:pPr>
    </w:p>
    <w:p>
      <w:pPr>
        <w:ind w:left="760" w:right="939" w:firstLine="249"/>
        <w:spacing w:after="0" w:line="278"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26" w:lineRule="exact"/>
        <w:rPr>
          <w:sz w:val="20"/>
          <w:szCs w:val="20"/>
          <w:color w:val="auto"/>
        </w:rPr>
      </w:pPr>
    </w:p>
    <w:p>
      <w:pPr>
        <w:ind w:left="1280" w:hanging="246"/>
        <w:spacing w:after="0"/>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4"/>
          <w:szCs w:val="14"/>
          <w:color w:val="auto"/>
        </w:rPr>
      </w:pPr>
    </w:p>
    <w:p>
      <w:pPr>
        <w:ind w:left="1280" w:right="979" w:hanging="246"/>
        <w:spacing w:after="0" w:line="262" w:lineRule="auto"/>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37" w:lineRule="exact"/>
        <w:rPr>
          <w:rFonts w:ascii="Times New Roman" w:cs="Times New Roman" w:eastAsia="Times New Roman" w:hAnsi="Times New Roman"/>
          <w:sz w:val="14"/>
          <w:szCs w:val="14"/>
          <w:color w:val="auto"/>
        </w:rPr>
      </w:pPr>
    </w:p>
    <w:p>
      <w:pPr>
        <w:ind w:left="1280" w:right="899" w:hanging="246"/>
        <w:spacing w:after="0" w:line="278" w:lineRule="auto"/>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year has elapsed from the time that the issuer filed current Form 10 type information with the SEC reflecting its status as an entity that is not a shell company.</w:t>
      </w:r>
    </w:p>
    <w:p>
      <w:pPr>
        <w:spacing w:after="0" w:line="126" w:lineRule="exact"/>
        <w:rPr>
          <w:sz w:val="20"/>
          <w:szCs w:val="20"/>
          <w:color w:val="auto"/>
        </w:rPr>
      </w:pPr>
    </w:p>
    <w:p>
      <w:pPr>
        <w:ind w:left="760" w:right="1239" w:firstLine="249"/>
        <w:spacing w:after="0" w:line="278" w:lineRule="auto"/>
        <w:rPr>
          <w:sz w:val="20"/>
          <w:szCs w:val="20"/>
          <w:color w:val="auto"/>
        </w:rPr>
      </w:pPr>
      <w:r>
        <w:rPr>
          <w:rFonts w:ascii="Times New Roman" w:cs="Times New Roman" w:eastAsia="Times New Roman" w:hAnsi="Times New Roman"/>
          <w:sz w:val="14"/>
          <w:szCs w:val="14"/>
          <w:color w:val="auto"/>
        </w:rPr>
        <w:t>We are no longer a shell company, and as a result, once the conditions set forth in the exceptions listed above are satisfied, Rule 144 will become available for the resale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9019"/>
          </w:cols>
          <w:pgMar w:left="1440" w:top="551" w:right="1440" w:bottom="1440" w:gutter="0" w:footer="0" w:header="0"/>
        </w:sectPr>
      </w:pPr>
    </w:p>
    <w:bookmarkStart w:id="126" w:name="page127"/>
    <w:bookmarkEnd w:id="12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Rule 145</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The shares of common stock to be issued to certain persons or entities pursuant to the registration statement of which this prospectus forms a part will be subject to the provisions of Rule 145 under the Securities Act (“Rule 145”). Under Rule 145, a person or entity that is an affiliate of a party to a merger, acquisition or reclassification (the “merger”) at the time they are submitted for vote or consent is deemed to be an underwriter in connection with any transaction to publicly offer or sell securities acquired in the merger unless the following conditions are met:</w:t>
      </w:r>
    </w:p>
    <w:p>
      <w:pPr>
        <w:spacing w:after="0" w:line="142" w:lineRule="exact"/>
        <w:rPr>
          <w:sz w:val="20"/>
          <w:szCs w:val="20"/>
          <w:color w:val="auto"/>
        </w:rPr>
      </w:pPr>
    </w:p>
    <w:p>
      <w:pPr>
        <w:ind w:left="1280" w:right="779" w:hanging="246"/>
        <w:spacing w:after="0" w:line="278" w:lineRule="auto"/>
        <w:tabs>
          <w:tab w:leader="none" w:pos="12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set forth under “Restrictions on the Use of Rule 144 by Shell Companies or Former Shell Companies” are met; and</w:t>
      </w:r>
    </w:p>
    <w:p>
      <w:pPr>
        <w:spacing w:after="0" w:line="125" w:lineRule="exact"/>
        <w:rPr>
          <w:rFonts w:ascii="Times New Roman" w:cs="Times New Roman" w:eastAsia="Times New Roman" w:hAnsi="Times New Roman"/>
          <w:sz w:val="14"/>
          <w:szCs w:val="14"/>
          <w:color w:val="auto"/>
        </w:rPr>
      </w:pPr>
    </w:p>
    <w:p>
      <w:pPr>
        <w:ind w:left="1280" w:right="799" w:hanging="246"/>
        <w:spacing w:after="0" w:line="279" w:lineRule="auto"/>
        <w:tabs>
          <w:tab w:leader="none" w:pos="12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(i) the sale occurs at least 90 days after the securities were acquired in the merger and the conditions applicable to resales under Rule 144(b)(2), other than the notice requirement, are satisfied or (ii) for a person who is not an affiliate of ours on the date of sale (and has not been an affiliate of ours within three months prior to the date of sale), either (A) at least one year has elapsed since the securities were acquired in the merger or (B) if we satisfy the current public information requirements set forth in Rule 144, at least six months have elapsed since the securities were acquired in the merger.</w:t>
      </w:r>
    </w:p>
    <w:p>
      <w:pPr>
        <w:spacing w:after="0" w:line="128"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Securities subject to Rule 145 may be resold pursuant to a registration statement registering their resale which is also registering the resales of the securities acquired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9019"/>
          </w:cols>
          <w:pgMar w:left="1440" w:top="551" w:right="1440" w:bottom="1440" w:gutter="0" w:footer="0" w:header="0"/>
        </w:sectPr>
      </w:pPr>
    </w:p>
    <w:bookmarkStart w:id="127" w:name="page128"/>
    <w:bookmarkEnd w:id="12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64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01945" cy="706437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3"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shares of Factorial Energy Common Stock as of the Closing Date by:</w:t>
      </w:r>
    </w:p>
    <w:p>
      <w:pPr>
        <w:spacing w:after="0" w:line="126" w:lineRule="exact"/>
        <w:rPr>
          <w:sz w:val="20"/>
          <w:szCs w:val="20"/>
          <w:color w:val="auto"/>
        </w:rPr>
      </w:pPr>
    </w:p>
    <w:p>
      <w:pPr>
        <w:ind w:left="1280" w:right="1019" w:hanging="246"/>
        <w:spacing w:after="0" w:line="278" w:lineRule="auto"/>
        <w:tabs>
          <w:tab w:leader="none" w:pos="12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the Company who is the beneficial owner of more than 5% of the issued and outstanding shares of Factorial Energy Common Stock;</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current named executive officers and directors; and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executive officers and directors of the Company as a group;</w:t>
      </w:r>
    </w:p>
    <w:p>
      <w:pPr>
        <w:spacing w:after="0" w:line="171"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Commission.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Unless otherwise indicated, we believe that all persons named in the table below have sole voting and investment power with respect to the voting securities beneficially owned by them.</w:t>
      </w:r>
    </w:p>
    <w:p>
      <w:pPr>
        <w:spacing w:after="0" w:line="142"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beneficial ownership of the Factorial Energy Common Stock is based on 91,510,501 shares of Series A Common Stock and 15,512,744 shares of Series B Common Stock issued and outstanding as of the Closing Date.</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Total Factorial Energy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Beneficial Owner</w:t>
            </w:r>
            <w:r>
              <w:rPr>
                <w:rFonts w:ascii="Times New Roman" w:cs="Times New Roman" w:eastAsia="Times New Roman" w:hAnsi="Times New Roman"/>
                <w:sz w:val="16"/>
                <w:szCs w:val="16"/>
                <w:b w:val="1"/>
                <w:bCs w:val="1"/>
                <w:i w:val="1"/>
                <w:iCs w:val="1"/>
                <w:color w:val="auto"/>
                <w:vertAlign w:val="superscript"/>
              </w:rPr>
              <w:t>(1)</w:t>
            </w:r>
          </w:p>
        </w:tc>
        <w:tc>
          <w:tcPr>
            <w:tcW w:w="140" w:type="dxa"/>
            <w:vAlign w:val="bottom"/>
            <w:vMerge w:val="restart"/>
          </w:tcPr>
          <w:p>
            <w:pPr>
              <w:spacing w:after="0"/>
              <w:rPr>
                <w:sz w:val="11"/>
                <w:szCs w:val="11"/>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 w:type="dxa"/>
            <w:vAlign w:val="bottom"/>
            <w:tcBorders>
              <w:bottom w:val="single" w:sz="8" w:color="auto"/>
            </w:tcBorders>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40" w:type="dxa"/>
            <w:vAlign w:val="bottom"/>
            <w:tcBorders>
              <w:bottom w:val="single" w:sz="8" w:color="auto"/>
            </w:tcBorders>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gridSpan w:val="2"/>
          </w:tcPr>
          <w:p>
            <w:pPr>
              <w:jc w:val="center"/>
              <w:ind w:left="37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4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1"/>
                <w:szCs w:val="11"/>
                <w:color w:val="auto"/>
              </w:rPr>
              <w:t>Number</w:t>
            </w:r>
          </w:p>
        </w:tc>
        <w:tc>
          <w:tcPr>
            <w:tcW w:w="300" w:type="dxa"/>
            <w:vAlign w:val="bottom"/>
          </w:tcPr>
          <w:p>
            <w:pPr>
              <w:jc w:val="right"/>
              <w:ind w:right="52"/>
              <w:spacing w:after="0" w:line="115" w:lineRule="exact"/>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20" w:type="dxa"/>
            <w:vAlign w:val="bottom"/>
            <w:gridSpan w:val="2"/>
          </w:tcPr>
          <w:p>
            <w:pPr>
              <w:ind w:left="180"/>
              <w:spacing w:after="0" w:line="115" w:lineRule="exact"/>
              <w:rPr>
                <w:sz w:val="20"/>
                <w:szCs w:val="20"/>
                <w:color w:val="auto"/>
              </w:rPr>
            </w:pPr>
            <w:r>
              <w:rPr>
                <w:rFonts w:ascii="Times New Roman" w:cs="Times New Roman" w:eastAsia="Times New Roman" w:hAnsi="Times New Roman"/>
                <w:sz w:val="11"/>
                <w:szCs w:val="11"/>
                <w:color w:val="auto"/>
              </w:rPr>
              <w:t>Number</w:t>
            </w:r>
          </w:p>
        </w:tc>
        <w:tc>
          <w:tcPr>
            <w:tcW w:w="300" w:type="dxa"/>
            <w:vAlign w:val="bottom"/>
          </w:tcPr>
          <w:p>
            <w:pPr>
              <w:jc w:val="right"/>
              <w:ind w:right="72"/>
              <w:spacing w:after="0" w:line="115"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color w:val="auto"/>
              </w:rPr>
              <w:t>Number</w:t>
            </w:r>
          </w:p>
        </w:tc>
        <w:tc>
          <w:tcPr>
            <w:tcW w:w="1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92"/>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Siyu Huang</w:t>
            </w:r>
            <w:r>
              <w:rPr>
                <w:rFonts w:ascii="Times New Roman" w:cs="Times New Roman" w:eastAsia="Times New Roman" w:hAnsi="Times New Roman"/>
                <w:sz w:val="20"/>
                <w:szCs w:val="20"/>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6,085,121</w:t>
            </w:r>
          </w:p>
        </w:tc>
        <w:tc>
          <w:tcPr>
            <w:tcW w:w="120" w:type="dxa"/>
            <w:vAlign w:val="bottom"/>
            <w:tcBorders>
              <w:right w:val="single" w:sz="8" w:color="CCEEFF"/>
            </w:tcBorders>
            <w:shd w:val="clear" w:color="auto" w:fill="CCEEFF"/>
          </w:tcPr>
          <w:p>
            <w:pPr>
              <w:spacing w:after="0"/>
              <w:rPr>
                <w:sz w:val="24"/>
                <w:szCs w:val="24"/>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 15,512,744</w:t>
            </w:r>
          </w:p>
        </w:tc>
        <w:tc>
          <w:tcPr>
            <w:tcW w:w="100" w:type="dxa"/>
            <w:vAlign w:val="bottom"/>
            <w:tcBorders>
              <w:right w:val="single" w:sz="8" w:color="CCEEFF"/>
            </w:tcBorders>
            <w:shd w:val="clear" w:color="auto" w:fill="CCEEFF"/>
          </w:tcPr>
          <w:p>
            <w:pPr>
              <w:spacing w:after="0"/>
              <w:rPr>
                <w:sz w:val="24"/>
                <w:szCs w:val="24"/>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 21,597,865</w:t>
            </w:r>
          </w:p>
        </w:tc>
        <w:tc>
          <w:tcPr>
            <w:tcW w:w="4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0" w:type="dxa"/>
            <w:vAlign w:val="bottom"/>
          </w:tcPr>
          <w:p>
            <w:pPr>
              <w:spacing w:after="0"/>
              <w:rPr>
                <w:sz w:val="1"/>
                <w:szCs w:val="1"/>
                <w:color w:val="auto"/>
              </w:rPr>
            </w:pPr>
          </w:p>
        </w:tc>
      </w:tr>
      <w:tr>
        <w:trPr>
          <w:trHeight w:val="332"/>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Alex Yu</w:t>
            </w:r>
            <w:r>
              <w:rPr>
                <w:rFonts w:ascii="Times New Roman" w:cs="Times New Roman" w:eastAsia="Times New Roman" w:hAnsi="Times New Roman"/>
                <w:sz w:val="20"/>
                <w:szCs w:val="20"/>
                <w:color w:val="auto"/>
                <w:vertAlign w:val="superscript"/>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6,085,121</w:t>
            </w:r>
          </w:p>
        </w:tc>
        <w:tc>
          <w:tcPr>
            <w:tcW w:w="12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6.2 % 15,512,744</w:t>
            </w:r>
          </w:p>
        </w:tc>
        <w:tc>
          <w:tcPr>
            <w:tcW w:w="10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100 % 21,597,865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0" w:type="dxa"/>
            <w:vAlign w:val="bottom"/>
          </w:tcPr>
          <w:p>
            <w:pPr>
              <w:spacing w:after="0"/>
              <w:rPr>
                <w:sz w:val="1"/>
                <w:szCs w:val="1"/>
                <w:color w:val="auto"/>
              </w:rPr>
            </w:pPr>
          </w:p>
        </w:tc>
      </w:tr>
      <w:tr>
        <w:trPr>
          <w:trHeight w:val="166"/>
        </w:trPr>
        <w:tc>
          <w:tcPr>
            <w:tcW w:w="3640" w:type="dxa"/>
            <w:vAlign w:val="bottom"/>
            <w:tcBorders>
              <w:right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Jason Duva</w:t>
            </w:r>
            <w:r>
              <w:rPr>
                <w:rFonts w:ascii="Times New Roman" w:cs="Times New Roman" w:eastAsia="Times New Roman" w:hAnsi="Times New Roman"/>
                <w:sz w:val="19"/>
                <w:szCs w:val="19"/>
                <w:color w:val="auto"/>
                <w:vertAlign w:val="superscript"/>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834,038</w:t>
            </w:r>
          </w:p>
        </w:tc>
        <w:tc>
          <w:tcPr>
            <w:tcW w:w="1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834,038</w:t>
            </w:r>
          </w:p>
        </w:tc>
        <w:tc>
          <w:tcPr>
            <w:tcW w:w="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Joseph Taylor</w:t>
            </w:r>
            <w:r>
              <w:rPr>
                <w:rFonts w:ascii="Times New Roman" w:cs="Times New Roman" w:eastAsia="Times New Roman" w:hAnsi="Times New Roman"/>
                <w:sz w:val="19"/>
                <w:szCs w:val="19"/>
                <w:color w:val="auto"/>
                <w:vertAlign w:val="superscript"/>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3,869,152</w:t>
            </w:r>
          </w:p>
        </w:tc>
        <w:tc>
          <w:tcPr>
            <w:tcW w:w="1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3,869,152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66"/>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Uwe Keller</w:t>
            </w:r>
          </w:p>
        </w:tc>
        <w:tc>
          <w:tcPr>
            <w:tcW w:w="80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Liad Meidar</w:t>
            </w:r>
            <w:r>
              <w:rPr>
                <w:rFonts w:ascii="Times New Roman" w:cs="Times New Roman" w:eastAsia="Times New Roman" w:hAnsi="Times New Roman"/>
                <w:sz w:val="19"/>
                <w:szCs w:val="19"/>
                <w:color w:val="auto"/>
                <w:vertAlign w:val="superscript"/>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3,025,950</w:t>
            </w:r>
          </w:p>
        </w:tc>
        <w:tc>
          <w:tcPr>
            <w:tcW w:w="1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3,025,950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66"/>
        </w:trPr>
        <w:tc>
          <w:tcPr>
            <w:tcW w:w="3640" w:type="dxa"/>
            <w:vAlign w:val="bottom"/>
            <w:tcBorders>
              <w:right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Dieter Zetsche</w:t>
            </w:r>
            <w:r>
              <w:rPr>
                <w:rFonts w:ascii="Times New Roman" w:cs="Times New Roman" w:eastAsia="Times New Roman" w:hAnsi="Times New Roman"/>
                <w:sz w:val="19"/>
                <w:szCs w:val="19"/>
                <w:color w:val="auto"/>
                <w:vertAlign w:val="superscript"/>
              </w:rPr>
              <w:t>(7)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1,133,709</w:t>
            </w:r>
          </w:p>
        </w:tc>
        <w:tc>
          <w:tcPr>
            <w:tcW w:w="1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1,133,709</w:t>
            </w:r>
          </w:p>
        </w:tc>
        <w:tc>
          <w:tcPr>
            <w:tcW w:w="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Jon Nelson</w:t>
            </w:r>
          </w:p>
        </w:tc>
        <w:tc>
          <w:tcPr>
            <w:tcW w:w="8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640" w:type="dxa"/>
            <w:vAlign w:val="bottom"/>
            <w:tcBorders>
              <w:right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All Current Directors and Executive Officers as a Group (9</w:t>
            </w: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40" w:type="dxa"/>
            <w:vAlign w:val="bottom"/>
            <w:tcBorders>
              <w:right w:val="single" w:sz="8" w:color="CCEEFF"/>
            </w:tcBorders>
            <w:gridSpan w:val="2"/>
            <w:shd w:val="clear" w:color="auto" w:fill="CCEEFF"/>
          </w:tcPr>
          <w:p>
            <w:pPr>
              <w:ind w:left="100"/>
              <w:spacing w:after="0" w:line="187" w:lineRule="exact"/>
              <w:rPr>
                <w:sz w:val="20"/>
                <w:szCs w:val="20"/>
                <w:color w:val="auto"/>
              </w:rPr>
            </w:pPr>
            <w:r>
              <w:rPr>
                <w:rFonts w:ascii="Times New Roman" w:cs="Times New Roman" w:eastAsia="Times New Roman" w:hAnsi="Times New Roman"/>
                <w:sz w:val="14"/>
                <w:szCs w:val="14"/>
                <w:color w:val="auto"/>
              </w:rPr>
              <w:t>individuals)</w:t>
            </w:r>
            <w:r>
              <w:rPr>
                <w:rFonts w:ascii="Times New Roman" w:cs="Times New Roman" w:eastAsia="Times New Roman" w:hAnsi="Times New Roman"/>
                <w:sz w:val="20"/>
                <w:szCs w:val="20"/>
                <w:color w:val="auto"/>
                <w:vertAlign w:val="superscript"/>
              </w:rPr>
              <w:t>(8)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15,865,298</w:t>
            </w:r>
          </w:p>
        </w:tc>
        <w:tc>
          <w:tcPr>
            <w:tcW w:w="1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15,512,744</w:t>
            </w: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31,378,042</w:t>
            </w:r>
          </w:p>
        </w:tc>
        <w:tc>
          <w:tcPr>
            <w:tcW w:w="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2"/>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WAVE Equity Fund, L.P.</w:t>
            </w:r>
            <w:r>
              <w:rPr>
                <w:rFonts w:ascii="Times New Roman" w:cs="Times New Roman" w:eastAsia="Times New Roman" w:hAnsi="Times New Roman"/>
                <w:sz w:val="20"/>
                <w:szCs w:val="20"/>
                <w:color w:val="auto"/>
                <w:vertAlign w:val="superscript"/>
              </w:rPr>
              <w:t>(9)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11,474,452</w:t>
            </w:r>
          </w:p>
        </w:tc>
        <w:tc>
          <w:tcPr>
            <w:tcW w:w="120" w:type="dxa"/>
            <w:vAlign w:val="bottom"/>
            <w:tcBorders>
              <w:right w:val="single" w:sz="8" w:color="CCEEFF"/>
            </w:tcBorders>
            <w:shd w:val="clear" w:color="auto" w:fill="CCEEFF"/>
          </w:tcPr>
          <w:p>
            <w:pPr>
              <w:spacing w:after="0"/>
              <w:rPr>
                <w:sz w:val="24"/>
                <w:szCs w:val="24"/>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11,474,452</w:t>
            </w:r>
          </w:p>
        </w:tc>
        <w:tc>
          <w:tcPr>
            <w:tcW w:w="4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166"/>
        </w:trPr>
        <w:tc>
          <w:tcPr>
            <w:tcW w:w="3640" w:type="dxa"/>
            <w:vAlign w:val="bottom"/>
            <w:gridSpan w:val="2"/>
          </w:tcPr>
          <w:p>
            <w:pPr>
              <w:spacing w:after="0" w:line="166" w:lineRule="exact"/>
              <w:rPr>
                <w:sz w:val="20"/>
                <w:szCs w:val="20"/>
                <w:color w:val="auto"/>
              </w:rPr>
            </w:pPr>
            <w:r>
              <w:rPr>
                <w:rFonts w:ascii="Times New Roman" w:cs="Times New Roman" w:eastAsia="Times New Roman" w:hAnsi="Times New Roman"/>
                <w:sz w:val="13"/>
                <w:szCs w:val="13"/>
                <w:color w:val="auto"/>
              </w:rPr>
              <w:t>Mercedes-Benz Corporate Investments LLC</w:t>
            </w:r>
            <w:r>
              <w:rPr>
                <w:rFonts w:ascii="Times New Roman" w:cs="Times New Roman" w:eastAsia="Times New Roman" w:hAnsi="Times New Roman"/>
                <w:sz w:val="19"/>
                <w:szCs w:val="19"/>
                <w:color w:val="auto"/>
                <w:vertAlign w:val="superscript"/>
              </w:rPr>
              <w:t>(10)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1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66"/>
        </w:trPr>
        <w:tc>
          <w:tcPr>
            <w:tcW w:w="3640" w:type="dxa"/>
            <w:vAlign w:val="bottom"/>
            <w:tcBorders>
              <w:right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Stellantis Europe S.p.A</w:t>
            </w:r>
            <w:r>
              <w:rPr>
                <w:rFonts w:ascii="Times New Roman" w:cs="Times New Roman" w:eastAsia="Times New Roman" w:hAnsi="Times New Roman"/>
                <w:sz w:val="19"/>
                <w:szCs w:val="19"/>
                <w:color w:val="auto"/>
                <w:vertAlign w:val="superscript"/>
              </w:rPr>
              <w:t>(11)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1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Sponsor, DirectorCo and Pangaea Three-B, LP</w:t>
            </w:r>
            <w:r>
              <w:rPr>
                <w:rFonts w:ascii="Times New Roman" w:cs="Times New Roman" w:eastAsia="Times New Roman" w:hAnsi="Times New Roman"/>
                <w:sz w:val="20"/>
                <w:szCs w:val="20"/>
                <w:color w:val="auto"/>
                <w:vertAlign w:val="superscript"/>
              </w:rPr>
              <w:t>(12)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8,460,168</w:t>
            </w:r>
          </w:p>
        </w:tc>
        <w:tc>
          <w:tcPr>
            <w:tcW w:w="1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8,460,168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760"/>
        <w:spacing w:after="0"/>
        <w:tabs>
          <w:tab w:leader="none" w:pos="1000" w:val="left"/>
        </w:tabs>
        <w:rPr>
          <w:sz w:val="20"/>
          <w:szCs w:val="20"/>
          <w:color w:val="auto"/>
        </w:rPr>
      </w:pPr>
      <w:r>
        <w:rPr>
          <w:rFonts w:ascii="Times New Roman" w:cs="Times New Roman" w:eastAsia="Times New Roman" w:hAnsi="Times New Roman"/>
          <w:sz w:val="14"/>
          <w:szCs w:val="14"/>
          <w:color w:val="auto"/>
        </w:rPr>
        <w:t>*</w:t>
        <w:tab/>
        <w:t>Represents beneficial ownership of less than 1%.</w:t>
      </w:r>
    </w:p>
    <w:p>
      <w:pPr>
        <w:spacing w:after="0" w:line="171" w:lineRule="exact"/>
        <w:rPr>
          <w:sz w:val="20"/>
          <w:szCs w:val="20"/>
          <w:color w:val="auto"/>
        </w:rPr>
      </w:pPr>
    </w:p>
    <w:p>
      <w:pPr>
        <w:ind w:left="1020" w:right="1199" w:hanging="256"/>
        <w:spacing w:after="0" w:line="278" w:lineRule="auto"/>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individuals and entities listed in the table above is c/o Factorial Energy Inc., 805 Middlesex Turnpike, Billerica, MA 01821.</w:t>
      </w:r>
    </w:p>
    <w:p>
      <w:pPr>
        <w:spacing w:after="0" w:line="125" w:lineRule="exact"/>
        <w:rPr>
          <w:rFonts w:ascii="Times New Roman" w:cs="Times New Roman" w:eastAsia="Times New Roman" w:hAnsi="Times New Roman"/>
          <w:sz w:val="14"/>
          <w:szCs w:val="14"/>
          <w:color w:val="auto"/>
        </w:rPr>
      </w:pPr>
    </w:p>
    <w:p>
      <w:pPr>
        <w:ind w:left="1020" w:right="779" w:hanging="256"/>
        <w:spacing w:after="0" w:line="255" w:lineRule="auto"/>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7,762,710 shares of Series B Common Stock, all of which are held by trusts of which Dr. Huang serves as investment trustee, (ii) 4,090,616 shares of Series A Common Stock underlying Options vested or to be vested and exercisable within 60 days of the Closing Date, (iii) 7,750,034 shares of Series B Common Stock held by Dr. Yu and his affiliated entities, and (iv) 1,994,505 shares of Series A Common Stock underlying Options vested or to be vested and exercisable within 60 days of the Closing Date held by Dr. Yu.</w:t>
      </w:r>
    </w:p>
    <w:p>
      <w:pPr>
        <w:spacing w:after="0" w:line="142" w:lineRule="exact"/>
        <w:rPr>
          <w:rFonts w:ascii="Times New Roman" w:cs="Times New Roman" w:eastAsia="Times New Roman" w:hAnsi="Times New Roman"/>
          <w:sz w:val="14"/>
          <w:szCs w:val="14"/>
          <w:color w:val="auto"/>
        </w:rPr>
      </w:pPr>
    </w:p>
    <w:p>
      <w:pPr>
        <w:ind w:left="1020" w:right="779" w:hanging="256"/>
        <w:spacing w:after="0" w:line="255" w:lineRule="auto"/>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7,750,034 shares of Series B Common Stock, of which 366,840 are held by Dr. Yu and 7,383,194 are held by a trust of which Dr. Yu serves as investment trustee, (ii) 1,994,505 shares of Series A Common Stock underlying Options vested or to be vested and exercisable within 60 days of the Closing Date and (iii) 7,762,710 shares of Series B Common Stock and 4,090,616 shares of Series A Common Stock underlying Options vested or to be vested and exercisable within 60 days of the Closing Date, each held by Dr. Huang and her affiliated entities.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9019"/>
          </w:cols>
          <w:pgMar w:left="1440" w:top="551" w:right="1440"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1059" w:hanging="256"/>
        <w:spacing w:after="0" w:line="278"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44,681 shares of Series A Common Stock and (ii) 789,357 shares of Series A Common Stock underlying Options vested or to be vested and exercisable within 60 days of the Closing Date.</w:t>
      </w:r>
    </w:p>
    <w:p>
      <w:pPr>
        <w:spacing w:after="0" w:line="125" w:lineRule="exact"/>
        <w:rPr>
          <w:rFonts w:ascii="Times New Roman" w:cs="Times New Roman" w:eastAsia="Times New Roman" w:hAnsi="Times New Roman"/>
          <w:sz w:val="14"/>
          <w:szCs w:val="14"/>
          <w:color w:val="auto"/>
        </w:rPr>
      </w:pPr>
    </w:p>
    <w:p>
      <w:pPr>
        <w:ind w:left="1020" w:right="979" w:hanging="256"/>
        <w:spacing w:after="0" w:line="278"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23,041 shares of Series A Common Stock and (ii) 3,846,111 shares of Series A Common Stock underlying Options vested or to be vested and exercisable within 60 days of the Closing Date.</w:t>
      </w:r>
    </w:p>
    <w:p>
      <w:pPr>
        <w:spacing w:after="0" w:line="125" w:lineRule="exact"/>
        <w:rPr>
          <w:rFonts w:ascii="Times New Roman" w:cs="Times New Roman" w:eastAsia="Times New Roman" w:hAnsi="Times New Roman"/>
          <w:sz w:val="14"/>
          <w:szCs w:val="14"/>
          <w:color w:val="auto"/>
        </w:rPr>
      </w:pPr>
    </w:p>
    <w:p>
      <w:pPr>
        <w:ind w:left="1020" w:right="799" w:hanging="256"/>
        <w:spacing w:after="0" w:line="255"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3,025,950 shares of Series A Common Stock, which consists of (i) 761,964 shares held by Mr. Meidar, (ii) 446,782 shares held by trusts of which Mr. Meidar serves as investment trustee, (iii) 556,193 shares held by Elm Tree Investments LLC, of which Mr. Meidar is the manager, (iv) 1,152,137 shares held by Gatemore Special Opportunities Fund, of which Mr. Meidar is the portfolio manager, and (v) 108,874 shares held by GVP Climate Fund I LP, of which Mr. Meidar has investment decision-making power as one of the managing members of the ultimate general partner of such fund.</w:t>
      </w:r>
    </w:p>
    <w:p>
      <w:pPr>
        <w:spacing w:after="0" w:line="142" w:lineRule="exact"/>
        <w:rPr>
          <w:rFonts w:ascii="Times New Roman" w:cs="Times New Roman" w:eastAsia="Times New Roman" w:hAnsi="Times New Roman"/>
          <w:sz w:val="14"/>
          <w:szCs w:val="14"/>
          <w:color w:val="auto"/>
        </w:rPr>
      </w:pPr>
    </w:p>
    <w:p>
      <w:pPr>
        <w:ind w:left="1020" w:right="919" w:hanging="256"/>
        <w:spacing w:after="0" w:line="262"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230,427 shares of Series A Common Stock and (ii) 903,282 shares of Series A Common Stock underlying Options vested or to be vested and exercisable within 60 days of the Closing Date, each held by memang GmbH of which Mr. Zetsche is general manager.</w:t>
      </w:r>
    </w:p>
    <w:p>
      <w:pPr>
        <w:spacing w:after="0" w:line="137" w:lineRule="exact"/>
        <w:rPr>
          <w:rFonts w:ascii="Times New Roman" w:cs="Times New Roman" w:eastAsia="Times New Roman" w:hAnsi="Times New Roman"/>
          <w:sz w:val="14"/>
          <w:szCs w:val="14"/>
          <w:color w:val="auto"/>
        </w:rPr>
      </w:pPr>
    </w:p>
    <w:p>
      <w:pPr>
        <w:ind w:left="1020" w:right="879" w:hanging="256"/>
        <w:spacing w:after="0" w:line="278"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11,990,711 shares of Series A Common Stock underlying Options vested or to be vested and exercisable within 60 days of the Closing Date.</w:t>
      </w:r>
    </w:p>
    <w:p>
      <w:pPr>
        <w:spacing w:after="0" w:line="125" w:lineRule="exact"/>
        <w:rPr>
          <w:rFonts w:ascii="Times New Roman" w:cs="Times New Roman" w:eastAsia="Times New Roman" w:hAnsi="Times New Roman"/>
          <w:sz w:val="14"/>
          <w:szCs w:val="14"/>
          <w:color w:val="auto"/>
        </w:rPr>
      </w:pPr>
    </w:p>
    <w:p>
      <w:pPr>
        <w:ind w:left="1020" w:right="799" w:hanging="256"/>
        <w:spacing w:after="0" w:line="253"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10,584,189 shares of Series A Common Stock held by WAVE Equity Fund, L.P., (ii) 255,548 shares of Series A Common Stock held by WAVE AAC/LIO Co-Invest III, LLC, and (iii) 634,715 shares of Series A Common Stock held by WAVE Factorial Energy I, LLC. WAVE AAC/LIO Co-Invest III, LLC, WAVE Factorial Energy I, LLC and WAVE Factorial Energy I, LLC (the “WAVE entities”) are managed by WAVE Equity Partners LLC, which may be deemed to be a beneficial owner of the shares held or held by the WAVE entities. The address of WAVE Equity Fund, L.P., WAVE AAC/LIO Co-Invest III, LLC and WAVE Factorial Energy I, LLC is 67 Batterymarch St, Suite 500, Boston, MA 02110.</w:t>
      </w:r>
    </w:p>
    <w:p>
      <w:pPr>
        <w:spacing w:after="0" w:line="145" w:lineRule="exact"/>
        <w:rPr>
          <w:rFonts w:ascii="Times New Roman" w:cs="Times New Roman" w:eastAsia="Times New Roman" w:hAnsi="Times New Roman"/>
          <w:sz w:val="14"/>
          <w:szCs w:val="14"/>
          <w:color w:val="auto"/>
        </w:rPr>
      </w:pPr>
    </w:p>
    <w:p>
      <w:pPr>
        <w:ind w:left="1020" w:right="1199" w:hanging="256"/>
        <w:spacing w:after="0" w:line="278"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8,669,995 shares of Series A Common Stock held by Mercedes-Benz Corporate Investments LLC. The address of Mercedes-Benz Corporate Investments LLC is 35555 W. Twelve Mile Rd., St. 100, Farmington Hills, MI 48331.</w:t>
      </w:r>
    </w:p>
    <w:p>
      <w:pPr>
        <w:spacing w:after="0" w:line="125" w:lineRule="exact"/>
        <w:rPr>
          <w:rFonts w:ascii="Times New Roman" w:cs="Times New Roman" w:eastAsia="Times New Roman" w:hAnsi="Times New Roman"/>
          <w:sz w:val="14"/>
          <w:szCs w:val="14"/>
          <w:color w:val="auto"/>
        </w:rPr>
      </w:pPr>
    </w:p>
    <w:p>
      <w:pPr>
        <w:ind w:left="1020" w:right="899" w:hanging="256"/>
        <w:spacing w:after="0" w:line="283" w:lineRule="auto"/>
        <w:tabs>
          <w:tab w:leader="none" w:pos="10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8,234,493 shares of Series A Common Stock held by Stellantis Europe S.p.A and (ii) 435,502 shares of Series A Common Stock held by Stellantis Ventures B.V. Stellantis Europe S.p.A. and Stellantis Ventures B.V. are both wholly owned subsidiaries of Stellantis N.V., which may be deemed to be a beneficial owner of the shares held by Stellantis Europe S.p.A. and Stellantis Ventures B.V. The address of Stellantis Europe S.p.A. is Corso Giovanni Agnelli 200, 10135 Turin (Torino), Italy.</w:t>
      </w:r>
    </w:p>
    <w:p>
      <w:pPr>
        <w:spacing w:after="0" w:line="125" w:lineRule="exact"/>
        <w:rPr>
          <w:rFonts w:ascii="Times New Roman" w:cs="Times New Roman" w:eastAsia="Times New Roman" w:hAnsi="Times New Roman"/>
          <w:sz w:val="13"/>
          <w:szCs w:val="13"/>
          <w:color w:val="auto"/>
        </w:rPr>
      </w:pPr>
    </w:p>
    <w:p>
      <w:pPr>
        <w:ind w:left="1020" w:right="799" w:hanging="256"/>
        <w:spacing w:after="0" w:line="250"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5,710,000 shares of Series A Common Stock held by Sponsor, 100,000 shares of Series A Common Stock held by CGC III Sponsor DirectorCo (“DirectorCo”) and 2,648,298 shares of Series A Common Stock held by Pangaea Three-B, LP (“Pangaea”). Excludes 4,400,000 Factorial Energy Private Warrants held by Sponsor and 324,120 Public Warrants held by Pangaea, each of which are exercisable for Series A Common Stock within 60 days of the Closing Date. The warrants contain an issuance limitation that prohibits the holder from exercising the warrants to the extent that after giving effect to such issuance after the exercise, the holder (together with the holder’s affiliates and any other person acting as a group together with the holder or any of the holder’s affiliates) would beneficially own in excess of 4.9% of the outstanding shares of Series A Common Stock immediately after giving effect to the issuance of the shares issuable upon exercise of the warrants. Pangaea is the sole member of Sponsor and is controlled by Peter Yu. Mr. Yu disclaims beneficial ownership of the securities held by Sponsor, DirectorCo and Pangaea, except to the extent of his pecuniary interest therein. The address of each of Sponsor, DirectorCo and Pangaea is 505 Fifth Avenue, 15th Floor, New York, NY 10017.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9019"/>
          </w:cols>
          <w:pgMar w:left="1440" w:top="551" w:right="1440" w:bottom="1440" w:gutter="0" w:footer="0" w:header="0"/>
        </w:sectPr>
      </w:pPr>
    </w:p>
    <w:bookmarkStart w:id="129" w:name="page130"/>
    <w:bookmarkEnd w:id="12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3" w:lineRule="exact"/>
        <w:rPr>
          <w:sz w:val="20"/>
          <w:szCs w:val="20"/>
          <w:color w:val="auto"/>
        </w:rPr>
      </w:pPr>
    </w:p>
    <w:p>
      <w:pPr>
        <w:ind w:left="760" w:right="899" w:firstLine="249"/>
        <w:spacing w:after="0" w:line="253" w:lineRule="auto"/>
        <w:rPr>
          <w:sz w:val="20"/>
          <w:szCs w:val="20"/>
          <w:color w:val="auto"/>
        </w:rPr>
      </w:pPr>
      <w:r>
        <w:rPr>
          <w:rFonts w:ascii="Times New Roman" w:cs="Times New Roman" w:eastAsia="Times New Roman" w:hAnsi="Times New Roman"/>
          <w:sz w:val="14"/>
          <w:szCs w:val="14"/>
          <w:color w:val="auto"/>
        </w:rPr>
        <w:t>This prospectus relates to the possible offer and resale by the Selling Securityholders of up to 86,441,489 Series A Common Stock, consisting of (a) 32,812,316 shares of Series A Common Stock issued to Non-Founder Stockholders, (b) 15,512,744 shares of Series A Common Stock issuable upon conversion of 15,512,744 shares of Series B Common Stock held by our Legacy Factorial Founders, (c) 5,810,000 shares of Series A Common Stock issued to the Sponsor and certain initial shareholders of CGC,</w:t>
      </w:r>
    </w:p>
    <w:p>
      <w:pPr>
        <w:spacing w:after="0" w:line="1" w:lineRule="exact"/>
        <w:rPr>
          <w:sz w:val="20"/>
          <w:szCs w:val="20"/>
          <w:color w:val="auto"/>
        </w:rPr>
      </w:pPr>
    </w:p>
    <w:p>
      <w:pPr>
        <w:ind w:left="760" w:right="979" w:firstLine="4"/>
        <w:spacing w:after="0" w:line="266" w:lineRule="auto"/>
        <w:tabs>
          <w:tab w:leader="none" w:pos="956"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7,519,404 shares of Series A Common Stock in the aggregate issued in connection with the PIPE Investments to PIPE Investors and shares purchased by Pangaea Three-B, LP, an affiliate of Sponsor, to satisfy in part its purchase obligations under its Investor Stock Purchase Agreement, (e) 13,293,953 shares of Series A Common Stock issuable upon exercise of the Options held by certain Selling Securityholders, (f) 4,630,954 shares of Series A Common Stock issuable upon vesting and settlement of the RSUs held by certain Selling Securityholders, (g) 62,118 shares of Series A Common Stock issued to CF&amp;CO pursuant to a financial advisor engagement letter with respect to services provided by CF&amp;CO to the Company in connection with the Business Combination and</w:t>
      </w:r>
    </w:p>
    <w:p>
      <w:pPr>
        <w:spacing w:after="0" w:line="3" w:lineRule="exact"/>
        <w:rPr>
          <w:rFonts w:ascii="Times New Roman" w:cs="Times New Roman" w:eastAsia="Times New Roman" w:hAnsi="Times New Roman"/>
          <w:sz w:val="13"/>
          <w:szCs w:val="13"/>
          <w:color w:val="auto"/>
        </w:rPr>
      </w:pPr>
    </w:p>
    <w:p>
      <w:pPr>
        <w:ind w:left="960" w:hanging="196"/>
        <w:spacing w:after="0"/>
        <w:tabs>
          <w:tab w:leader="none" w:pos="9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6,800,000 shares of Series A Common Stock that may be issued upon the exercise of the Private Warrants.</w:t>
      </w:r>
    </w:p>
    <w:p>
      <w:pPr>
        <w:spacing w:after="0" w:line="156"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Sales of the foregoing shares of Series A Common Stock, which comprise a significant portion of our public float, by the Selling Securityholders, or the perception that such sales may occur, could have a significant negative impact on the trading price of our Series A Common Stock.</w:t>
      </w:r>
    </w:p>
    <w:p>
      <w:pPr>
        <w:spacing w:after="0" w:line="138"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 xml:space="preserve">The Selling Securityholders may from time to time offer and sell any or all of the Series A Common Stock set forth below pursuant to this prospectus. When we refer to the </w:t>
      </w:r>
      <w:r>
        <w:rPr>
          <w:rFonts w:ascii="Times New Roman" w:cs="Times New Roman" w:eastAsia="Times New Roman" w:hAnsi="Times New Roman"/>
          <w:sz w:val="14"/>
          <w:szCs w:val="14"/>
          <w:i w:val="1"/>
          <w:iCs w:val="1"/>
          <w:color w:val="auto"/>
        </w:rPr>
        <w:t>“Selling Securityholders”</w:t>
      </w:r>
      <w:r>
        <w:rPr>
          <w:rFonts w:ascii="Times New Roman" w:cs="Times New Roman" w:eastAsia="Times New Roman" w:hAnsi="Times New Roman"/>
          <w:sz w:val="14"/>
          <w:szCs w:val="14"/>
          <w:color w:val="auto"/>
        </w:rPr>
        <w:t xml:space="preserve"> in this prospectus, we mean the persons listed in the table below, and the pledgees, donees, transferees, assignees, successors and others who later come to hold any of the Selling Securityholders’ interest in the Series A Common Stock after the date of this prospectus such that registration rights shall apply to those securities.</w:t>
      </w:r>
    </w:p>
    <w:p>
      <w:pPr>
        <w:spacing w:after="0" w:line="142" w:lineRule="exact"/>
        <w:rPr>
          <w:sz w:val="20"/>
          <w:szCs w:val="20"/>
          <w:color w:val="auto"/>
        </w:rPr>
      </w:pPr>
    </w:p>
    <w:p>
      <w:pPr>
        <w:jc w:val="both"/>
        <w:ind w:left="760" w:right="959" w:firstLine="249"/>
        <w:spacing w:after="0" w:line="283" w:lineRule="auto"/>
        <w:rPr>
          <w:sz w:val="20"/>
          <w:szCs w:val="20"/>
          <w:color w:val="auto"/>
        </w:rPr>
      </w:pPr>
      <w:r>
        <w:rPr>
          <w:rFonts w:ascii="Times New Roman" w:cs="Times New Roman" w:eastAsia="Times New Roman" w:hAnsi="Times New Roman"/>
          <w:sz w:val="13"/>
          <w:szCs w:val="13"/>
          <w:color w:val="auto"/>
        </w:rPr>
        <w:t>The following table is prepared based on information provided to us by the Selling Securityholders. It sets forth the name and address of the Selling Securityholders, the aggregate number of Series A Common Stock that the Selling Securityholders may offer pursuant to this prospectus, and the beneficial ownership of the Selling Securityholders both before and after the offering. We have based percentage ownership after this offering on 91,510,501 shares of Series A Common Stock outstanding as of the Closing Date.</w:t>
      </w:r>
    </w:p>
    <w:p>
      <w:pPr>
        <w:spacing w:after="0" w:line="126"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We cannot advise you as to whether the Selling Securityholders will in fact sell any or all of such Series A Common Stock. In addition, the Selling Securityholders may sell, transfer or otherwise dispose of, at any time and from time to time, the Series A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44" w:lineRule="exact"/>
        <w:rPr>
          <w:sz w:val="20"/>
          <w:szCs w:val="20"/>
          <w:color w:val="auto"/>
        </w:rPr>
      </w:pPr>
    </w:p>
    <w:p>
      <w:pPr>
        <w:ind w:left="760" w:right="779" w:firstLine="249"/>
        <w:spacing w:after="0" w:line="264" w:lineRule="auto"/>
        <w:rPr>
          <w:sz w:val="20"/>
          <w:szCs w:val="20"/>
          <w:color w:val="auto"/>
        </w:rPr>
      </w:pPr>
      <w:r>
        <w:rPr>
          <w:rFonts w:ascii="Times New Roman" w:cs="Times New Roman" w:eastAsia="Times New Roman" w:hAnsi="Times New Roman"/>
          <w:sz w:val="14"/>
          <w:szCs w:val="14"/>
          <w:color w:val="auto"/>
        </w:rPr>
        <w:t>Please see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further information regarding the Selling Securityholders’ method of distributing these securities. For information regarding transactions between us and the Selling Securityholders, see the section entitled “</w:t>
      </w:r>
      <w:r>
        <w:rPr>
          <w:rFonts w:ascii="Times New Roman" w:cs="Times New Roman" w:eastAsia="Times New Roman" w:hAnsi="Times New Roman"/>
          <w:sz w:val="14"/>
          <w:szCs w:val="14"/>
          <w:i w:val="1"/>
          <w:iCs w:val="1"/>
          <w:color w:val="auto"/>
        </w:rPr>
        <w:t>Certain Relationships and Related Person Transactions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9019"/>
          </w:cols>
          <w:pgMar w:left="1440" w:top="551" w:right="1440"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1479" w:firstLine="249"/>
        <w:spacing w:after="0" w:line="278" w:lineRule="auto"/>
        <w:rPr>
          <w:sz w:val="20"/>
          <w:szCs w:val="20"/>
          <w:color w:val="auto"/>
        </w:rPr>
      </w:pPr>
      <w:r>
        <w:rPr>
          <w:rFonts w:ascii="Times New Roman" w:cs="Times New Roman" w:eastAsia="Times New Roman" w:hAnsi="Times New Roman"/>
          <w:sz w:val="14"/>
          <w:szCs w:val="14"/>
          <w:color w:val="auto"/>
        </w:rPr>
        <w:t>Unless otherwise indicated below, the address of each Selling Securityholder listed in the tables below is c/o Factorial Energy Inc., 805 Middlesex Turnpike, Billerica, MA 01821.</w:t>
      </w:r>
    </w:p>
    <w:p>
      <w:pPr>
        <w:spacing w:after="0" w:line="126"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beneficial ownership of the Factorial Energy Common Stock is based on 91,510,501 shares of Series A Common Stock and 15,512,744 shares of Series B Common Stock issued and outstanding as of the Closing Date.</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78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r>
      <w:tr>
        <w:trPr>
          <w:trHeight w:val="12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7"/>
              </w:rPr>
              <w:t>Series A</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Common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1"/>
                <w:szCs w:val="11"/>
                <w:b w:val="1"/>
                <w:bCs w:val="1"/>
                <w:color w:val="auto"/>
              </w:rPr>
              <w:t>Owned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Owned</w:t>
            </w:r>
          </w:p>
        </w:tc>
        <w:tc>
          <w:tcPr>
            <w:tcW w:w="1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1"/>
                <w:szCs w:val="11"/>
                <w:b w:val="1"/>
                <w:bCs w:val="1"/>
                <w:color w:val="auto"/>
              </w:rPr>
              <w:t>After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Prior to this</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 be Sold in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this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3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Selling Securityholder</w:t>
            </w:r>
          </w:p>
        </w:tc>
        <w:tc>
          <w:tcPr>
            <w:tcW w:w="9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0"/>
                <w:szCs w:val="10"/>
                <w:b w:val="1"/>
                <w:bCs w:val="1"/>
                <w:color w:val="auto"/>
              </w:rPr>
              <w:t>​​​   Offering</w:t>
            </w:r>
            <w:r>
              <w:rPr>
                <w:rFonts w:ascii="Times New Roman" w:cs="Times New Roman" w:eastAsia="Times New Roman" w:hAnsi="Times New Roman"/>
                <w:sz w:val="15"/>
                <w:szCs w:val="15"/>
                <w:b w:val="1"/>
                <w:bCs w:val="1"/>
                <w:color w:val="auto"/>
                <w:vertAlign w:val="superscript"/>
              </w:rPr>
              <w:t>(1)</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this Offering</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Percent</w:t>
            </w:r>
          </w:p>
        </w:tc>
        <w:tc>
          <w:tcPr>
            <w:tcW w:w="120" w:type="dxa"/>
            <w:vAlign w:val="bottom"/>
          </w:tcPr>
          <w:p>
            <w:pPr>
              <w:spacing w:after="0"/>
              <w:rPr>
                <w:sz w:val="11"/>
                <w:szCs w:val="11"/>
                <w:color w:val="auto"/>
              </w:rPr>
            </w:pPr>
          </w:p>
        </w:tc>
      </w:tr>
      <w:tr>
        <w:trPr>
          <w:trHeight w:val="157"/>
        </w:trPr>
        <w:tc>
          <w:tcPr>
            <w:tcW w:w="37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 xml:space="preserve">Alex Yu </w:t>
            </w:r>
            <w:r>
              <w:rPr>
                <w:rFonts w:ascii="Times New Roman" w:cs="Times New Roman" w:eastAsia="Times New Roman" w:hAnsi="Times New Roman"/>
                <w:sz w:val="18"/>
                <w:szCs w:val="18"/>
                <w:color w:val="auto"/>
                <w:vertAlign w:val="superscript"/>
              </w:rPr>
              <w:t>(2)</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2"/>
              <w:spacing w:after="0" w:line="157" w:lineRule="exact"/>
              <w:rPr>
                <w:sz w:val="20"/>
                <w:szCs w:val="20"/>
                <w:color w:val="auto"/>
              </w:rPr>
            </w:pPr>
            <w:r>
              <w:rPr>
                <w:rFonts w:ascii="Times New Roman" w:cs="Times New Roman" w:eastAsia="Times New Roman" w:hAnsi="Times New Roman"/>
                <w:sz w:val="14"/>
                <w:szCs w:val="14"/>
                <w:color w:val="auto"/>
              </w:rPr>
              <w:t>21,597,865</w:t>
            </w: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26,399,492</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Alyeska Master Fund, L.P. </w:t>
            </w:r>
            <w:r>
              <w:rPr>
                <w:rFonts w:ascii="Times New Roman" w:cs="Times New Roman" w:eastAsia="Times New Roman" w:hAnsi="Times New Roman"/>
                <w:sz w:val="19"/>
                <w:szCs w:val="19"/>
                <w:color w:val="auto"/>
                <w:vertAlign w:val="superscript"/>
              </w:rPr>
              <w:t>(3)</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8,305,727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6,340,000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1,965,727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Brett Olsher </w:t>
            </w:r>
            <w:r>
              <w:rPr>
                <w:rFonts w:ascii="Times New Roman" w:cs="Times New Roman" w:eastAsia="Times New Roman" w:hAnsi="Times New Roman"/>
                <w:sz w:val="19"/>
                <w:szCs w:val="19"/>
                <w:color w:val="auto"/>
                <w:vertAlign w:val="superscript"/>
              </w:rPr>
              <w:t>(4)</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232,161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Cantor Fitzgerald &amp; Co. </w:t>
            </w:r>
            <w:r>
              <w:rPr>
                <w:rFonts w:ascii="Times New Roman" w:cs="Times New Roman" w:eastAsia="Times New Roman" w:hAnsi="Times New Roman"/>
                <w:sz w:val="19"/>
                <w:szCs w:val="19"/>
                <w:color w:val="auto"/>
                <w:vertAlign w:val="superscript"/>
              </w:rPr>
              <w:t>(5)</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2,462,118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2,462,118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Dieter Zetsche </w:t>
            </w:r>
            <w:r>
              <w:rPr>
                <w:rFonts w:ascii="Times New Roman" w:cs="Times New Roman" w:eastAsia="Times New Roman" w:hAnsi="Times New Roman"/>
                <w:sz w:val="19"/>
                <w:szCs w:val="19"/>
                <w:color w:val="auto"/>
                <w:vertAlign w:val="superscript"/>
              </w:rPr>
              <w:t>(6)</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1,133,709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1,133,709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Jason Duva </w:t>
            </w:r>
            <w:r>
              <w:rPr>
                <w:rFonts w:ascii="Times New Roman" w:cs="Times New Roman" w:eastAsia="Times New Roman" w:hAnsi="Times New Roman"/>
                <w:sz w:val="19"/>
                <w:szCs w:val="19"/>
                <w:color w:val="auto"/>
                <w:vertAlign w:val="superscript"/>
              </w:rPr>
              <w:t>(7)</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834,038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1,344,707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Joseph Taylor </w:t>
            </w:r>
            <w:r>
              <w:rPr>
                <w:rFonts w:ascii="Times New Roman" w:cs="Times New Roman" w:eastAsia="Times New Roman" w:hAnsi="Times New Roman"/>
                <w:sz w:val="19"/>
                <w:szCs w:val="19"/>
                <w:color w:val="auto"/>
                <w:vertAlign w:val="superscript"/>
              </w:rPr>
              <w:t>(8)</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3,869,152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4,307,632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Liad Meidar </w:t>
            </w:r>
            <w:r>
              <w:rPr>
                <w:rFonts w:ascii="Times New Roman" w:cs="Times New Roman" w:eastAsia="Times New Roman" w:hAnsi="Times New Roman"/>
                <w:sz w:val="19"/>
                <w:szCs w:val="19"/>
                <w:color w:val="auto"/>
                <w:vertAlign w:val="superscript"/>
              </w:rPr>
              <w:t>(9)</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3,025,950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3,209,370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Mercedes-Benz Corporate Investments LLC </w:t>
            </w:r>
            <w:r>
              <w:rPr>
                <w:rFonts w:ascii="Times New Roman" w:cs="Times New Roman" w:eastAsia="Times New Roman" w:hAnsi="Times New Roman"/>
                <w:sz w:val="19"/>
                <w:szCs w:val="19"/>
                <w:color w:val="auto"/>
                <w:vertAlign w:val="superscript"/>
              </w:rPr>
              <w:t>(10)</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8,669,995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Richard Wei </w:t>
            </w:r>
            <w:r>
              <w:rPr>
                <w:rFonts w:ascii="Times New Roman" w:cs="Times New Roman" w:eastAsia="Times New Roman" w:hAnsi="Times New Roman"/>
                <w:sz w:val="19"/>
                <w:szCs w:val="19"/>
                <w:color w:val="auto"/>
                <w:vertAlign w:val="superscript"/>
              </w:rPr>
              <w:t>(11)</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917,328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917,328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Siyu Huang </w:t>
            </w:r>
            <w:r>
              <w:rPr>
                <w:rFonts w:ascii="Times New Roman" w:cs="Times New Roman" w:eastAsia="Times New Roman" w:hAnsi="Times New Roman"/>
                <w:sz w:val="19"/>
                <w:szCs w:val="19"/>
                <w:color w:val="auto"/>
                <w:vertAlign w:val="superscript"/>
              </w:rPr>
              <w:t>(12)</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21,597,865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26,399,492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Sponsor, DirectorCo and Pangaea Three-B, LP </w:t>
            </w:r>
            <w:r>
              <w:rPr>
                <w:rFonts w:ascii="Times New Roman" w:cs="Times New Roman" w:eastAsia="Times New Roman" w:hAnsi="Times New Roman"/>
                <w:sz w:val="19"/>
                <w:szCs w:val="19"/>
                <w:color w:val="auto"/>
                <w:vertAlign w:val="superscript"/>
              </w:rPr>
              <w:t>(13)</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14,685,942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14,685,942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 xml:space="preserve">Stellantis Europe S.p.A </w:t>
            </w:r>
            <w:r>
              <w:rPr>
                <w:rFonts w:ascii="Times New Roman" w:cs="Times New Roman" w:eastAsia="Times New Roman" w:hAnsi="Times New Roman"/>
                <w:sz w:val="19"/>
                <w:szCs w:val="19"/>
                <w:color w:val="auto"/>
                <w:vertAlign w:val="superscript"/>
              </w:rPr>
              <w:t>(14)</w:t>
            </w: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8,669,995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8,669,995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27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WAVE Equity Fund, L.P. </w:t>
            </w:r>
            <w:r>
              <w:rPr>
                <w:rFonts w:ascii="Times New Roman" w:cs="Times New Roman" w:eastAsia="Times New Roman" w:hAnsi="Times New Roman"/>
                <w:sz w:val="20"/>
                <w:szCs w:val="20"/>
                <w:color w:val="auto"/>
                <w:vertAlign w:val="superscript"/>
              </w:rPr>
              <w:t>(15)</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11,474,452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11,474,452</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r>
    </w:tbl>
    <w:p>
      <w:pPr>
        <w:spacing w:after="0" w:line="44" w:lineRule="exact"/>
        <w:rPr>
          <w:sz w:val="20"/>
          <w:szCs w:val="20"/>
          <w:color w:val="auto"/>
        </w:rPr>
      </w:pPr>
    </w:p>
    <w:p>
      <w:pPr>
        <w:ind w:left="760"/>
        <w:spacing w:after="0"/>
        <w:tabs>
          <w:tab w:leader="none" w:pos="1000" w:val="left"/>
        </w:tabs>
        <w:rPr>
          <w:sz w:val="20"/>
          <w:szCs w:val="20"/>
          <w:color w:val="auto"/>
        </w:rPr>
      </w:pPr>
      <w:r>
        <w:rPr>
          <w:rFonts w:ascii="Times New Roman" w:cs="Times New Roman" w:eastAsia="Times New Roman" w:hAnsi="Times New Roman"/>
          <w:sz w:val="14"/>
          <w:szCs w:val="14"/>
          <w:color w:val="auto"/>
        </w:rPr>
        <w:t>*</w:t>
        <w:tab/>
        <w:t>Indicates beneficial ownership less than 1%.</w:t>
      </w:r>
    </w:p>
    <w:p>
      <w:pPr>
        <w:spacing w:after="0" w:line="171" w:lineRule="exact"/>
        <w:rPr>
          <w:sz w:val="20"/>
          <w:szCs w:val="20"/>
          <w:color w:val="auto"/>
        </w:rPr>
      </w:pPr>
    </w:p>
    <w:p>
      <w:pPr>
        <w:ind w:left="1020" w:right="839" w:hanging="256"/>
        <w:spacing w:after="0" w:line="257" w:lineRule="auto"/>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securities beneficially owned pursuant to Rule 13d-3 under the Exchange Act, this column also reflects Options to be vested and exercisable more than 60 days of the Closing Date, the RSUs, Factorial Energy Private Warrants and Public Warrants, which otherwise would not be considered beneficially owned by the applicable Selling Securityholder pursuant to Rule 13d-3 under the Exchange Act.</w:t>
      </w:r>
    </w:p>
    <w:p>
      <w:pPr>
        <w:spacing w:after="0" w:line="141" w:lineRule="exact"/>
        <w:rPr>
          <w:rFonts w:ascii="Times New Roman" w:cs="Times New Roman" w:eastAsia="Times New Roman" w:hAnsi="Times New Roman"/>
          <w:sz w:val="14"/>
          <w:szCs w:val="14"/>
          <w:color w:val="auto"/>
        </w:rPr>
      </w:pPr>
    </w:p>
    <w:p>
      <w:pPr>
        <w:ind w:left="1020" w:right="779" w:hanging="256"/>
        <w:spacing w:after="0" w:line="251" w:lineRule="auto"/>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7,750,034 shares of Series A Common Stock issuable upon conversion at any time of 7,750,034 shares of Series B Common Stock, of which 366,840 shares are held by Dr. Yu and 7,383,194 shares are held North Point Family Trust, which Dr. Yu serves as investment trustee, (ii) 1,994,505 shares of Series A Common Stock underlying the Options vested or to be vested and exercisable within 60 days of the Closing Date and (iii) 7,762,710 shares of Series A Common Stock issuable upon conversion at any time of 7,762,710 shares of Series B Common Stock and 4,090,616 shares of Series A Common Stock underlying Options vested or to be vested and exercisable within 60 days of the Closing Date, each held by Dr. Huang and her affiliated entities, all of which may be deemed to be beneficially owned by Dr. Yu. 6,484,658 shares of Series A Common Stock underlying the Options and 4,630,954 shares of Series A Common Stock underlying the RSUs held by Dr. Yu and Dr. Huang are being registered and offered pursuant to this registration statement. The Selling Securityholders are Dr. Yu and North Point Family Trust.</w:t>
      </w:r>
    </w:p>
    <w:p>
      <w:pPr>
        <w:spacing w:after="0" w:line="144" w:lineRule="exact"/>
        <w:rPr>
          <w:rFonts w:ascii="Times New Roman" w:cs="Times New Roman" w:eastAsia="Times New Roman" w:hAnsi="Times New Roman"/>
          <w:sz w:val="14"/>
          <w:szCs w:val="14"/>
          <w:color w:val="auto"/>
        </w:rPr>
      </w:pPr>
    </w:p>
    <w:p>
      <w:pPr>
        <w:ind w:left="1020" w:right="859" w:hanging="256"/>
        <w:spacing w:after="0" w:line="251" w:lineRule="auto"/>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7,295,797 shares of Series A Common Stock and (ii) 1,009,930 shares of Series A Common Stock underlying Public Warrants, which are beneficially owned by Alyeska Master Fund, L.P. Alyeska Investment Group, L.P. serves as the investment manager of Alyeska Master Fund, L.P. (“Alyeska Master Fund”). Anand Parekh is the Chief Executive Officer of Alyeska Investment Group, L.P. and may be deemed to be the beneficial owner of such shares. Mr. Parekh, however, disclaims any beneficial ownership of the shares held by Alyeska Master Fund. 6,340,000 shares of Series A Common Stock are being registered and offered pursuant to this registration statement. The address of Alyeska Master Fund is c/o Maples Corporate Services Limited, P.O. Box 309, Ugland House, South Church Street George Town, Grand Cayman, KY1-1104, Cayman Islands. The address of each of Alyeska Investment Group, L.P. and Anand Parekh is 77 W. Wacker, Suite 700, Chicago, IL 60601. The Selling Securityholder is Alyeska Master Fund, L.P.</w:t>
      </w:r>
    </w:p>
    <w:p>
      <w:pPr>
        <w:spacing w:after="0" w:line="146" w:lineRule="exact"/>
        <w:rPr>
          <w:rFonts w:ascii="Times New Roman" w:cs="Times New Roman" w:eastAsia="Times New Roman" w:hAnsi="Times New Roman"/>
          <w:sz w:val="14"/>
          <w:szCs w:val="14"/>
          <w:color w:val="auto"/>
        </w:rPr>
      </w:pPr>
    </w:p>
    <w:p>
      <w:pPr>
        <w:ind w:left="1020" w:right="819" w:hanging="256"/>
        <w:spacing w:after="0" w:line="318" w:lineRule="auto"/>
        <w:tabs>
          <w:tab w:leader="none" w:pos="10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123,287 shares of Series A Common Stock held by Brett Olsher and (ii) 108,874 shares of Series A Common Stock held by GVP Climate Fund I LP, of which Mr. Olsher has investment decision-making power as one of the managing members of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9019"/>
          </w:cols>
          <w:pgMar w:left="1440" w:top="551" w:right="1440" w:bottom="1440" w:gutter="0" w:footer="0" w:header="0"/>
        </w:sectPr>
      </w:pPr>
    </w:p>
    <w:bookmarkStart w:id="131" w:name="page132"/>
    <w:bookmarkEnd w:id="13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1039"/>
        <w:spacing w:after="0" w:line="278" w:lineRule="auto"/>
        <w:rPr>
          <w:sz w:val="20"/>
          <w:szCs w:val="20"/>
          <w:color w:val="auto"/>
        </w:rPr>
      </w:pPr>
      <w:r>
        <w:rPr>
          <w:rFonts w:ascii="Times New Roman" w:cs="Times New Roman" w:eastAsia="Times New Roman" w:hAnsi="Times New Roman"/>
          <w:sz w:val="14"/>
          <w:szCs w:val="14"/>
          <w:color w:val="auto"/>
        </w:rPr>
        <w:t>the ultimate general partner of such fund. The address of Brett Olsher is 430 Park Avenue, New York, NY 10022. The Selling Securityholder is Brett Olsher.</w:t>
      </w:r>
    </w:p>
    <w:p>
      <w:pPr>
        <w:spacing w:after="0" w:line="126" w:lineRule="exact"/>
        <w:rPr>
          <w:sz w:val="20"/>
          <w:szCs w:val="20"/>
          <w:color w:val="auto"/>
        </w:rPr>
      </w:pPr>
    </w:p>
    <w:p>
      <w:pPr>
        <w:ind w:left="1020" w:right="799" w:hanging="256"/>
        <w:spacing w:after="0" w:line="250"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62,118 shares of Series A Common Stock and (i) 2,400,000 shares of Series A Common Stock underlying Factorial Energy Private Warrants. CF&amp;CO is the record owner of the securities reported herein. The business address of CF&amp;CO is 110 East 59th Street, New York, NY 10022. Cantor Fitzgerald Securities (“CFS”) controls the managing general partner of CF&amp;CO. Cantor Fitzgerald, L.P. (“CFLP”) indirectly controls each of CFS and CF&amp;CO. CFLP is controlled by CF Group Management, Inc. (“CFGM”), its managing general partner. Mr. Brandon G. Lutnick is the controlling trustee of the trusts owning all of the voting shares of CFGM, and therefore controls CFGM. No one other than Brandon G. Lutnick and entities and trusts controlled by him for the benefit of himself, his siblings and their respective descendants owns more than a 10% economic interest in Cantor Fitzgerald, L.P.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 The Selling Securityholder is Cantor Fitzgerald &amp; Co.</w:t>
      </w:r>
    </w:p>
    <w:p>
      <w:pPr>
        <w:spacing w:after="0" w:line="149" w:lineRule="exact"/>
        <w:rPr>
          <w:rFonts w:ascii="Times New Roman" w:cs="Times New Roman" w:eastAsia="Times New Roman" w:hAnsi="Times New Roman"/>
          <w:sz w:val="14"/>
          <w:szCs w:val="14"/>
          <w:color w:val="auto"/>
        </w:rPr>
      </w:pPr>
    </w:p>
    <w:p>
      <w:pPr>
        <w:ind w:left="1020" w:right="819" w:hanging="256"/>
        <w:spacing w:after="0" w:line="255"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230,427 shares of Series A Common Stock and (ii) 903,282 shares of Series A Common Stock underlying Options vested or to be vested and exercisable within 60 days of the Closing Date, all of which are beneficially owned by memang GmbH of which Mr. Zetsche is general manager. 903,282 shares of Series A Common Stock underlying the Options held by memang GmbH are being registered and offered pursuant to this registration statement. The Selling Securityholders are Dieter Zetsche and memang GmbH.</w:t>
      </w:r>
    </w:p>
    <w:p>
      <w:pPr>
        <w:spacing w:after="0" w:line="142" w:lineRule="exact"/>
        <w:rPr>
          <w:rFonts w:ascii="Times New Roman" w:cs="Times New Roman" w:eastAsia="Times New Roman" w:hAnsi="Times New Roman"/>
          <w:sz w:val="14"/>
          <w:szCs w:val="14"/>
          <w:color w:val="auto"/>
        </w:rPr>
      </w:pPr>
    </w:p>
    <w:p>
      <w:pPr>
        <w:ind w:left="1020" w:right="859" w:hanging="256"/>
        <w:spacing w:after="0" w:line="255"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44,681 shares of Series A Common Stock and (ii) 789,357 shares of Series A Common Stock underlying Options vested or to be vested and exercisable within 60 days of the Closing Date, all of which are beneficially owned by Jason Duva. 1,088,770 shares of Series A Common Stock underlying the Options and 105,628 shares of Series A Common Stock underlying the RSUs held by Mr. Duva are being registered and offered pursuant to this registration statement. The Selling Securityholder is Jason Duva.</w:t>
      </w:r>
    </w:p>
    <w:p>
      <w:pPr>
        <w:spacing w:after="0" w:line="142" w:lineRule="exact"/>
        <w:rPr>
          <w:rFonts w:ascii="Times New Roman" w:cs="Times New Roman" w:eastAsia="Times New Roman" w:hAnsi="Times New Roman"/>
          <w:sz w:val="14"/>
          <w:szCs w:val="14"/>
          <w:color w:val="auto"/>
        </w:rPr>
      </w:pPr>
    </w:p>
    <w:p>
      <w:pPr>
        <w:ind w:left="1020" w:right="819" w:hanging="256"/>
        <w:spacing w:after="0" w:line="255"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23,041 shares of Series A Common Stock and (ii) 3,846,111 shares of Series A Common Stock underlying Options vested or to be vested and exercisable within 60 days of the Closing Date, all of which are beneficially owned by Joseph Taylor. 4,038,119 shares of Series A Common Stock underlying the Options and 123,236 shares of Series A Common Stock underlying the RSUs held by Mr. Taylor are being registered and offered pursuant to this registration statement. The Selling Securityholder is Joseph Taylor.</w:t>
      </w:r>
    </w:p>
    <w:p>
      <w:pPr>
        <w:spacing w:after="0" w:line="142" w:lineRule="exact"/>
        <w:rPr>
          <w:rFonts w:ascii="Times New Roman" w:cs="Times New Roman" w:eastAsia="Times New Roman" w:hAnsi="Times New Roman"/>
          <w:sz w:val="14"/>
          <w:szCs w:val="14"/>
          <w:color w:val="auto"/>
        </w:rPr>
      </w:pPr>
    </w:p>
    <w:p>
      <w:pPr>
        <w:ind w:left="1020" w:right="799" w:hanging="256"/>
        <w:spacing w:after="0" w:line="251"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3,025,950 shares of Series A Common Stock, which consists of (i) 761,964 shares held by Mr. Meidar, (ii) 446,782 shares held by trusts of which Mr. Meidar serves as investment trustee, (iii) 556,193 shares held by Elm Tree Investments LLC, of which Mr. Meidar is the manager, (iv) 1,152,137 shares held by Gatemore Special Opportunities Fund, of which Mr. Meidar is the portfolio manager, and (v) 108,874 shares held by GVP Climate Fund I LP, of which Mr. Meidar has investment decision-making power as one of the managing members of the ultimate general partner of such fund, all of which may be deemed to be beneficially owned by Mr. Meidar. 183,420 shares of Series A Common Stock underlying the Options held by Mr. Meidar are being registered and offered pursuant to this registration statement. The Selling Securityholders are Elm Tree Investments LLC, Gatemore Special Opportunities Master Fund Ltd., GVP Climate Fund I LP, Old Farm Blue Trust, Old Farm Red Trust, and Old Farm White Trust.</w:t>
      </w:r>
    </w:p>
    <w:p>
      <w:pPr>
        <w:spacing w:after="0" w:line="146" w:lineRule="exact"/>
        <w:rPr>
          <w:rFonts w:ascii="Times New Roman" w:cs="Times New Roman" w:eastAsia="Times New Roman" w:hAnsi="Times New Roman"/>
          <w:sz w:val="14"/>
          <w:szCs w:val="14"/>
          <w:color w:val="auto"/>
        </w:rPr>
      </w:pPr>
    </w:p>
    <w:p>
      <w:pPr>
        <w:ind w:left="1020" w:right="1079" w:hanging="256"/>
        <w:spacing w:after="0" w:line="262" w:lineRule="auto"/>
        <w:tabs>
          <w:tab w:leader="none" w:pos="10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8,669,995 shares of Series A Common Stock held by Mercedes-Benz Corporate Investments LLC. The address of Mercedes-Benz Corporate Investments LLC is 35555 W. Twelve Mile Rd., St. 100, Farmington Hills, MI 48331. The Selling Securityholder is Mercedes-Benz Corporate Investments LLC.</w:t>
      </w:r>
    </w:p>
    <w:p>
      <w:pPr>
        <w:spacing w:after="0" w:line="137" w:lineRule="exact"/>
        <w:rPr>
          <w:rFonts w:ascii="Times New Roman" w:cs="Times New Roman" w:eastAsia="Times New Roman" w:hAnsi="Times New Roman"/>
          <w:sz w:val="14"/>
          <w:szCs w:val="14"/>
          <w:color w:val="auto"/>
        </w:rPr>
      </w:pPr>
    </w:p>
    <w:p>
      <w:pPr>
        <w:jc w:val="both"/>
        <w:ind w:left="1020" w:right="959" w:hanging="256"/>
        <w:spacing w:after="0" w:line="283" w:lineRule="auto"/>
        <w:tabs>
          <w:tab w:leader="none" w:pos="10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550,488 shares of Series A Common Stock and (ii) 366,840 shares of Series A Common Stock underlying Options vested or to be vested and exercisable within 60 days of the Closing Date, all of which are beneficially owned by Richard Wei. 917,328 shares of Series A Common Stock and shares of Series A Common Stock underlying the Options and held by Mr. Wei are being registered and offered pursuant to this registration statement. The Selling Securityholder is Richard Wei.</w:t>
      </w:r>
    </w:p>
    <w:p>
      <w:pPr>
        <w:spacing w:after="0" w:line="125" w:lineRule="exact"/>
        <w:rPr>
          <w:rFonts w:ascii="Times New Roman" w:cs="Times New Roman" w:eastAsia="Times New Roman" w:hAnsi="Times New Roman"/>
          <w:sz w:val="13"/>
          <w:szCs w:val="13"/>
          <w:color w:val="auto"/>
        </w:rPr>
      </w:pPr>
    </w:p>
    <w:p>
      <w:pPr>
        <w:ind w:left="1020" w:right="859" w:hanging="256"/>
        <w:spacing w:after="0" w:line="277" w:lineRule="auto"/>
        <w:tabs>
          <w:tab w:leader="none" w:pos="10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7,762,710 shares of Series A Common Stock issuable upon conversion at any time of 7,762,710 shares of Series B Common Stock, all of which are held by trusts of which Dr. Huang serves as investment trustee, (ii) 4,090,616 shares of Series A Common Stock underlying Options vested or to be vested and exercisable within 60 days of the Closing Date, (iii) 7,750,034 shares of Series A Common Stock issuable upon conversion at any time of 7,750,034 shares of Series B Common Stock held by Dr. Yu and his affiliated entities, and (iv) 1,994,505 shares of Series A Common Stock underlying Options vested or to be vested and exercisable within 60 days of the Closing Date held by Dr. Yu, all of which may be deemed to be beneficially owned by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9019"/>
          </w:cols>
          <w:pgMar w:left="1440" w:top="551" w:right="1440"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020" w:right="819"/>
        <w:spacing w:after="0" w:line="292" w:lineRule="auto"/>
        <w:rPr>
          <w:sz w:val="20"/>
          <w:szCs w:val="20"/>
          <w:color w:val="auto"/>
        </w:rPr>
      </w:pPr>
      <w:r>
        <w:rPr>
          <w:rFonts w:ascii="Times New Roman" w:cs="Times New Roman" w:eastAsia="Times New Roman" w:hAnsi="Times New Roman"/>
          <w:sz w:val="13"/>
          <w:szCs w:val="13"/>
          <w:color w:val="auto"/>
        </w:rPr>
        <w:t>Dr. Huang. 6,484,658 shares of Series A Common Stock underlying the Options and 4,630,954 shares of Series A Common Stock underlying the RSUs held by Dr. Huang and Dr. Yu are being registered and offered pursuant to this registration statement. The Selling Securityholders are Dr. Huang, North Point Family Trust and Siyu Huang 2024 Family Trust dated March 1, 2024.</w:t>
      </w:r>
    </w:p>
    <w:p>
      <w:pPr>
        <w:spacing w:after="0" w:line="119" w:lineRule="exact"/>
        <w:rPr>
          <w:sz w:val="20"/>
          <w:szCs w:val="20"/>
          <w:color w:val="auto"/>
        </w:rPr>
      </w:pPr>
    </w:p>
    <w:p>
      <w:pPr>
        <w:ind w:left="1020" w:right="799" w:hanging="256"/>
        <w:spacing w:after="0" w:line="250" w:lineRule="auto"/>
        <w:tabs>
          <w:tab w:leader="none" w:pos="10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5,710,000 shares of Series A Common Stock held by Sponsor, 100,000 shares of Series A Common Stock held by DirectorCo, 4,151,822 shares of Series A Common Stock held by Pangaea, 4,400,000 shares of Series A Common Stock underlying Factorial Energy Private Warrants held by Sponsor and 324,120 shares of Series A Common Stock underlying Public Warrants held by Pangaea, each of which are exercisable for Series A Common Stock within 60 days of the Closing Date. The warrants contain an issuance limitation that prohibits the holder from exercising the warrants to the extent that after giving effect to such issuance after the exercise, the holder (together with the holder’s affiliates and any other person acting as a group together with the holder or any of the holder’s affiliates) would beneficially own in excess of 4.9% of the outstanding shares of Series A Common Stock immediately after giving effect to the issuance of the shares issuable upon exercise of the warrants. Pangaea is the sole member of Sponsor and is controlled by Peter Yu. Mr. Yu disclaims beneficial ownership of the securities held by Sponsor, DirectorCo and Pangaea, except to the extent of his pecuniary interest therein. The address of each of Sponsor, DirectorCo and Pangaea is 505 Fifth Avenue, 15th Floor, New York, NY 10017. The Selling Securityholders are CGC III Sponsor DirectorCo LLC, CGC III Sponsor LLC and Pangaea Three-B, LP.</w:t>
      </w:r>
    </w:p>
    <w:p>
      <w:pPr>
        <w:spacing w:after="0" w:line="148" w:lineRule="exact"/>
        <w:rPr>
          <w:rFonts w:ascii="Times New Roman" w:cs="Times New Roman" w:eastAsia="Times New Roman" w:hAnsi="Times New Roman"/>
          <w:sz w:val="14"/>
          <w:szCs w:val="14"/>
          <w:color w:val="auto"/>
        </w:rPr>
      </w:pPr>
    </w:p>
    <w:p>
      <w:pPr>
        <w:ind w:left="1020" w:right="899" w:hanging="256"/>
        <w:spacing w:after="0" w:line="255" w:lineRule="auto"/>
        <w:tabs>
          <w:tab w:leader="none" w:pos="10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8,234,493 shares of Series A Common Stock held by Stellantis Europe S.p.A and (ii) 435,502 shares of Series A Common Stock held by Stellantis Ventures B.V. Stellantis Europe S.p.A. and Stellantis Ventures B.V. are both wholly owned subsidiaries of Stellantis N.V., which may be deemed to be a beneficial owner of the shares held by Stellantis Europe S.p.A. and Stellantis Ventures B.V. The address of Stellantis Europe S.p.A. is Corso Giovanni Agnelli 200, 10135 Turin (Torino), Italy. The Selling Securityholders are Stellantis Europe S.p.A and Stellantis Ventures B.V.</w:t>
      </w:r>
    </w:p>
    <w:p>
      <w:pPr>
        <w:spacing w:after="0" w:line="142" w:lineRule="exact"/>
        <w:rPr>
          <w:rFonts w:ascii="Times New Roman" w:cs="Times New Roman" w:eastAsia="Times New Roman" w:hAnsi="Times New Roman"/>
          <w:sz w:val="14"/>
          <w:szCs w:val="14"/>
          <w:color w:val="auto"/>
        </w:rPr>
      </w:pPr>
    </w:p>
    <w:p>
      <w:pPr>
        <w:ind w:left="1020" w:right="799" w:hanging="256"/>
        <w:spacing w:after="0" w:line="252" w:lineRule="auto"/>
        <w:tabs>
          <w:tab w:leader="none" w:pos="10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10,584,189 shares of Series A Common Stock held by WAVE Equity Fund, L.P., (ii) 255,548 shares of Series A Common Stock held by WAVE AAC/LIO Co-Invest III, LLC, and (iii) 634,715 shares of Series A Common Stock held by WAVE Factorial Energy I, LLC. WAVE AAC/LIO Co-Invest III, LLC, WAVE Factorial Energy I, LLC and WAVE Factorial Energy I, LLC (the “WAVE entities”) are managed by WAVE Equity Partners LLC, which may be deemed to be a beneficial owner of the shares held or held by the WAVE entities. The address of WAVE Equity Fund, L.P., WAVE AAC/LIO Co-Invest III, LLC and WAVE Factorial Energy I, LLC is 67 Batterymarch St, Suite 500, Boston, MA 02110. The Selling Securityholders are WAVE AAC/LIO Co-Invest III, LLC, WAVE Factorial Energy I, LLC and WAVE Factorial Energy 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9019"/>
          </w:cols>
          <w:pgMar w:left="1440" w:top="551" w:right="1440" w:bottom="1440" w:gutter="0" w:footer="0" w:header="0"/>
        </w:sectPr>
      </w:pPr>
    </w:p>
    <w:bookmarkStart w:id="133" w:name="page134"/>
    <w:bookmarkEnd w:id="13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common stock by the Selling Securityholders pursuant to this prospectus, except with respect to any amounts received by us upon exercise of the Options or Warrants to the extent the Options or Warrants are exercised for cash.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46" w:lineRule="exact"/>
        <w:rPr>
          <w:sz w:val="20"/>
          <w:szCs w:val="20"/>
          <w:color w:val="auto"/>
        </w:rPr>
      </w:pPr>
    </w:p>
    <w:p>
      <w:pPr>
        <w:ind w:left="760" w:right="819" w:firstLine="249"/>
        <w:spacing w:after="0" w:line="270" w:lineRule="auto"/>
        <w:rPr>
          <w:sz w:val="20"/>
          <w:szCs w:val="20"/>
          <w:color w:val="auto"/>
        </w:rPr>
      </w:pPr>
      <w:r>
        <w:rPr>
          <w:rFonts w:ascii="Times New Roman" w:cs="Times New Roman" w:eastAsia="Times New Roman" w:hAnsi="Times New Roman"/>
          <w:sz w:val="13"/>
          <w:szCs w:val="13"/>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39"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26" w:lineRule="exact"/>
        <w:rPr>
          <w:sz w:val="20"/>
          <w:szCs w:val="20"/>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171" w:lineRule="exact"/>
        <w:rPr>
          <w:rFonts w:ascii="Times New Roman" w:cs="Times New Roman" w:eastAsia="Times New Roman" w:hAnsi="Times New Roman"/>
          <w:sz w:val="14"/>
          <w:szCs w:val="14"/>
          <w:color w:val="auto"/>
        </w:rPr>
      </w:pPr>
    </w:p>
    <w:p>
      <w:pPr>
        <w:ind w:left="1280" w:right="959" w:hanging="246"/>
        <w:spacing w:after="0" w:line="278" w:lineRule="auto"/>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securities as agent but may position and resell a portion of the block as principal to facilitate the transaction;</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the Nasdaq;</w:t>
      </w:r>
    </w:p>
    <w:p>
      <w:pPr>
        <w:spacing w:after="0" w:line="171" w:lineRule="exact"/>
        <w:rPr>
          <w:rFonts w:ascii="Times New Roman" w:cs="Times New Roman" w:eastAsia="Times New Roman" w:hAnsi="Times New Roman"/>
          <w:sz w:val="14"/>
          <w:szCs w:val="14"/>
          <w:color w:val="auto"/>
        </w:rPr>
      </w:pPr>
    </w:p>
    <w:p>
      <w:pPr>
        <w:ind w:left="1280" w:right="859" w:hanging="246"/>
        <w:spacing w:after="0" w:line="262" w:lineRule="auto"/>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37"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underwritten offerings on a firm commitment or best efforts basis;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entered into after the date of this prospectus;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with broker-dealers to sell a specified number of the securities at a stipulated price per share;</w:t>
      </w:r>
    </w:p>
    <w:p>
      <w:pPr>
        <w:spacing w:after="0" w:line="171" w:lineRule="exact"/>
        <w:rPr>
          <w:rFonts w:ascii="Times New Roman" w:cs="Times New Roman" w:eastAsia="Times New Roman" w:hAnsi="Times New Roman"/>
          <w:sz w:val="14"/>
          <w:szCs w:val="14"/>
          <w:color w:val="auto"/>
        </w:rPr>
      </w:pPr>
    </w:p>
    <w:p>
      <w:pPr>
        <w:ind w:left="1280" w:right="919" w:hanging="246"/>
        <w:spacing w:after="0" w:line="292" w:lineRule="auto"/>
        <w:tabs>
          <w:tab w:leader="none" w:pos="12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9" w:lineRule="exact"/>
        <w:rPr>
          <w:rFonts w:ascii="Times New Roman" w:cs="Times New Roman" w:eastAsia="Times New Roman" w:hAnsi="Times New Roman"/>
          <w:sz w:val="13"/>
          <w:szCs w:val="13"/>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through a specific bidding, auction or other process or in privately negotiated transactions;</w:t>
      </w:r>
    </w:p>
    <w:p>
      <w:pPr>
        <w:spacing w:after="0" w:line="171" w:lineRule="exact"/>
        <w:rPr>
          <w:rFonts w:ascii="Times New Roman" w:cs="Times New Roman" w:eastAsia="Times New Roman" w:hAnsi="Times New Roman"/>
          <w:sz w:val="14"/>
          <w:szCs w:val="14"/>
          <w:color w:val="auto"/>
        </w:rPr>
      </w:pPr>
    </w:p>
    <w:p>
      <w:pPr>
        <w:ind w:left="1280" w:right="1379" w:hanging="246"/>
        <w:spacing w:after="0" w:line="278" w:lineRule="auto"/>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of securities by any Selling Securityholder to its partners, members or securityholders;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9019"/>
          </w:cols>
          <w:pgMar w:left="1440" w:top="551" w:right="1440"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1280" w:hanging="246"/>
        <w:spacing w:after="0"/>
        <w:tabs>
          <w:tab w:leader="none" w:pos="12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 or</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1"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A Selling Securityholder that is an entity may elect to make an in-kind distribution of securities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a distribution pursuant to the registration statement of which this prospectus forms a part. To the extent that such members, partners, stockholders or other equityholders is an affiliate of ours (or to the extent otherwise required by law), we may file a prospectus supplement in order to permit such members, partners, stockholders or other equityholders to use the prospectus to resell the securities acquired in such distribution.</w:t>
      </w:r>
    </w:p>
    <w:p>
      <w:pPr>
        <w:spacing w:after="0" w:line="144" w:lineRule="exact"/>
        <w:rPr>
          <w:sz w:val="20"/>
          <w:szCs w:val="20"/>
          <w:color w:val="auto"/>
        </w:rPr>
      </w:pPr>
    </w:p>
    <w:p>
      <w:pPr>
        <w:ind w:left="760" w:right="979" w:firstLine="249"/>
        <w:spacing w:after="0" w:line="255" w:lineRule="auto"/>
        <w:rPr>
          <w:sz w:val="20"/>
          <w:szCs w:val="20"/>
          <w:color w:val="auto"/>
        </w:rPr>
      </w:pPr>
      <w:r>
        <w:rPr>
          <w:rFonts w:ascii="Times New Roman" w:cs="Times New Roman" w:eastAsia="Times New Roman" w:hAnsi="Times New Roman"/>
          <w:sz w:val="14"/>
          <w:szCs w:val="14"/>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42" w:lineRule="exact"/>
        <w:rPr>
          <w:sz w:val="20"/>
          <w:szCs w:val="20"/>
          <w:color w:val="auto"/>
        </w:rPr>
      </w:pPr>
    </w:p>
    <w:p>
      <w:pPr>
        <w:ind w:left="760" w:right="1059" w:firstLine="249"/>
        <w:spacing w:after="0" w:line="257" w:lineRule="auto"/>
        <w:rPr>
          <w:sz w:val="20"/>
          <w:szCs w:val="20"/>
          <w:color w:val="auto"/>
        </w:rPr>
      </w:pPr>
      <w:r>
        <w:rPr>
          <w:rFonts w:ascii="Times New Roman" w:cs="Times New Roman" w:eastAsia="Times New Roman" w:hAnsi="Times New Roman"/>
          <w:sz w:val="14"/>
          <w:szCs w:val="14"/>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42" w:lineRule="exact"/>
        <w:rPr>
          <w:sz w:val="20"/>
          <w:szCs w:val="20"/>
          <w:color w:val="auto"/>
        </w:rPr>
      </w:pPr>
    </w:p>
    <w:p>
      <w:pPr>
        <w:jc w:val="both"/>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138" w:lineRule="exact"/>
        <w:rPr>
          <w:sz w:val="20"/>
          <w:szCs w:val="20"/>
          <w:color w:val="auto"/>
        </w:rPr>
      </w:pPr>
    </w:p>
    <w:p>
      <w:pPr>
        <w:ind w:left="1280" w:hanging="246"/>
        <w:spacing w:after="0"/>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securities to be offered and sold;</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the selling securityholders;</w:t>
      </w:r>
    </w:p>
    <w:p>
      <w:pPr>
        <w:spacing w:after="0" w:line="171" w:lineRule="exact"/>
        <w:rPr>
          <w:rFonts w:ascii="Times New Roman" w:cs="Times New Roman" w:eastAsia="Times New Roman" w:hAnsi="Times New Roman"/>
          <w:sz w:val="14"/>
          <w:szCs w:val="14"/>
          <w:color w:val="auto"/>
        </w:rPr>
      </w:pPr>
    </w:p>
    <w:p>
      <w:pPr>
        <w:ind w:left="1280" w:right="839" w:hanging="246"/>
        <w:spacing w:after="0" w:line="278" w:lineRule="auto"/>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purchase prices and public offering prices, the proceeds to be received from the sale, if any, and other material terms of the offering;</w:t>
      </w:r>
    </w:p>
    <w:p>
      <w:pPr>
        <w:spacing w:after="0" w:line="12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entered into after the date of this prospectus;</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participating agents, broker-dealers or underwriters; and</w:t>
      </w:r>
    </w:p>
    <w:p>
      <w:pPr>
        <w:spacing w:after="0" w:line="171" w:lineRule="exact"/>
        <w:rPr>
          <w:rFonts w:ascii="Times New Roman" w:cs="Times New Roman" w:eastAsia="Times New Roman" w:hAnsi="Times New Roman"/>
          <w:sz w:val="14"/>
          <w:szCs w:val="14"/>
          <w:color w:val="auto"/>
        </w:rPr>
      </w:pPr>
    </w:p>
    <w:p>
      <w:pPr>
        <w:ind w:left="1280" w:right="1559" w:hanging="246"/>
        <w:spacing w:after="0" w:line="278" w:lineRule="auto"/>
        <w:tabs>
          <w:tab w:leader="none" w:pos="12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commissions, discounts, concessions and other items constituting compensation from the selling securityholders.</w:t>
      </w:r>
    </w:p>
    <w:p>
      <w:pPr>
        <w:spacing w:after="0" w:line="126"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45" w:lineRule="exact"/>
        <w:rPr>
          <w:sz w:val="20"/>
          <w:szCs w:val="20"/>
          <w:color w:val="auto"/>
        </w:rPr>
      </w:pPr>
    </w:p>
    <w:p>
      <w:pPr>
        <w:ind w:left="760" w:right="859" w:firstLine="249"/>
        <w:spacing w:after="0" w:line="283"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9019"/>
          </w:cols>
          <w:pgMar w:left="1440" w:top="551" w:right="1440" w:bottom="1440" w:gutter="0" w:footer="0" w:header="0"/>
        </w:sectPr>
      </w:pPr>
    </w:p>
    <w:bookmarkStart w:id="135" w:name="page136"/>
    <w:bookmarkEnd w:id="13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799"/>
        <w:spacing w:after="0" w:line="253" w:lineRule="auto"/>
        <w:rPr>
          <w:sz w:val="20"/>
          <w:szCs w:val="20"/>
          <w:color w:val="auto"/>
        </w:rPr>
      </w:pPr>
      <w:r>
        <w:rPr>
          <w:rFonts w:ascii="Times New Roman" w:cs="Times New Roman" w:eastAsia="Times New Roman" w:hAnsi="Times New Roman"/>
          <w:sz w:val="14"/>
          <w:szCs w:val="14"/>
          <w:color w:val="auto"/>
        </w:rPr>
        <w:t>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45" w:lineRule="exact"/>
        <w:rPr>
          <w:sz w:val="20"/>
          <w:szCs w:val="20"/>
          <w:color w:val="auto"/>
        </w:rPr>
      </w:pPr>
    </w:p>
    <w:p>
      <w:pPr>
        <w:jc w:val="both"/>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38" w:lineRule="exact"/>
        <w:rPr>
          <w:sz w:val="20"/>
          <w:szCs w:val="20"/>
          <w:color w:val="auto"/>
        </w:rPr>
      </w:pPr>
    </w:p>
    <w:p>
      <w:pPr>
        <w:jc w:val="both"/>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Our Series A Common Stock is listed on Nasdaq under the symbol “FAC”.</w:t>
      </w:r>
    </w:p>
    <w:p>
      <w:pPr>
        <w:spacing w:after="0" w:line="171"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42"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45"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38" w:lineRule="exact"/>
        <w:rPr>
          <w:sz w:val="20"/>
          <w:szCs w:val="20"/>
          <w:color w:val="auto"/>
        </w:rPr>
      </w:pPr>
    </w:p>
    <w:p>
      <w:pPr>
        <w:ind w:left="760" w:right="799" w:firstLine="249"/>
        <w:spacing w:after="0" w:line="292" w:lineRule="auto"/>
        <w:rPr>
          <w:sz w:val="20"/>
          <w:szCs w:val="20"/>
          <w:color w:val="auto"/>
        </w:rPr>
      </w:pPr>
      <w:r>
        <w:rPr>
          <w:rFonts w:ascii="Times New Roman" w:cs="Times New Roman" w:eastAsia="Times New Roman" w:hAnsi="Times New Roman"/>
          <w:sz w:val="13"/>
          <w:szCs w:val="13"/>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9"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38"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45" w:lineRule="exact"/>
        <w:rPr>
          <w:sz w:val="20"/>
          <w:szCs w:val="20"/>
          <w:color w:val="auto"/>
        </w:rPr>
      </w:pPr>
    </w:p>
    <w:p>
      <w:pPr>
        <w:jc w:val="both"/>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9019"/>
          </w:cols>
          <w:pgMar w:left="1440" w:top="551" w:right="1440" w:bottom="1440" w:gutter="0" w:footer="0" w:header="0"/>
        </w:sectPr>
      </w:pPr>
    </w:p>
    <w:bookmarkStart w:id="136" w:name="page137"/>
    <w:bookmarkEnd w:id="13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40"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2" w:lineRule="exact"/>
        <w:rPr>
          <w:sz w:val="20"/>
          <w:szCs w:val="20"/>
          <w:color w:val="auto"/>
        </w:rPr>
      </w:pPr>
    </w:p>
    <w:p>
      <w:pPr>
        <w:ind w:left="760" w:right="1239" w:firstLine="249"/>
        <w:spacing w:after="0" w:line="278" w:lineRule="auto"/>
        <w:rPr>
          <w:sz w:val="20"/>
          <w:szCs w:val="20"/>
          <w:color w:val="auto"/>
        </w:rPr>
      </w:pPr>
      <w:r>
        <w:rPr>
          <w:rFonts w:ascii="Times New Roman" w:cs="Times New Roman" w:eastAsia="Times New Roman" w:hAnsi="Times New Roman"/>
          <w:sz w:val="14"/>
          <w:szCs w:val="14"/>
          <w:color w:val="auto"/>
        </w:rPr>
        <w:t>The underwriters, broker-dealers and agents may engage in transactions with us or the Selling Securityholders, or perform services for us or the Selling Securityholders, in the ordinary course of business.</w:t>
      </w:r>
    </w:p>
    <w:p>
      <w:pPr>
        <w:spacing w:after="0" w:line="126" w:lineRule="exact"/>
        <w:rPr>
          <w:sz w:val="20"/>
          <w:szCs w:val="20"/>
          <w:color w:val="auto"/>
        </w:rPr>
      </w:pPr>
    </w:p>
    <w:p>
      <w:pPr>
        <w:jc w:val="both"/>
        <w:ind w:left="760" w:right="999" w:firstLine="249"/>
        <w:spacing w:after="0" w:line="257"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42" w:lineRule="exact"/>
        <w:rPr>
          <w:sz w:val="20"/>
          <w:szCs w:val="20"/>
          <w:color w:val="auto"/>
        </w:rPr>
      </w:pPr>
    </w:p>
    <w:p>
      <w:pPr>
        <w:ind w:left="760" w:right="919" w:firstLine="249"/>
        <w:spacing w:after="0" w:line="255" w:lineRule="auto"/>
        <w:rPr>
          <w:sz w:val="20"/>
          <w:szCs w:val="20"/>
          <w:color w:val="auto"/>
        </w:rPr>
      </w:pPr>
      <w:r>
        <w:rPr>
          <w:rFonts w:ascii="Times New Roman" w:cs="Times New Roman" w:eastAsia="Times New Roman" w:hAnsi="Times New Roman"/>
          <w:sz w:val="14"/>
          <w:szCs w:val="14"/>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42"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42" w:lineRule="exact"/>
        <w:rPr>
          <w:sz w:val="20"/>
          <w:szCs w:val="20"/>
          <w:color w:val="auto"/>
        </w:rPr>
      </w:pPr>
    </w:p>
    <w:p>
      <w:pPr>
        <w:ind w:left="760" w:right="859" w:firstLine="249"/>
        <w:spacing w:after="0" w:line="283" w:lineRule="auto"/>
        <w:rPr>
          <w:sz w:val="20"/>
          <w:szCs w:val="20"/>
          <w:color w:val="auto"/>
        </w:rPr>
      </w:pPr>
      <w:r>
        <w:rPr>
          <w:rFonts w:ascii="Times New Roman" w:cs="Times New Roman" w:eastAsia="Times New Roman" w:hAnsi="Times New Roman"/>
          <w:sz w:val="13"/>
          <w:szCs w:val="13"/>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26"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A holder of the Public Warrants may exercise its warrants in accordance with the Warrant Agreement on or before the expiration date set forth therein by surrendering, at the office of Continental, our warrant agent, the certificate evidencing such Public Warrants, with the form of election to purchase set forth thereon, properly completed and duly executed, accompanied by full payment of the exercise price and any and all applicable taxes due in connection with the exercise of the Public Warrants, subject to any applicable provisions relating to cashless exercises in accordance with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9019"/>
          </w:cols>
          <w:pgMar w:left="1440" w:top="551" w:right="1440" w:bottom="1440" w:gutter="0" w:footer="0" w:header="0"/>
        </w:sectPr>
      </w:pPr>
    </w:p>
    <w:bookmarkStart w:id="137" w:name="page138"/>
    <w:bookmarkEnd w:id="13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validity of the shares of our securities offered by this prospectus will be passed upon by Goodwin Procter LLP, New York,</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760" w:right="779" w:firstLine="249"/>
        <w:spacing w:after="0" w:line="253" w:lineRule="auto"/>
        <w:rPr>
          <w:sz w:val="20"/>
          <w:szCs w:val="20"/>
          <w:color w:val="auto"/>
        </w:rPr>
      </w:pPr>
      <w:r>
        <w:rPr>
          <w:rFonts w:ascii="Times New Roman" w:cs="Times New Roman" w:eastAsia="Times New Roman" w:hAnsi="Times New Roman"/>
          <w:sz w:val="14"/>
          <w:szCs w:val="14"/>
          <w:color w:val="auto"/>
        </w:rPr>
        <w:t>The financial statements of CGC as of December 31, 2025 and 2024, and the related statements of operations, changes in shareholders’ deficit, and cash flows for the year ended December 31, 2025 and for the period from October 29, 2024 (inception) through December 31, 2024, have been audited by CBIZ CPAs P.C., independent registered public accounting firm, as set forth in their report thereon (which contains an explanatory paragraph relating to substantial doubt about the ability of CGC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45" w:lineRule="exact"/>
        <w:rPr>
          <w:sz w:val="20"/>
          <w:szCs w:val="20"/>
          <w:color w:val="auto"/>
        </w:rPr>
      </w:pPr>
    </w:p>
    <w:p>
      <w:pPr>
        <w:ind w:left="760" w:right="779" w:firstLine="249"/>
        <w:spacing w:after="0" w:line="279" w:lineRule="auto"/>
        <w:rPr>
          <w:sz w:val="20"/>
          <w:szCs w:val="20"/>
          <w:color w:val="auto"/>
        </w:rPr>
      </w:pPr>
      <w:r>
        <w:rPr>
          <w:rFonts w:ascii="Times New Roman" w:cs="Times New Roman" w:eastAsia="Times New Roman" w:hAnsi="Times New Roman"/>
          <w:sz w:val="13"/>
          <w:szCs w:val="13"/>
          <w:color w:val="auto"/>
        </w:rPr>
        <w:t>The consolidated financial statements of Factorial Inc. as of December 31, 2025 and 2024 and for the years then ended have been audited by RSM US LLP, an independent registered public accounting firm, as stated in their report thereon (which report expresses an unqualified opinion and includes an explanatory paragraph relating to substantial doubt about the Company’s ability to continue as a going concern as described in Note 1 to the consolidated financial statements), and have been included in this prospectus and Registration Statement in reliance upon such report and upon the authority of such firm as experts in accounting and auditing.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We have filed a registration statement on Form S-1, including exhibits, under the Securities Act, with respect to the securities offered by this prospectus. This prospectus is part of the registration statement, but does not contain all of the information included in the registration statement or the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Our SEC filings are available to the public on the internet at a website maintained by the SEC located at http://www.sec.gov.</w:t>
      </w:r>
    </w:p>
    <w:p>
      <w:pPr>
        <w:spacing w:after="0" w:line="145"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http://www. factorialenergy.com.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9019"/>
          </w:cols>
          <w:pgMar w:left="1440" w:top="551" w:right="1440" w:bottom="1440" w:gutter="0" w:footer="0" w:header="0"/>
        </w:sectPr>
      </w:pPr>
    </w:p>
    <w:bookmarkStart w:id="138" w:name="page139"/>
    <w:bookmarkEnd w:id="13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 - AUDITED FINANCIAL STATEMENTS</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7040" w:type="dxa"/>
            <w:vAlign w:val="bottom"/>
            <w:gridSpan w:val="14"/>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Financial Statements as of December 31, 2025 and 2024:</w:t>
            </w:r>
          </w:p>
        </w:tc>
        <w:tc>
          <w:tcPr>
            <w:tcW w:w="44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702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(PCAOB ID Number 199)</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F-3</w:t>
            </w: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2820" w:type="dxa"/>
            <w:vAlign w:val="bottom"/>
            <w:tcBorders>
              <w:top w:val="single" w:sz="8" w:color="0000EE"/>
              <w:bottom w:val="single" w:sz="8" w:color="0000EE"/>
            </w:tcBorders>
            <w:gridSpan w:val="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8"/>
              </w:rPr>
              <w:t>Balance Sheets as of December 31, 2025 and 2024</w:t>
            </w:r>
          </w:p>
        </w:tc>
        <w:tc>
          <w:tcPr>
            <w:tcW w:w="440" w:type="dxa"/>
            <w:vAlign w:val="bottom"/>
            <w:tcBorders>
              <w:top w:val="single" w:sz="8" w:color="0000EE"/>
              <w:bottom w:val="single" w:sz="8" w:color="CCEEFF"/>
            </w:tcBorders>
            <w:gridSpan w:val="2"/>
            <w:shd w:val="clear" w:color="auto" w:fill="CCEEFF"/>
          </w:tcPr>
          <w:p>
            <w:pPr>
              <w:spacing w:after="0"/>
              <w:rPr>
                <w:sz w:val="13"/>
                <w:szCs w:val="13"/>
                <w:color w:val="auto"/>
              </w:rPr>
            </w:pPr>
          </w:p>
        </w:tc>
        <w:tc>
          <w:tcPr>
            <w:tcW w:w="3760" w:type="dxa"/>
            <w:vAlign w:val="bottom"/>
            <w:tcBorders>
              <w:bottom w:val="single" w:sz="8" w:color="CCEEFF"/>
            </w:tcBorders>
            <w:gridSpan w:val="4"/>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F-4</w:t>
            </w:r>
          </w:p>
        </w:tc>
      </w:tr>
      <w:tr>
        <w:trPr>
          <w:trHeight w:val="135"/>
        </w:trPr>
        <w:tc>
          <w:tcPr>
            <w:tcW w:w="7040" w:type="dxa"/>
            <w:vAlign w:val="bottom"/>
            <w:gridSpan w:val="14"/>
          </w:tcPr>
          <w:p>
            <w:pPr>
              <w:ind w:left="20"/>
              <w:spacing w:after="0" w:line="135" w:lineRule="exact"/>
              <w:rPr>
                <w:sz w:val="20"/>
                <w:szCs w:val="20"/>
                <w:color w:val="auto"/>
              </w:rPr>
            </w:pPr>
            <w:r>
              <w:rPr>
                <w:rFonts w:ascii="Times New Roman" w:cs="Times New Roman" w:eastAsia="Times New Roman" w:hAnsi="Times New Roman"/>
                <w:sz w:val="14"/>
                <w:szCs w:val="14"/>
                <w:color w:val="0000EE"/>
                <w:w w:val="98"/>
              </w:rPr>
              <w:t>Statements of Operations for the year ended December 31, 2025 and for the period from October 29, 2024 (Inception) through</w:t>
            </w:r>
          </w:p>
        </w:tc>
        <w:tc>
          <w:tcPr>
            <w:tcW w:w="44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4"/>
              </w:rPr>
              <w:t>December 31, 2024</w:t>
            </w:r>
          </w:p>
        </w:tc>
        <w:tc>
          <w:tcPr>
            <w:tcW w:w="5820" w:type="dxa"/>
            <w:vAlign w:val="bottom"/>
            <w:tcBorders>
              <w:top w:val="single" w:sz="8" w:color="0000EE"/>
            </w:tcBorders>
            <w:gridSpan w:val="11"/>
          </w:tcPr>
          <w:p>
            <w:pPr>
              <w:spacing w:after="0"/>
              <w:rPr>
                <w:sz w:val="13"/>
                <w:szCs w:val="13"/>
                <w:color w:val="auto"/>
              </w:rPr>
            </w:pP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F-5</w:t>
            </w:r>
          </w:p>
        </w:tc>
      </w:tr>
      <w:tr>
        <w:trPr>
          <w:trHeight w:val="141"/>
        </w:trPr>
        <w:tc>
          <w:tcPr>
            <w:tcW w:w="20" w:type="dxa"/>
            <w:vAlign w:val="bottom"/>
            <w:tcBorders>
              <w:bottom w:val="single" w:sz="8" w:color="CCEEFF"/>
            </w:tcBorders>
            <w:shd w:val="clear" w:color="auto" w:fill="CCEEFF"/>
          </w:tcPr>
          <w:p>
            <w:pPr>
              <w:spacing w:after="0"/>
              <w:rPr>
                <w:sz w:val="12"/>
                <w:szCs w:val="12"/>
                <w:color w:val="auto"/>
              </w:rPr>
            </w:pPr>
          </w:p>
        </w:tc>
        <w:tc>
          <w:tcPr>
            <w:tcW w:w="6820" w:type="dxa"/>
            <w:vAlign w:val="bottom"/>
            <w:tcBorders>
              <w:bottom w:val="single" w:sz="8" w:color="0000EE"/>
            </w:tcBorders>
            <w:gridSpan w:val="11"/>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w w:val="98"/>
              </w:rPr>
              <w:t>Statements of Changes in Shareholders’ Deficit for the year ended December 31, 2025 and for the period from October 29,</w:t>
            </w: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46"/>
        </w:trPr>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80" w:type="dxa"/>
            <w:vAlign w:val="bottom"/>
            <w:gridSpan w:val="1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2024 (Inception) through December 31, 2024</w:t>
            </w: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F-6</w:t>
            </w:r>
          </w:p>
        </w:tc>
      </w:tr>
      <w:tr>
        <w:trPr>
          <w:trHeight w:val="31"/>
        </w:trPr>
        <w:tc>
          <w:tcPr>
            <w:tcW w:w="2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7000" w:type="dxa"/>
            <w:vAlign w:val="bottom"/>
            <w:tcBorders>
              <w:bottom w:val="single" w:sz="8" w:color="0000EE"/>
            </w:tcBorders>
            <w:gridSpan w:val="12"/>
          </w:tcPr>
          <w:p>
            <w:pPr>
              <w:spacing w:after="0" w:line="135" w:lineRule="exact"/>
              <w:rPr>
                <w:sz w:val="20"/>
                <w:szCs w:val="20"/>
                <w:color w:val="auto"/>
              </w:rPr>
            </w:pPr>
            <w:r>
              <w:rPr>
                <w:rFonts w:ascii="Times New Roman" w:cs="Times New Roman" w:eastAsia="Times New Roman" w:hAnsi="Times New Roman"/>
                <w:sz w:val="14"/>
                <w:szCs w:val="14"/>
                <w:color w:val="0000EE"/>
                <w:w w:val="98"/>
              </w:rPr>
              <w:t>Statement of Cash Flows for the year ended December 31, 2025 and for the period from October 29, 2024 (Inception) through</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4"/>
              </w:rPr>
              <w:t>December 31, 2024</w:t>
            </w:r>
          </w:p>
        </w:tc>
        <w:tc>
          <w:tcPr>
            <w:tcW w:w="5820" w:type="dxa"/>
            <w:vAlign w:val="bottom"/>
            <w:gridSpan w:val="11"/>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F-7</w:t>
            </w:r>
          </w:p>
        </w:tc>
      </w:tr>
      <w:tr>
        <w:trPr>
          <w:trHeight w:val="157"/>
        </w:trPr>
        <w:tc>
          <w:tcPr>
            <w:tcW w:w="7040" w:type="dxa"/>
            <w:vAlign w:val="bottom"/>
            <w:gridSpan w:val="14"/>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0000EE"/>
              </w:rPr>
              <w:t>Notes to Financial Statements</w:t>
            </w: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F-8</w:t>
            </w:r>
          </w:p>
        </w:tc>
      </w:tr>
      <w:tr>
        <w:trPr>
          <w:trHeight w:val="333"/>
        </w:trPr>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80" w:type="dxa"/>
            <w:vAlign w:val="bottom"/>
            <w:tcBorders>
              <w:top w:val="single" w:sz="8" w:color="CCEEFF"/>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FACTORIAL INC. - AUDITED FINANCIAL STATEMENTS</w:t>
            </w:r>
          </w:p>
        </w:tc>
        <w:tc>
          <w:tcPr>
            <w:tcW w:w="440" w:type="dxa"/>
            <w:vAlign w:val="bottom"/>
            <w:tcBorders>
              <w:top w:val="single" w:sz="8" w:color="CCEEFF"/>
            </w:tcBorders>
          </w:tcPr>
          <w:p>
            <w:pPr>
              <w:spacing w:after="0"/>
              <w:rPr>
                <w:sz w:val="24"/>
                <w:szCs w:val="24"/>
                <w:color w:val="auto"/>
              </w:rPr>
            </w:pPr>
          </w:p>
        </w:tc>
      </w:tr>
      <w:tr>
        <w:trPr>
          <w:trHeight w:val="301"/>
        </w:trPr>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29"/>
        </w:trPr>
        <w:tc>
          <w:tcPr>
            <w:tcW w:w="7040" w:type="dxa"/>
            <w:vAlign w:val="bottom"/>
            <w:gridSpan w:val="14"/>
            <w:shd w:val="clear" w:color="auto" w:fill="CCEEFF"/>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w w:val="99"/>
              </w:rPr>
              <w:t>Consolidated Financial Statements as of December 31, 2025 and 2024 and for the years ended December 31, 2025 and</w:t>
            </w:r>
          </w:p>
        </w:tc>
        <w:tc>
          <w:tcPr>
            <w:tcW w:w="440" w:type="dxa"/>
            <w:vAlign w:val="bottom"/>
            <w:shd w:val="clear" w:color="auto" w:fill="CCEEFF"/>
          </w:tcPr>
          <w:p>
            <w:pPr>
              <w:spacing w:after="0"/>
              <w:rPr>
                <w:sz w:val="11"/>
                <w:szCs w:val="11"/>
                <w:color w:val="auto"/>
              </w:rPr>
            </w:pPr>
          </w:p>
        </w:tc>
      </w:tr>
      <w:tr>
        <w:trPr>
          <w:trHeight w:val="183"/>
        </w:trPr>
        <w:tc>
          <w:tcPr>
            <w:tcW w:w="1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2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(PCAOB ID 49)</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F-26</w:t>
            </w:r>
          </w:p>
        </w:tc>
      </w:tr>
      <w:tr>
        <w:trPr>
          <w:trHeight w:val="146"/>
        </w:trPr>
        <w:tc>
          <w:tcPr>
            <w:tcW w:w="20" w:type="dxa"/>
            <w:vAlign w:val="bottom"/>
            <w:shd w:val="clear" w:color="auto" w:fill="CCEEFF"/>
          </w:tcPr>
          <w:p>
            <w:pPr>
              <w:spacing w:after="0"/>
              <w:rPr>
                <w:sz w:val="12"/>
                <w:szCs w:val="12"/>
                <w:color w:val="auto"/>
              </w:rPr>
            </w:pPr>
          </w:p>
        </w:tc>
        <w:tc>
          <w:tcPr>
            <w:tcW w:w="140" w:type="dxa"/>
            <w:vAlign w:val="bottom"/>
            <w:tcBorders>
              <w:top w:val="single" w:sz="8" w:color="0000EE"/>
              <w:right w:val="single" w:sz="8" w:color="CCEEFF"/>
            </w:tcBorders>
            <w:shd w:val="clear" w:color="auto" w:fill="CCEEFF"/>
          </w:tcPr>
          <w:p>
            <w:pPr>
              <w:spacing w:after="0"/>
              <w:rPr>
                <w:sz w:val="12"/>
                <w:szCs w:val="12"/>
                <w:color w:val="auto"/>
              </w:rPr>
            </w:pPr>
          </w:p>
        </w:tc>
        <w:tc>
          <w:tcPr>
            <w:tcW w:w="3120" w:type="dxa"/>
            <w:vAlign w:val="bottom"/>
            <w:tcBorders>
              <w:top w:val="single" w:sz="8" w:color="0000EE"/>
            </w:tcBorders>
            <w:gridSpan w:val="8"/>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3760" w:type="dxa"/>
            <w:vAlign w:val="bottom"/>
            <w:gridSpan w:val="4"/>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F-27</w:t>
            </w:r>
          </w:p>
        </w:tc>
      </w:tr>
      <w:tr>
        <w:trPr>
          <w:trHeight w:val="31"/>
        </w:trPr>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bottom w:val="single" w:sz="8" w:color="0000EE"/>
            </w:tcBorders>
            <w:gridSpan w:val="4"/>
          </w:tcPr>
          <w:p>
            <w:pPr>
              <w:spacing w:after="0" w:line="135" w:lineRule="exact"/>
              <w:rPr>
                <w:sz w:val="20"/>
                <w:szCs w:val="20"/>
                <w:color w:val="auto"/>
              </w:rPr>
            </w:pPr>
            <w:r>
              <w:rPr>
                <w:rFonts w:ascii="Times New Roman" w:cs="Times New Roman" w:eastAsia="Times New Roman" w:hAnsi="Times New Roman"/>
                <w:sz w:val="14"/>
                <w:szCs w:val="14"/>
                <w:color w:val="0000EE"/>
                <w:w w:val="98"/>
              </w:rPr>
              <w:t>Consolidated Statements of Operations</w:t>
            </w:r>
          </w:p>
        </w:tc>
        <w:tc>
          <w:tcPr>
            <w:tcW w:w="4680" w:type="dxa"/>
            <w:vAlign w:val="bottom"/>
            <w:gridSpan w:val="8"/>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F-29</w:t>
            </w: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2720" w:type="dxa"/>
            <w:vAlign w:val="bottom"/>
            <w:tcBorders>
              <w:bottom w:val="single" w:sz="8" w:color="0000EE"/>
            </w:tcBorders>
            <w:gridSpan w:val="7"/>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8"/>
              </w:rPr>
              <w:t>Consolidated Statements of Comprehensive Loss</w:t>
            </w:r>
          </w:p>
        </w:tc>
        <w:tc>
          <w:tcPr>
            <w:tcW w:w="4160" w:type="dxa"/>
            <w:vAlign w:val="bottom"/>
            <w:tcBorders>
              <w:bottom w:val="single" w:sz="8" w:color="CCEEFF"/>
            </w:tcBorders>
            <w:gridSpan w:val="5"/>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F-30</w:t>
            </w: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80" w:type="dxa"/>
            <w:vAlign w:val="bottom"/>
            <w:gridSpan w:val="12"/>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Redeemable Convertible Preferred Stock and Stockholders’ Deficit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F-31</w:t>
            </w:r>
          </w:p>
        </w:tc>
      </w:tr>
      <w:tr>
        <w:trPr>
          <w:trHeight w:val="146"/>
        </w:trPr>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80" w:type="dxa"/>
            <w:vAlign w:val="bottom"/>
            <w:tcBorders>
              <w:top w:val="single" w:sz="8" w:color="0000EE"/>
            </w:tcBorders>
            <w:gridSpan w:val="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1600" w:type="dxa"/>
            <w:vAlign w:val="bottom"/>
            <w:gridSpan w:val="3"/>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F-32</w:t>
            </w:r>
          </w:p>
        </w:tc>
      </w:tr>
      <w:tr>
        <w:trPr>
          <w:trHeight w:val="31"/>
        </w:trPr>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bottom w:val="single" w:sz="8" w:color="0000EE"/>
            </w:tcBorders>
            <w:gridSpan w:val="5"/>
          </w:tcPr>
          <w:p>
            <w:pPr>
              <w:spacing w:after="0" w:line="135" w:lineRule="exact"/>
              <w:rPr>
                <w:sz w:val="20"/>
                <w:szCs w:val="20"/>
                <w:color w:val="auto"/>
              </w:rPr>
            </w:pPr>
            <w:r>
              <w:rPr>
                <w:rFonts w:ascii="Times New Roman" w:cs="Times New Roman" w:eastAsia="Times New Roman" w:hAnsi="Times New Roman"/>
                <w:sz w:val="14"/>
                <w:szCs w:val="14"/>
                <w:color w:val="0000EE"/>
                <w:w w:val="99"/>
              </w:rPr>
              <w:t>Notes to Consolidated Financial Statements</w:t>
            </w:r>
          </w:p>
        </w:tc>
        <w:tc>
          <w:tcPr>
            <w:tcW w:w="4400" w:type="dxa"/>
            <w:vAlign w:val="bottom"/>
            <w:gridSpan w:val="7"/>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F-33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852" w:right="1440" w:bottom="1440" w:gutter="0" w:footer="0" w:header="0"/>
        </w:sectPr>
      </w:pPr>
    </w:p>
    <w:bookmarkStart w:id="139" w:name="page140"/>
    <w:bookmarkEnd w:id="13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 FINANCIAL STATEMENTS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2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3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25"/>
        </w:trPr>
        <w:tc>
          <w:tcPr>
            <w:tcW w:w="20" w:type="dxa"/>
            <w:vAlign w:val="bottom"/>
            <w:shd w:val="clear" w:color="auto" w:fill="CCEEFF"/>
          </w:tcPr>
          <w:p>
            <w:pPr>
              <w:spacing w:after="0"/>
              <w:rPr>
                <w:sz w:val="10"/>
                <w:szCs w:val="10"/>
                <w:color w:val="auto"/>
              </w:rPr>
            </w:pPr>
          </w:p>
        </w:tc>
        <w:tc>
          <w:tcPr>
            <w:tcW w:w="7020" w:type="dxa"/>
            <w:vAlign w:val="bottom"/>
            <w:gridSpan w:val="11"/>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0000EE"/>
              </w:rPr>
              <w:t>Condensed Balance Sheets as of March 31, 2026 (Unaudited) and December 31, 2025</w:t>
            </w:r>
          </w:p>
        </w:tc>
        <w:tc>
          <w:tcPr>
            <w:tcW w:w="4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w w:val="90"/>
              </w:rPr>
              <w:t>F-63</w:t>
            </w:r>
          </w:p>
        </w:tc>
      </w:tr>
      <w:tr>
        <w:trPr>
          <w:trHeight w:val="31"/>
        </w:trPr>
        <w:tc>
          <w:tcPr>
            <w:tcW w:w="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34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7020" w:type="dxa"/>
            <w:vAlign w:val="bottom"/>
            <w:gridSpan w:val="11"/>
          </w:tcPr>
          <w:p>
            <w:pPr>
              <w:spacing w:after="0" w:line="135" w:lineRule="exact"/>
              <w:rPr>
                <w:sz w:val="20"/>
                <w:szCs w:val="20"/>
                <w:color w:val="auto"/>
              </w:rPr>
            </w:pPr>
            <w:r>
              <w:rPr>
                <w:rFonts w:ascii="Times New Roman" w:cs="Times New Roman" w:eastAsia="Times New Roman" w:hAnsi="Times New Roman"/>
                <w:sz w:val="14"/>
                <w:szCs w:val="14"/>
                <w:color w:val="0000EE"/>
              </w:rPr>
              <w:t>Condensed Statements of Operations For the Three Months Ended March 31, 2026 and 2025 (Unaudited)</w:t>
            </w:r>
          </w:p>
        </w:tc>
        <w:tc>
          <w:tcPr>
            <w:tcW w:w="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w w:val="90"/>
              </w:rPr>
              <w:t>F-64</w:t>
            </w:r>
          </w:p>
        </w:tc>
      </w:tr>
      <w:tr>
        <w:trPr>
          <w:trHeight w:val="26"/>
        </w:trPr>
        <w:tc>
          <w:tcPr>
            <w:tcW w:w="2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34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080" w:type="dxa"/>
            <w:vAlign w:val="bottom"/>
            <w:tcBorders>
              <w:right w:val="single" w:sz="8" w:color="0000EE"/>
            </w:tcBorders>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41"/>
        </w:trPr>
        <w:tc>
          <w:tcPr>
            <w:tcW w:w="20" w:type="dxa"/>
            <w:vAlign w:val="bottom"/>
            <w:tcBorders>
              <w:bottom w:val="single" w:sz="8" w:color="CCEEFF"/>
            </w:tcBorders>
            <w:shd w:val="clear" w:color="auto" w:fill="CCEEFF"/>
          </w:tcPr>
          <w:p>
            <w:pPr>
              <w:spacing w:after="0"/>
              <w:rPr>
                <w:sz w:val="12"/>
                <w:szCs w:val="12"/>
                <w:color w:val="auto"/>
              </w:rPr>
            </w:pPr>
          </w:p>
        </w:tc>
        <w:tc>
          <w:tcPr>
            <w:tcW w:w="6380" w:type="dxa"/>
            <w:vAlign w:val="bottom"/>
            <w:tcBorders>
              <w:bottom w:val="single" w:sz="8" w:color="0000EE"/>
            </w:tcBorders>
            <w:gridSpan w:val="9"/>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w w:val="98"/>
              </w:rPr>
              <w:t>Condensed Statements of Changes in Shareholders’ Deficit For the Three Months Ended March 31, 2026 and 2025</w:t>
            </w:r>
          </w:p>
        </w:tc>
        <w:tc>
          <w:tcPr>
            <w:tcW w:w="640" w:type="dxa"/>
            <w:vAlign w:val="bottom"/>
            <w:tcBorders>
              <w:bottom w:val="single" w:sz="8" w:color="CCEEFF"/>
            </w:tcBorders>
            <w:gridSpan w:val="2"/>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w w:val="90"/>
              </w:rPr>
              <w:t>F-65</w:t>
            </w:r>
          </w:p>
        </w:tc>
      </w:tr>
      <w:tr>
        <w:trPr>
          <w:trHeight w:val="146"/>
        </w:trPr>
        <w:tc>
          <w:tcPr>
            <w:tcW w:w="20" w:type="dxa"/>
            <w:vAlign w:val="bottom"/>
            <w:shd w:val="clear" w:color="auto" w:fill="CCEEFF"/>
          </w:tcPr>
          <w:p>
            <w:pPr>
              <w:spacing w:after="0"/>
              <w:rPr>
                <w:sz w:val="12"/>
                <w:szCs w:val="12"/>
                <w:color w:val="auto"/>
              </w:rPr>
            </w:pPr>
          </w:p>
        </w:tc>
        <w:tc>
          <w:tcPr>
            <w:tcW w:w="7020" w:type="dxa"/>
            <w:vAlign w:val="bottom"/>
            <w:gridSpan w:val="11"/>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(Unaudited)</w:t>
            </w:r>
          </w:p>
        </w:tc>
        <w:tc>
          <w:tcPr>
            <w:tcW w:w="440" w:type="dxa"/>
            <w:vAlign w:val="bottom"/>
            <w:shd w:val="clear" w:color="auto" w:fill="CCEEFF"/>
          </w:tcPr>
          <w:p>
            <w:pPr>
              <w:spacing w:after="0"/>
              <w:rPr>
                <w:sz w:val="12"/>
                <w:szCs w:val="12"/>
                <w:color w:val="auto"/>
              </w:rPr>
            </w:pPr>
          </w:p>
        </w:tc>
      </w:tr>
      <w:tr>
        <w:trPr>
          <w:trHeight w:val="31"/>
        </w:trPr>
        <w:tc>
          <w:tcPr>
            <w:tcW w:w="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34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1"/>
        </w:trPr>
        <w:tc>
          <w:tcPr>
            <w:tcW w:w="20" w:type="dxa"/>
            <w:vAlign w:val="bottom"/>
          </w:tcPr>
          <w:p>
            <w:pPr>
              <w:spacing w:after="0"/>
              <w:rPr>
                <w:sz w:val="12"/>
                <w:szCs w:val="12"/>
                <w:color w:val="auto"/>
              </w:rPr>
            </w:pPr>
          </w:p>
        </w:tc>
        <w:tc>
          <w:tcPr>
            <w:tcW w:w="7020" w:type="dxa"/>
            <w:vAlign w:val="bottom"/>
            <w:gridSpan w:val="11"/>
          </w:tcPr>
          <w:p>
            <w:pPr>
              <w:spacing w:after="0" w:line="135" w:lineRule="exact"/>
              <w:rPr>
                <w:sz w:val="20"/>
                <w:szCs w:val="20"/>
                <w:color w:val="auto"/>
              </w:rPr>
            </w:pPr>
            <w:r>
              <w:rPr>
                <w:rFonts w:ascii="Times New Roman" w:cs="Times New Roman" w:eastAsia="Times New Roman" w:hAnsi="Times New Roman"/>
                <w:sz w:val="14"/>
                <w:szCs w:val="14"/>
                <w:color w:val="0000EE"/>
              </w:rPr>
              <w:t>Condensed Statement of Cash Flows For the Three Months ended March 31, 2026 and 2025 (Unaudited)</w:t>
            </w:r>
          </w:p>
        </w:tc>
        <w:tc>
          <w:tcPr>
            <w:tcW w:w="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w w:val="90"/>
              </w:rPr>
              <w:t>F-66</w:t>
            </w:r>
          </w:p>
        </w:tc>
      </w:tr>
      <w:tr>
        <w:trPr>
          <w:trHeight w:val="141"/>
        </w:trPr>
        <w:tc>
          <w:tcPr>
            <w:tcW w:w="20" w:type="dxa"/>
            <w:vAlign w:val="bottom"/>
            <w:shd w:val="clear" w:color="auto" w:fill="CCEEFF"/>
          </w:tcPr>
          <w:p>
            <w:pPr>
              <w:spacing w:after="0"/>
              <w:rPr>
                <w:sz w:val="12"/>
                <w:szCs w:val="12"/>
                <w:color w:val="auto"/>
              </w:rPr>
            </w:pPr>
          </w:p>
        </w:tc>
        <w:tc>
          <w:tcPr>
            <w:tcW w:w="5840" w:type="dxa"/>
            <w:vAlign w:val="bottom"/>
            <w:tcBorders>
              <w:top w:val="single" w:sz="8" w:color="0000EE"/>
              <w:right w:val="single" w:sz="8" w:color="CCEEFF"/>
            </w:tcBorders>
            <w:gridSpan w:val="8"/>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rPr>
              <w:t>Notes to Condensed Financial Statements (Unaudited)</w:t>
            </w:r>
          </w:p>
        </w:tc>
        <w:tc>
          <w:tcPr>
            <w:tcW w:w="1180" w:type="dxa"/>
            <w:vAlign w:val="bottom"/>
            <w:gridSpan w:val="3"/>
            <w:shd w:val="clear" w:color="auto" w:fill="CCEEFF"/>
          </w:tcPr>
          <w:p>
            <w:pPr>
              <w:spacing w:after="0"/>
              <w:rPr>
                <w:sz w:val="12"/>
                <w:szCs w:val="12"/>
                <w:color w:val="auto"/>
              </w:rPr>
            </w:pPr>
          </w:p>
        </w:tc>
        <w:tc>
          <w:tcPr>
            <w:tcW w:w="440" w:type="dxa"/>
            <w:vAlign w:val="bottom"/>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w w:val="90"/>
              </w:rPr>
              <w:t>F-67</w:t>
            </w:r>
          </w:p>
        </w:tc>
      </w:tr>
      <w:tr>
        <w:trPr>
          <w:trHeight w:val="31"/>
        </w:trPr>
        <w:tc>
          <w:tcPr>
            <w:tcW w:w="20" w:type="dxa"/>
            <w:vAlign w:val="bottom"/>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234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33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60" w:type="dxa"/>
            <w:vAlign w:val="bottom"/>
            <w:gridSpan w:val="10"/>
          </w:tcPr>
          <w:p>
            <w:pPr>
              <w:ind w:left="1160"/>
              <w:spacing w:after="0"/>
              <w:rPr>
                <w:sz w:val="20"/>
                <w:szCs w:val="20"/>
                <w:color w:val="auto"/>
              </w:rPr>
            </w:pPr>
            <w:r>
              <w:rPr>
                <w:rFonts w:ascii="Times New Roman" w:cs="Times New Roman" w:eastAsia="Times New Roman" w:hAnsi="Times New Roman"/>
                <w:sz w:val="14"/>
                <w:szCs w:val="14"/>
                <w:b w:val="1"/>
                <w:bCs w:val="1"/>
                <w:color w:val="auto"/>
              </w:rPr>
              <w:t>FACTORIAL INC. UNAUDITED FINANCIAL STATEMENTS</w:t>
            </w:r>
          </w:p>
        </w:tc>
        <w:tc>
          <w:tcPr>
            <w:tcW w:w="440" w:type="dxa"/>
            <w:vAlign w:val="bottom"/>
          </w:tcPr>
          <w:p>
            <w:pPr>
              <w:spacing w:after="0"/>
              <w:rPr>
                <w:sz w:val="24"/>
                <w:szCs w:val="24"/>
                <w:color w:val="auto"/>
              </w:rPr>
            </w:pPr>
          </w:p>
        </w:tc>
      </w:tr>
      <w:tr>
        <w:trPr>
          <w:trHeight w:val="342"/>
        </w:trPr>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3000" w:type="dxa"/>
            <w:vAlign w:val="bottom"/>
            <w:tcBorders>
              <w:bottom w:val="single" w:sz="8" w:color="0000EE"/>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0000EE"/>
                <w:w w:val="98"/>
              </w:rPr>
              <w:t>Condensed Consolidated Balance Sheets (Unaudited)</w:t>
            </w:r>
          </w:p>
        </w:tc>
        <w:tc>
          <w:tcPr>
            <w:tcW w:w="4020" w:type="dxa"/>
            <w:vAlign w:val="bottom"/>
            <w:tcBorders>
              <w:bottom w:val="single" w:sz="8" w:color="CCEEFF"/>
            </w:tcBorders>
            <w:gridSpan w:val="9"/>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w w:val="90"/>
              </w:rPr>
              <w:t>F-84</w:t>
            </w:r>
          </w:p>
        </w:tc>
      </w:tr>
      <w:tr>
        <w:trPr>
          <w:trHeight w:val="141"/>
        </w:trPr>
        <w:tc>
          <w:tcPr>
            <w:tcW w:w="20" w:type="dxa"/>
            <w:vAlign w:val="bottom"/>
          </w:tcPr>
          <w:p>
            <w:pPr>
              <w:spacing w:after="0"/>
              <w:rPr>
                <w:sz w:val="12"/>
                <w:szCs w:val="12"/>
                <w:color w:val="auto"/>
              </w:rPr>
            </w:pPr>
          </w:p>
        </w:tc>
        <w:tc>
          <w:tcPr>
            <w:tcW w:w="3520" w:type="dxa"/>
            <w:vAlign w:val="bottom"/>
            <w:tcBorders>
              <w:bottom w:val="single" w:sz="8" w:color="0000EE"/>
            </w:tcBorders>
            <w:gridSpan w:val="3"/>
          </w:tcPr>
          <w:p>
            <w:pPr>
              <w:spacing w:after="0" w:line="135" w:lineRule="exact"/>
              <w:rPr>
                <w:sz w:val="20"/>
                <w:szCs w:val="20"/>
                <w:color w:val="auto"/>
              </w:rPr>
            </w:pPr>
            <w:r>
              <w:rPr>
                <w:rFonts w:ascii="Times New Roman" w:cs="Times New Roman" w:eastAsia="Times New Roman" w:hAnsi="Times New Roman"/>
                <w:sz w:val="14"/>
                <w:szCs w:val="14"/>
                <w:color w:val="0000EE"/>
                <w:w w:val="98"/>
              </w:rPr>
              <w:t>Condensed Consolidated Statements of Operations (Unaudited)</w:t>
            </w:r>
          </w:p>
        </w:tc>
        <w:tc>
          <w:tcPr>
            <w:tcW w:w="3500" w:type="dxa"/>
            <w:vAlign w:val="bottom"/>
            <w:gridSpan w:val="8"/>
          </w:tcPr>
          <w:p>
            <w:pPr>
              <w:spacing w:after="0"/>
              <w:rPr>
                <w:sz w:val="12"/>
                <w:szCs w:val="12"/>
                <w:color w:val="auto"/>
              </w:rPr>
            </w:pPr>
          </w:p>
        </w:tc>
        <w:tc>
          <w:tcPr>
            <w:tcW w:w="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w w:val="90"/>
              </w:rPr>
              <w:t>F-85</w:t>
            </w: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4080" w:type="dxa"/>
            <w:vAlign w:val="bottom"/>
            <w:tcBorders>
              <w:bottom w:val="single" w:sz="8" w:color="0000EE"/>
            </w:tcBorders>
            <w:gridSpan w:val="6"/>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w w:val="98"/>
              </w:rPr>
              <w:t>Condensed Consolidated Statements of Comprehensive Loss (Unaudited)</w:t>
            </w:r>
          </w:p>
        </w:tc>
        <w:tc>
          <w:tcPr>
            <w:tcW w:w="2940" w:type="dxa"/>
            <w:vAlign w:val="bottom"/>
            <w:tcBorders>
              <w:bottom w:val="single" w:sz="8" w:color="CCEEFF"/>
            </w:tcBorders>
            <w:gridSpan w:val="5"/>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w w:val="90"/>
              </w:rPr>
              <w:t>F-86</w:t>
            </w:r>
          </w:p>
        </w:tc>
      </w:tr>
      <w:tr>
        <w:trPr>
          <w:trHeight w:val="141"/>
        </w:trPr>
        <w:tc>
          <w:tcPr>
            <w:tcW w:w="20" w:type="dxa"/>
            <w:vAlign w:val="bottom"/>
          </w:tcPr>
          <w:p>
            <w:pPr>
              <w:spacing w:after="0"/>
              <w:rPr>
                <w:sz w:val="12"/>
                <w:szCs w:val="12"/>
                <w:color w:val="auto"/>
              </w:rPr>
            </w:pPr>
          </w:p>
        </w:tc>
        <w:tc>
          <w:tcPr>
            <w:tcW w:w="6640" w:type="dxa"/>
            <w:vAlign w:val="bottom"/>
            <w:tcBorders>
              <w:bottom w:val="single" w:sz="8" w:color="0000EE"/>
            </w:tcBorders>
            <w:gridSpan w:val="10"/>
          </w:tcPr>
          <w:p>
            <w:pPr>
              <w:spacing w:after="0" w:line="135" w:lineRule="exact"/>
              <w:rPr>
                <w:sz w:val="20"/>
                <w:szCs w:val="20"/>
                <w:color w:val="auto"/>
              </w:rPr>
            </w:pPr>
            <w:r>
              <w:rPr>
                <w:rFonts w:ascii="Times New Roman" w:cs="Times New Roman" w:eastAsia="Times New Roman" w:hAnsi="Times New Roman"/>
                <w:sz w:val="14"/>
                <w:szCs w:val="14"/>
                <w:color w:val="0000EE"/>
                <w:w w:val="98"/>
              </w:rPr>
              <w:t>Condensed Consolidated Statements of Redeemable Convertible Preferred Stock and Stockholders’ Deficit (Unaudited)</w:t>
            </w:r>
          </w:p>
        </w:tc>
        <w:tc>
          <w:tcPr>
            <w:tcW w:w="380" w:type="dxa"/>
            <w:vAlign w:val="bottom"/>
          </w:tcPr>
          <w:p>
            <w:pPr>
              <w:spacing w:after="0"/>
              <w:rPr>
                <w:sz w:val="12"/>
                <w:szCs w:val="12"/>
                <w:color w:val="auto"/>
              </w:rPr>
            </w:pPr>
          </w:p>
        </w:tc>
        <w:tc>
          <w:tcPr>
            <w:tcW w:w="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w w:val="90"/>
              </w:rPr>
              <w:t>F-87</w:t>
            </w: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3560" w:type="dxa"/>
            <w:vAlign w:val="bottom"/>
            <w:tcBorders>
              <w:bottom w:val="single" w:sz="8" w:color="0000EE"/>
            </w:tcBorders>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0000EE"/>
                <w:w w:val="98"/>
              </w:rPr>
              <w:t>Condensed Consolidated Statements of Cash Flows (Unaudited)</w:t>
            </w:r>
          </w:p>
        </w:tc>
        <w:tc>
          <w:tcPr>
            <w:tcW w:w="3460" w:type="dxa"/>
            <w:vAlign w:val="bottom"/>
            <w:tcBorders>
              <w:bottom w:val="single" w:sz="8" w:color="CCEEFF"/>
            </w:tcBorders>
            <w:gridSpan w:val="7"/>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4"/>
                <w:szCs w:val="14"/>
                <w:color w:val="auto"/>
                <w:w w:val="90"/>
              </w:rPr>
              <w:t>F-88</w:t>
            </w:r>
          </w:p>
        </w:tc>
      </w:tr>
      <w:tr>
        <w:trPr>
          <w:trHeight w:val="135"/>
        </w:trPr>
        <w:tc>
          <w:tcPr>
            <w:tcW w:w="20" w:type="dxa"/>
            <w:vAlign w:val="bottom"/>
          </w:tcPr>
          <w:p>
            <w:pPr>
              <w:spacing w:after="0"/>
              <w:rPr>
                <w:sz w:val="11"/>
                <w:szCs w:val="11"/>
                <w:color w:val="auto"/>
              </w:rPr>
            </w:pPr>
          </w:p>
        </w:tc>
        <w:tc>
          <w:tcPr>
            <w:tcW w:w="3980" w:type="dxa"/>
            <w:vAlign w:val="bottom"/>
            <w:tcBorders>
              <w:bottom w:val="single" w:sz="8" w:color="0000EE"/>
            </w:tcBorders>
            <w:gridSpan w:val="5"/>
          </w:tcPr>
          <w:p>
            <w:pPr>
              <w:spacing w:after="0" w:line="135" w:lineRule="exact"/>
              <w:rPr>
                <w:sz w:val="20"/>
                <w:szCs w:val="20"/>
                <w:color w:val="auto"/>
              </w:rPr>
            </w:pPr>
            <w:r>
              <w:rPr>
                <w:rFonts w:ascii="Times New Roman" w:cs="Times New Roman" w:eastAsia="Times New Roman" w:hAnsi="Times New Roman"/>
                <w:sz w:val="14"/>
                <w:szCs w:val="14"/>
                <w:color w:val="0000EE"/>
                <w:w w:val="98"/>
              </w:rPr>
              <w:t>Notes to the Condensed Consolidated Financial Statements (Unaudited)</w:t>
            </w:r>
          </w:p>
        </w:tc>
        <w:tc>
          <w:tcPr>
            <w:tcW w:w="3040" w:type="dxa"/>
            <w:vAlign w:val="bottom"/>
            <w:gridSpan w:val="6"/>
          </w:tcPr>
          <w:p>
            <w:pPr>
              <w:spacing w:after="0"/>
              <w:rPr>
                <w:sz w:val="11"/>
                <w:szCs w:val="11"/>
                <w:color w:val="auto"/>
              </w:rPr>
            </w:pPr>
          </w:p>
        </w:tc>
        <w:tc>
          <w:tcPr>
            <w:tcW w:w="4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w w:val="90"/>
              </w:rPr>
              <w:t>F-89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9019"/>
          </w:cols>
          <w:pgMar w:left="1440" w:top="852" w:right="1440"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To the Shareholders and Board of Directors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Cartesian Growth Corporation III</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75"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3"/>
          <w:szCs w:val="13"/>
          <w:color w:val="auto"/>
        </w:rPr>
        <w:t>We have audited the accompanying balance sheets of Cartesian Growth Corporation III (the “Company”) as of December 31, 2025 and 2024, the related statements of operations, changes in shareholders’ deficit and cash flows for the year ended December 31, 2025 and for the period from October 29, 2024 (inception) through December 31, 2024, and the related notes (collectively referred to as the “financial statements”). In our opinion, based on our audits, the financial statements present fairly, in all material respects, the financial position of the Company as of December 31, 2025 and 2024, and the results of its operations and its cash flows for the year ended December 31, 2025 and for the period from October 29, 2024 (inception) through December 31, 2024, in conformity with accounting principles generally accepted in the United States of America.</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Explanatory Paragraph – Going Concern</w:t>
      </w:r>
    </w:p>
    <w:p>
      <w:pPr>
        <w:spacing w:after="0" w:line="91"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3"/>
          <w:szCs w:val="13"/>
          <w:color w:val="auto"/>
        </w:rPr>
        <w:t>The accompanying financial statements have been prepared assuming that the Company will continue as a going concern. As more fully described in Note 2 to the financial statements, the Company is a Special Purpose Acquisition Corporation that was formed for the purpose of effecting a merger, amalgamation, share exchange, asset acquisition, share purchase, reorganization or similar business combination with one or more businesses or entities within 24 months from the closing of the Company’s initial public offering. The Company entered into a business combination agreement with a business combination target on December 17, 2025; however, the completion of this transaction is subject to the approval of the Company’s shareholders among other conditions. There is no assurance that the Company will obtain the necessary approvals, satisfy the required closing conditions, raise the additional capital it needs to fund its operations, and complete the transaction Additionally, the Company lacks the Capital resources that are needed to fund its operations for a reasonable period of time, which is generally considered to be one year from the issuance of the financial statements. These matters raise substantial doubt about the Company’s ability to continue as a going concern. Management’s plans with regard to these matters are also described in Note 2. The financial statements do not include any adjustments that may be necessary should the Company be unable to continue as a going concern.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64" w:lineRule="exact"/>
        <w:rPr>
          <w:sz w:val="20"/>
          <w:szCs w:val="20"/>
          <w:color w:val="auto"/>
        </w:rPr>
      </w:pPr>
    </w:p>
    <w:p>
      <w:pPr>
        <w:ind w:left="760" w:right="999" w:firstLine="249"/>
        <w:spacing w:after="0" w:line="261"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left="760" w:right="799" w:firstLine="249"/>
        <w:spacing w:after="0" w:line="258"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1" w:lineRule="exact"/>
        <w:rPr>
          <w:sz w:val="20"/>
          <w:szCs w:val="20"/>
          <w:color w:val="auto"/>
        </w:rPr>
      </w:pPr>
    </w:p>
    <w:p>
      <w:pPr>
        <w:ind w:left="760" w:right="779" w:firstLine="249"/>
        <w:spacing w:after="0" w:line="258"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/s/ CBIZ CPAs P.C.</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We have served as the Company’s auditor since 2025.</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Houston, TX</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9019"/>
          </w:cols>
          <w:pgMar w:left="1440" w:top="852" w:right="1440" w:bottom="1440" w:gutter="0" w:footer="0" w:header="0"/>
        </w:sectPr>
      </w:pPr>
    </w:p>
    <w:bookmarkStart w:id="141" w:name="page142"/>
    <w:bookmarkEnd w:id="14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5720" w:type="dxa"/>
            <w:vAlign w:val="bottom"/>
          </w:tcPr>
          <w:p>
            <w:pPr>
              <w:ind w:left="560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  December 31,</w:t>
            </w:r>
          </w:p>
        </w:tc>
        <w:tc>
          <w:tcPr>
            <w:tcW w:w="0" w:type="dxa"/>
            <w:vAlign w:val="bottom"/>
          </w:tcPr>
          <w:p>
            <w:pPr>
              <w:spacing w:after="0"/>
              <w:rPr>
                <w:sz w:val="1"/>
                <w:szCs w:val="1"/>
                <w:color w:val="auto"/>
              </w:rPr>
            </w:pPr>
          </w:p>
        </w:tc>
      </w:tr>
      <w:tr>
        <w:trPr>
          <w:trHeight w:val="133"/>
        </w:trPr>
        <w:tc>
          <w:tcPr>
            <w:tcW w:w="57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624,163</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Prepaid insurance - current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112,307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740,139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offering costs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263,676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Prepaid insurance – long term</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37,435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held in Trust Account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283,377,276</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284,154,850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266,878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Class A Ordinary Shares Subject to Possible Redemption, and Shareholders’ Deficit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Accrued offering costs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759,869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Promissory note – related party</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834,869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284,498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underwriting fee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13,140,000</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13,974,869</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284,498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 (Note 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Class A ordinary shares subject to possible redemption, 27,600,000 and 0 shares at redemption value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approximately $10.27 and $0 per share as of December 31, 2025 and 2024, respectively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283,377,276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5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Preference shares, $0.0001 par value; 1,000,000 shares authorized; none issued and outstanding</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Class A ordinary shares, $0.0001 par value; 200,000,000 shares authorized; none issued and outstanding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(excluding 27,600,000 and 0 shares subject to possible redemption as of December 31, 2025 and 2024,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respectively)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B ordinary shares, $0.0001 par value; 20,000,000 shares authorized; 6,900,000 shares issued and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outstanding as of December 31, 2025 and 2024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(13,197,985)</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Shareholders’ Deficit</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(13,197,295)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(17,620)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Class A Ordinary Shares Subject to Possible Redemption, and Shareholders’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284,154,850</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266,878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9019"/>
          </w:cols>
          <w:pgMar w:left="1440" w:top="852" w:right="1440" w:bottom="1440" w:gutter="0" w:footer="0" w:header="0"/>
        </w:sectPr>
      </w:pPr>
    </w:p>
    <w:bookmarkStart w:id="142" w:name="page143"/>
    <w:bookmarkEnd w:id="14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OPERATIONS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w w:val="99"/>
              </w:rPr>
              <w:t>For the Period</w:t>
            </w:r>
          </w:p>
        </w:tc>
      </w:tr>
      <w:tr>
        <w:trPr>
          <w:trHeight w:val="12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from October 29,</w:t>
            </w:r>
          </w:p>
        </w:tc>
      </w:tr>
      <w:tr>
        <w:trPr>
          <w:trHeight w:val="12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36"/>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2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4"/>
              <w:spacing w:after="0" w:line="125" w:lineRule="exact"/>
              <w:rPr>
                <w:sz w:val="20"/>
                <w:szCs w:val="20"/>
                <w:color w:val="auto"/>
              </w:rPr>
            </w:pPr>
            <w:r>
              <w:rPr>
                <w:rFonts w:ascii="Times New Roman" w:cs="Times New Roman" w:eastAsia="Times New Roman" w:hAnsi="Times New Roman"/>
                <w:sz w:val="11"/>
                <w:szCs w:val="11"/>
                <w:b w:val="1"/>
                <w:bCs w:val="1"/>
                <w:color w:val="auto"/>
              </w:rPr>
              <w:t>For the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6"/>
              <w:spacing w:after="0" w:line="125" w:lineRule="exact"/>
              <w:rPr>
                <w:sz w:val="20"/>
                <w:szCs w:val="20"/>
                <w:color w:val="auto"/>
              </w:rPr>
            </w:pPr>
            <w:r>
              <w:rPr>
                <w:rFonts w:ascii="Times New Roman" w:cs="Times New Roman" w:eastAsia="Times New Roman" w:hAnsi="Times New Roman"/>
                <w:sz w:val="11"/>
                <w:szCs w:val="11"/>
                <w:b w:val="1"/>
                <w:bCs w:val="1"/>
                <w:color w:val="auto"/>
              </w:rPr>
              <w:t>(Inception)</w:t>
            </w:r>
          </w:p>
        </w:tc>
      </w:tr>
      <w:tr>
        <w:trPr>
          <w:trHeight w:val="12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4"/>
              <w:spacing w:after="0" w:line="125"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36"/>
              <w:spacing w:after="0" w:line="125" w:lineRule="exact"/>
              <w:rPr>
                <w:sz w:val="20"/>
                <w:szCs w:val="20"/>
                <w:color w:val="auto"/>
              </w:rPr>
            </w:pPr>
            <w:r>
              <w:rPr>
                <w:rFonts w:ascii="Times New Roman" w:cs="Times New Roman" w:eastAsia="Times New Roman" w:hAnsi="Times New Roman"/>
                <w:sz w:val="11"/>
                <w:szCs w:val="11"/>
                <w:b w:val="1"/>
                <w:bCs w:val="1"/>
                <w:color w:val="auto"/>
              </w:rPr>
              <w:t>through</w:t>
            </w:r>
          </w:p>
        </w:tc>
      </w:tr>
      <w:tr>
        <w:trPr>
          <w:trHeight w:val="135"/>
        </w:trPr>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3"/>
        </w:trPr>
        <w:tc>
          <w:tcPr>
            <w:tcW w:w="5520" w:type="dxa"/>
            <w:vAlign w:val="bottom"/>
          </w:tcPr>
          <w:p>
            <w:pPr>
              <w:ind w:left="54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6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57"/>
        </w:trPr>
        <w:tc>
          <w:tcPr>
            <w:tcW w:w="5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General and administrative costs</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1,158,207</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42,620</w:t>
            </w:r>
          </w:p>
        </w:tc>
      </w:tr>
      <w:tr>
        <w:trPr>
          <w:trHeight w:val="157"/>
        </w:trPr>
        <w:tc>
          <w:tcPr>
            <w:tcW w:w="552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(1,158,207)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(42,620)</w:t>
            </w: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6"/>
        </w:trPr>
        <w:tc>
          <w:tcPr>
            <w:tcW w:w="5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Interest earned on investments held in Trust Account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7,377,276</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552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color w:val="auto"/>
              </w:rPr>
              <w:t>Other income, net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7,377,276</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97"/>
        </w:trPr>
        <w:tc>
          <w:tcPr>
            <w:tcW w:w="552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6,219,069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(42,620)</w:t>
            </w:r>
          </w:p>
        </w:tc>
      </w:tr>
      <w:tr>
        <w:trPr>
          <w:trHeight w:val="137"/>
        </w:trPr>
        <w:tc>
          <w:tcPr>
            <w:tcW w:w="55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Basic weighted average shares outstanding, Class A ordinary shares subject to redemption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18,197,802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 shares subject to redemption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shares outstanding, Class B ordinary shares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6,593,407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net income (loss) per share, Class B ordinary shares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weighted average shares outstanding, Class B ordinary shares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r>
      <w:tr>
        <w:trPr>
          <w:trHeight w:val="18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Diluted net income (loss) per share, Class B ordinary shares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9019"/>
          </w:cols>
          <w:pgMar w:left="1440" w:top="852" w:right="1440" w:bottom="1440" w:gutter="0" w:footer="0" w:header="0"/>
        </w:sectPr>
      </w:pPr>
    </w:p>
    <w:bookmarkStart w:id="143" w:name="page144"/>
    <w:bookmarkEnd w:id="14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CHANGES IN SHAREHOLDERS’ DEFICIT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 2025 AND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PERIOD FROM OCTOBER 29, 2024 (INCEPTION) THROUGH DECEMBER 31, 2024</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3"/>
        </w:trPr>
        <w:tc>
          <w:tcPr>
            <w:tcW w:w="35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r>
      <w:tr>
        <w:trPr>
          <w:trHeight w:val="146"/>
        </w:trPr>
        <w:tc>
          <w:tcPr>
            <w:tcW w:w="3520" w:type="dxa"/>
            <w:vAlign w:val="bottom"/>
          </w:tcPr>
          <w:p>
            <w:pPr>
              <w:ind w:left="34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gridSpan w:val="3"/>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6"/>
              </w:rPr>
              <w:t>Deficit</w:t>
            </w:r>
          </w:p>
        </w:tc>
      </w:tr>
      <w:tr>
        <w:trPr>
          <w:trHeight w:val="14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 October 29, 2024 (inception)</w:t>
            </w: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ordinary shares issued to Sponsor</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6,900,000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24,310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r>
      <w:tr>
        <w:trPr>
          <w:trHeight w:val="15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(42,620)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(42,620)</w:t>
            </w:r>
          </w:p>
        </w:tc>
      </w:tr>
      <w:tr>
        <w:trPr>
          <w:trHeight w:val="146"/>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 December 31, 2024</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6,900,000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690</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24,310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(42,620)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(17,620)</w:t>
            </w:r>
          </w:p>
        </w:tc>
      </w:tr>
      <w:tr>
        <w:trPr>
          <w:trHeight w:val="15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Remeasurement of Class A ordinary shares to redemption amount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(9,722,332)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(19,374,434)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(29,096,766)</w:t>
            </w:r>
          </w:p>
        </w:tc>
      </w:tr>
      <w:tr>
        <w:trPr>
          <w:trHeight w:val="156"/>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 of 6,800,000 Private Placement Warrants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6,800,000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6,800,000</w:t>
            </w:r>
          </w:p>
        </w:tc>
      </w:tr>
      <w:tr>
        <w:trPr>
          <w:trHeight w:val="15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Public Warrants at issuance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3,132,600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3,132,600</w:t>
            </w:r>
          </w:p>
        </w:tc>
      </w:tr>
      <w:tr>
        <w:trPr>
          <w:trHeight w:val="156"/>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Allocated value of transaction costs to Class A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(234,578)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(234,578)</w:t>
            </w:r>
          </w:p>
        </w:tc>
      </w:tr>
      <w:tr>
        <w:trPr>
          <w:trHeight w:val="15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6,219,069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6,219,069</w:t>
            </w:r>
          </w:p>
        </w:tc>
      </w:tr>
      <w:tr>
        <w:trPr>
          <w:trHeight w:val="146"/>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 December 31, 2025</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6,900,000</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690</w:t>
            </w:r>
          </w:p>
        </w:tc>
        <w:tc>
          <w:tcPr>
            <w:tcW w:w="14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(13,197,985)</w:t>
            </w:r>
          </w:p>
        </w:tc>
        <w:tc>
          <w:tcPr>
            <w:tcW w:w="160" w:type="dxa"/>
            <w:vAlign w:val="bottom"/>
            <w:gridSpan w:val="2"/>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(13,197,295)</w:t>
            </w:r>
          </w:p>
        </w:tc>
      </w:tr>
      <w:tr>
        <w:trPr>
          <w:trHeight w:val="20"/>
        </w:trPr>
        <w:tc>
          <w:tcPr>
            <w:tcW w:w="3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9019"/>
          </w:cols>
          <w:pgMar w:left="1440" w:top="852" w:right="1440" w:bottom="1440" w:gutter="0" w:footer="0" w:header="0"/>
        </w:sectPr>
      </w:pPr>
    </w:p>
    <w:bookmarkStart w:id="144" w:name="page145"/>
    <w:bookmarkEnd w:id="14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CASH FLOWS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For the Period</w:t>
            </w: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from October 29,</w:t>
            </w: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3"/>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25" w:lineRule="exact"/>
              <w:rPr>
                <w:sz w:val="20"/>
                <w:szCs w:val="20"/>
                <w:color w:val="auto"/>
              </w:rPr>
            </w:pPr>
            <w:r>
              <w:rPr>
                <w:rFonts w:ascii="Times New Roman" w:cs="Times New Roman" w:eastAsia="Times New Roman" w:hAnsi="Times New Roman"/>
                <w:sz w:val="11"/>
                <w:szCs w:val="11"/>
                <w:b w:val="1"/>
                <w:bCs w:val="1"/>
                <w:color w:val="auto"/>
              </w:rPr>
              <w:t>For the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71"/>
              <w:spacing w:after="0" w:line="125"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25"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51"/>
              <w:spacing w:after="0" w:line="125" w:lineRule="exact"/>
              <w:rPr>
                <w:sz w:val="20"/>
                <w:szCs w:val="20"/>
                <w:color w:val="auto"/>
              </w:rPr>
            </w:pPr>
            <w:r>
              <w:rPr>
                <w:rFonts w:ascii="Times New Roman" w:cs="Times New Roman" w:eastAsia="Times New Roman" w:hAnsi="Times New Roman"/>
                <w:sz w:val="11"/>
                <w:szCs w:val="11"/>
                <w:b w:val="1"/>
                <w:bCs w:val="1"/>
                <w:color w:val="auto"/>
              </w:rPr>
              <w:t>Through</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3"/>
        </w:trPr>
        <w:tc>
          <w:tcPr>
            <w:tcW w:w="5560" w:type="dxa"/>
            <w:vAlign w:val="bottom"/>
          </w:tcPr>
          <w:p>
            <w:pPr>
              <w:ind w:left="5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6,219,069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 of operation costs through promissory note</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Formation costs paid through issuance of Class B ordinary shares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earned on marketable securities held in Trust Account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(7,377,276)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insurance</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 term prepaid insurance</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759,869</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tcBorders>
              <w:bottom w:val="single" w:sz="8" w:color="CCEEFF"/>
            </w:tcBorders>
          </w:tcPr>
          <w:p>
            <w:pPr>
              <w:ind w:left="260"/>
              <w:spacing w:after="0" w:line="157"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(504,499)</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Investment of cash in Trust Account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(276,000,000)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(276,000,000)</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Proceeds from sale of Units, net of underwriting discounts paid</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sale of Private Placements Warrants</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Repayment of advances from related party</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Repayment of promissory note - related party</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(583,905)</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277,128,662</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Change in Cash</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624,163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 Beginning of period</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624,163</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services contributed by Sponsor through promissory note - related party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Remeasurement of Class A ordinary shares to redemption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29,096,766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 paid by Sponsor in exchange for issuance of Class B ordinary shares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Deferred costs included in accrued offering costs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 paid through promissory note – related party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 applied to prepaid 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underwriting fee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9019"/>
          </w:cols>
          <w:pgMar w:left="1440" w:top="852" w:right="1440" w:bottom="1440" w:gutter="0" w:footer="0" w:header="0"/>
        </w:sectPr>
      </w:pPr>
    </w:p>
    <w:bookmarkStart w:id="145" w:name="page146"/>
    <w:bookmarkEnd w:id="14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 DESCRIPTION OF ORGANIZATION AND BUSINESS OPERATIONS</w:t>
      </w:r>
    </w:p>
    <w:p>
      <w:pPr>
        <w:spacing w:after="0" w:line="173"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spacing w:after="0" w:line="145"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As of December 31, 2025, the Company has not commenced any operations. All activity for the period from October 29, 2024 (inception) through December 31, 2025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The Company has selected December 31 as its fiscal year end.</w:t>
      </w:r>
    </w:p>
    <w:p>
      <w:pPr>
        <w:spacing w:after="0" w:line="14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one-half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spacing w:after="0" w:line="148" w:lineRule="exact"/>
        <w:rPr>
          <w:sz w:val="20"/>
          <w:szCs w:val="20"/>
          <w:color w:val="auto"/>
        </w:rPr>
      </w:pPr>
    </w:p>
    <w:p>
      <w:pPr>
        <w:ind w:left="760" w:right="1359" w:firstLine="249"/>
        <w:spacing w:after="0" w:line="278" w:lineRule="auto"/>
        <w:rPr>
          <w:sz w:val="20"/>
          <w:szCs w:val="20"/>
          <w:color w:val="auto"/>
        </w:rPr>
      </w:pPr>
      <w:r>
        <w:rPr>
          <w:rFonts w:ascii="Times New Roman" w:cs="Times New Roman" w:eastAsia="Times New Roman" w:hAnsi="Times New Roman"/>
          <w:sz w:val="14"/>
          <w:szCs w:val="14"/>
          <w:color w:val="auto"/>
        </w:rPr>
        <w:t>Transaction costs amounted to $18,821,468, consisting of $4,800,000 of cash underwriting fee, $13,140,000 of deferred underwriting fee and $881,468 of other offering costs.</w:t>
      </w:r>
    </w:p>
    <w:p>
      <w:pPr>
        <w:spacing w:after="0" w:line="126" w:lineRule="exact"/>
        <w:rPr>
          <w:sz w:val="20"/>
          <w:szCs w:val="20"/>
          <w:color w:val="auto"/>
        </w:rPr>
      </w:pPr>
    </w:p>
    <w:p>
      <w:pPr>
        <w:ind w:left="760" w:right="799" w:firstLine="249"/>
        <w:spacing w:after="0" w:line="275" w:lineRule="auto"/>
        <w:rPr>
          <w:sz w:val="20"/>
          <w:szCs w:val="20"/>
          <w:color w:val="auto"/>
        </w:rPr>
      </w:pPr>
      <w:r>
        <w:rPr>
          <w:rFonts w:ascii="Times New Roman" w:cs="Times New Roman" w:eastAsia="Times New Roman" w:hAnsi="Times New Roman"/>
          <w:sz w:val="13"/>
          <w:szCs w:val="13"/>
          <w:color w:val="auto"/>
        </w:rPr>
        <w:t>The Company’s Business Combination must be with one or more target businesses that together have a fair market value equal to at least 80% of the net balance in the Trust Account (as defined below)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9019"/>
          </w:cols>
          <w:pgMar w:left="1440" w:top="852" w:right="1440" w:bottom="1440" w:gutter="0" w:footer="0" w:header="0"/>
        </w:sectPr>
      </w:pPr>
    </w:p>
    <w:bookmarkStart w:id="146" w:name="page147"/>
    <w:bookmarkEnd w:id="14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819" w:firstLine="249"/>
        <w:spacing w:after="0" w:line="249" w:lineRule="auto"/>
        <w:rPr>
          <w:sz w:val="20"/>
          <w:szCs w:val="20"/>
          <w:color w:val="auto"/>
        </w:rPr>
      </w:pPr>
      <w:r>
        <w:rPr>
          <w:rFonts w:ascii="Times New Roman" w:cs="Times New Roman" w:eastAsia="Times New Roman" w:hAnsi="Times New Roman"/>
          <w:sz w:val="14"/>
          <w:szCs w:val="14"/>
          <w:color w:val="auto"/>
        </w:rPr>
        <w:t>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spacing w:after="0" w:line="147"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two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spacing w:after="0" w:line="147"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spacing w:after="0" w:line="138"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9019"/>
          </w:cols>
          <w:pgMar w:left="1440" w:top="852" w:right="1440" w:bottom="1440" w:gutter="0" w:footer="0" w:header="0"/>
        </w:sectPr>
      </w:pPr>
    </w:p>
    <w:bookmarkStart w:id="147" w:name="page148"/>
    <w:bookmarkEnd w:id="14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799" w:firstLine="249"/>
        <w:spacing w:after="0" w:line="272" w:lineRule="auto"/>
        <w:rPr>
          <w:sz w:val="20"/>
          <w:szCs w:val="20"/>
          <w:color w:val="auto"/>
        </w:rPr>
      </w:pPr>
      <w:r>
        <w:rPr>
          <w:rFonts w:ascii="Times New Roman" w:cs="Times New Roman" w:eastAsia="Times New Roman" w:hAnsi="Times New Roman"/>
          <w:sz w:val="13"/>
          <w:szCs w:val="13"/>
          <w:color w:val="auto"/>
        </w:rPr>
        <w:t>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w:t>
      </w:r>
    </w:p>
    <w:p>
      <w:pPr>
        <w:spacing w:after="0" w:line="2" w:lineRule="exact"/>
        <w:rPr>
          <w:sz w:val="20"/>
          <w:szCs w:val="20"/>
          <w:color w:val="auto"/>
        </w:rPr>
      </w:pPr>
    </w:p>
    <w:p>
      <w:pPr>
        <w:ind w:left="760" w:right="779" w:firstLine="4"/>
        <w:spacing w:after="0" w:line="248" w:lineRule="auto"/>
        <w:tabs>
          <w:tab w:leader="none" w:pos="100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Exchange Act of 1934, as amended (the “Exchange Act”), which would not be voted in favor of approving the Business Combination) in favor of the initial Business Combination.</w:t>
      </w:r>
    </w:p>
    <w:p>
      <w:pPr>
        <w:spacing w:after="0" w:line="150" w:lineRule="exact"/>
        <w:rPr>
          <w:sz w:val="20"/>
          <w:szCs w:val="20"/>
          <w:color w:val="auto"/>
        </w:rPr>
      </w:pPr>
    </w:p>
    <w:p>
      <w:pPr>
        <w:ind w:left="760" w:right="839" w:firstLine="249"/>
        <w:spacing w:after="0" w:line="271" w:lineRule="auto"/>
        <w:rPr>
          <w:sz w:val="20"/>
          <w:szCs w:val="20"/>
          <w:color w:val="auto"/>
        </w:rPr>
      </w:pPr>
      <w:r>
        <w:rPr>
          <w:rFonts w:ascii="Times New Roman" w:cs="Times New Roman" w:eastAsia="Times New Roman" w:hAnsi="Times New Roman"/>
          <w:sz w:val="13"/>
          <w:szCs w:val="13"/>
          <w:color w:val="auto"/>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3"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Liquidity and Capital Resources and Going Concern</w:t>
      </w:r>
    </w:p>
    <w:p>
      <w:pPr>
        <w:spacing w:after="0" w:line="173"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The Company’s liquidity needs up to December 31, 2025 had been satisfied through the loan from the Sponsor under an unsecured promissory note (the “Sponsor Promissory Note”) of up to $250,000 (see Note 5). As of December 31, 2025, the Company had $624,163 cash and a working capital deficit of $94,730.</w:t>
      </w:r>
    </w:p>
    <w:p>
      <w:pPr>
        <w:spacing w:after="0" w:line="138"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December 31, 2025 and 2024, the Company had no borrowings under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9019"/>
          </w:cols>
          <w:pgMar w:left="1440" w:top="852" w:right="1440"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97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Company’s assessment of going concern considerations in accordance with Accounting Standards Codification (“ASC”) 205-40, “Presentation of Financial Statements - Going Concern,” management has determined that the Company’s liquidity condition raises substantial doubt about the Company’s ability to continue as a going concern. No adjustments have been made to the carrying amounts of assets or liabilities should the Company be required to liquidate after the Combination Window.</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73" w:lineRule="exact"/>
        <w:rPr>
          <w:sz w:val="20"/>
          <w:szCs w:val="20"/>
          <w:color w:val="auto"/>
        </w:rPr>
      </w:pPr>
    </w:p>
    <w:p>
      <w:pPr>
        <w:ind w:left="760" w:right="919" w:firstLine="249"/>
        <w:spacing w:after="0" w:line="283" w:lineRule="auto"/>
        <w:rPr>
          <w:sz w:val="20"/>
          <w:szCs w:val="20"/>
          <w:color w:val="auto"/>
        </w:rPr>
      </w:pPr>
      <w:r>
        <w:rPr>
          <w:rFonts w:ascii="Times New Roman" w:cs="Times New Roman" w:eastAsia="Times New Roman" w:hAnsi="Times New Roman"/>
          <w:sz w:val="13"/>
          <w:szCs w:val="13"/>
          <w:color w:val="auto"/>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financial statements (see Note 9).</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173" w:lineRule="exact"/>
        <w:rPr>
          <w:sz w:val="20"/>
          <w:szCs w:val="20"/>
          <w:color w:val="auto"/>
        </w:rPr>
      </w:pPr>
    </w:p>
    <w:p>
      <w:pPr>
        <w:ind w:left="760" w:right="919" w:firstLine="249"/>
        <w:spacing w:after="0" w:line="252" w:lineRule="auto"/>
        <w:rPr>
          <w:sz w:val="20"/>
          <w:szCs w:val="20"/>
          <w:color w:val="auto"/>
        </w:rPr>
      </w:pPr>
      <w:r>
        <w:rPr>
          <w:rFonts w:ascii="Times New Roman" w:cs="Times New Roman" w:eastAsia="Times New Roman" w:hAnsi="Times New Roman"/>
          <w:sz w:val="14"/>
          <w:szCs w:val="14"/>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46" w:lineRule="exact"/>
        <w:rPr>
          <w:sz w:val="20"/>
          <w:szCs w:val="20"/>
          <w:color w:val="auto"/>
        </w:rPr>
      </w:pPr>
    </w:p>
    <w:p>
      <w:pPr>
        <w:ind w:left="760" w:right="899" w:firstLine="249"/>
        <w:spacing w:after="0" w:line="250"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73" w:lineRule="exact"/>
        <w:rPr>
          <w:sz w:val="20"/>
          <w:szCs w:val="20"/>
          <w:color w:val="auto"/>
        </w:rPr>
      </w:pPr>
    </w:p>
    <w:p>
      <w:pPr>
        <w:jc w:val="both"/>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8"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9019"/>
          </w:cols>
          <w:pgMar w:left="1440" w:top="852" w:right="1440" w:bottom="1440" w:gutter="0" w:footer="0" w:header="0"/>
        </w:sectPr>
      </w:pPr>
    </w:p>
    <w:bookmarkStart w:id="149" w:name="page150"/>
    <w:bookmarkEnd w:id="14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73" w:lineRule="exact"/>
        <w:rPr>
          <w:sz w:val="20"/>
          <w:szCs w:val="20"/>
          <w:color w:val="auto"/>
        </w:rPr>
      </w:pPr>
    </w:p>
    <w:p>
      <w:pPr>
        <w:ind w:left="760" w:right="959" w:firstLine="249"/>
        <w:spacing w:after="0" w:line="318" w:lineRule="auto"/>
        <w:rPr>
          <w:sz w:val="20"/>
          <w:szCs w:val="20"/>
          <w:color w:val="auto"/>
        </w:rPr>
      </w:pPr>
      <w:r>
        <w:rPr>
          <w:rFonts w:ascii="Times New Roman" w:cs="Times New Roman" w:eastAsia="Times New Roman" w:hAnsi="Times New Roman"/>
          <w:sz w:val="13"/>
          <w:szCs w:val="13"/>
          <w:color w:val="auto"/>
        </w:rPr>
        <w:t>The Company considers all short-term investments with an original maturity of three months or less when purchased to be cash equivalents. The Company had $624,163 and $0 in cash and no cash equivalents as of December 31, 2025 and 2024, respectively.</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Investments Held in Trust Account</w:t>
      </w:r>
    </w:p>
    <w:p>
      <w:pPr>
        <w:spacing w:after="0" w:line="173"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As of December 31, 2025, the assets held in the Trust Account, amounting to $283,377,276, were held in mutual funds primarily invested in U.S. Treasury Bills with a maturity of 185 days or less. At December 31, 2024, there were no assets held in the Trust Account.</w:t>
      </w:r>
    </w:p>
    <w:p>
      <w:pPr>
        <w:spacing w:after="0" w:line="138" w:lineRule="exact"/>
        <w:rPr>
          <w:sz w:val="20"/>
          <w:szCs w:val="20"/>
          <w:color w:val="auto"/>
        </w:rPr>
      </w:pPr>
    </w:p>
    <w:p>
      <w:pPr>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Investments held in the Trust Account are presented at fair value at each balance sheet date, with unrealized gains and losses resulting from changes in fair value included in earnings as a component of interest and dividend income earned on investments held in the Trust Account in the accompanying statements of operations.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Offering Costs</w:t>
      </w:r>
    </w:p>
    <w:p>
      <w:pPr>
        <w:spacing w:after="0" w:line="173"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73" w:lineRule="exact"/>
        <w:rPr>
          <w:sz w:val="20"/>
          <w:szCs w:val="20"/>
          <w:color w:val="auto"/>
        </w:rPr>
      </w:pPr>
    </w:p>
    <w:p>
      <w:pPr>
        <w:jc w:val="both"/>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fair value of the Company’s assets and liabilities, which qualify as financial instruments under FASB ASC 820, “Fair Value Measurements and Disclosures,” approximates the carrying amounts represented in the balance sheets, primarily due to its short-term nature.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9019"/>
          </w:cols>
          <w:pgMar w:left="1440" w:top="852" w:right="1440" w:bottom="1440" w:gutter="0" w:footer="0" w:header="0"/>
        </w:sectPr>
      </w:pPr>
    </w:p>
    <w:bookmarkStart w:id="150" w:name="page151"/>
    <w:bookmarkEnd w:id="15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46"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Class A Ordinary Shares Subject to Possible Redemption</w:t>
      </w:r>
    </w:p>
    <w:p>
      <w:pPr>
        <w:spacing w:after="0" w:line="173"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December 31, 2025, Class A ordinary shares subject to possible redemption are presented at redemption value as temporary equity, outside of the shareholders’ deficit section of the Company’s balance sheet. As of December 31, 2025, the Class A ordinary shares subject to possible redemption reflected in the balance sheet are reconciled in the following table:</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3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276,000,000</w:t>
            </w: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allocated to public warrants</w:t>
            </w: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(3,132,600)</w:t>
            </w: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issuance costs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(18,586,890)</w:t>
            </w:r>
          </w:p>
        </w:tc>
      </w:tr>
      <w:tr>
        <w:trPr>
          <w:trHeight w:val="16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w:t>
            </w: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Remeasurement of carrying value to redemption value</w:t>
            </w: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29,096,766</w:t>
            </w:r>
          </w:p>
        </w:tc>
      </w:tr>
      <w:tr>
        <w:trPr>
          <w:trHeight w:val="157"/>
        </w:trPr>
        <w:tc>
          <w:tcPr>
            <w:tcW w:w="532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Class A ordinary shares subject to possible redemption, December 31, 2025</w:t>
            </w:r>
          </w:p>
        </w:tc>
        <w:tc>
          <w:tcPr>
            <w:tcW w:w="1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283,377,276</w:t>
            </w:r>
          </w:p>
        </w:tc>
      </w:tr>
      <w:tr>
        <w:trPr>
          <w:trHeight w:val="20"/>
        </w:trPr>
        <w:tc>
          <w:tcPr>
            <w:tcW w:w="5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Warrant Instruments</w:t>
      </w:r>
    </w:p>
    <w:p>
      <w:pPr>
        <w:spacing w:after="0" w:line="173" w:lineRule="exact"/>
        <w:rPr>
          <w:sz w:val="20"/>
          <w:szCs w:val="20"/>
          <w:color w:val="auto"/>
        </w:rPr>
      </w:pPr>
    </w:p>
    <w:p>
      <w:pPr>
        <w:ind w:left="760" w:right="919" w:firstLine="249"/>
        <w:spacing w:after="0" w:line="292" w:lineRule="auto"/>
        <w:rPr>
          <w:sz w:val="20"/>
          <w:szCs w:val="20"/>
          <w:color w:val="auto"/>
        </w:rPr>
      </w:pPr>
      <w:r>
        <w:rPr>
          <w:rFonts w:ascii="Times New Roman" w:cs="Times New Roman" w:eastAsia="Times New Roman" w:hAnsi="Times New Roman"/>
          <w:sz w:val="13"/>
          <w:szCs w:val="13"/>
          <w:color w:val="auto"/>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Net Income (Loss) per Ordinary Share</w:t>
      </w:r>
    </w:p>
    <w:p>
      <w:pPr>
        <w:spacing w:after="0" w:line="173" w:lineRule="exact"/>
        <w:rPr>
          <w:sz w:val="20"/>
          <w:szCs w:val="20"/>
          <w:color w:val="auto"/>
        </w:rPr>
      </w:pPr>
    </w:p>
    <w:p>
      <w:pPr>
        <w:jc w:val="both"/>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(loss) per ordinary share is computed by dividing net income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9019"/>
          </w:cols>
          <w:pgMar w:left="1440" w:top="852" w:right="1440" w:bottom="1440" w:gutter="0" w:footer="0" w:header="0"/>
        </w:sectPr>
      </w:pPr>
    </w:p>
    <w:bookmarkStart w:id="151" w:name="page152"/>
    <w:bookmarkEnd w:id="15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December 31, 2025 and 2024, the Company did not have any dilutive securities or other contracts that could, potentially, be exercised or converted into ordinary shares that then share in the earnings of the Company.</w:t>
      </w:r>
    </w:p>
    <w:p>
      <w:pPr>
        <w:spacing w:after="0" w:line="142"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reflects the calculation of basic and diluted net income (loss) per ordinary share (in dollars, except per share amounts):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9"/>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For the period from October 29,</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2024 (Inception) through</w:t>
            </w: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80" w:type="dxa"/>
            <w:vAlign w:val="bottom"/>
            <w:gridSpan w:val="4"/>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0" w:type="dxa"/>
            <w:vAlign w:val="bottom"/>
          </w:tcPr>
          <w:p>
            <w:pPr>
              <w:spacing w:after="0"/>
              <w:rPr>
                <w:sz w:val="1"/>
                <w:szCs w:val="1"/>
                <w:color w:val="auto"/>
              </w:rPr>
            </w:pPr>
          </w:p>
        </w:tc>
      </w:tr>
      <w:tr>
        <w:trPr>
          <w:trHeight w:val="106"/>
        </w:trPr>
        <w:tc>
          <w:tcPr>
            <w:tcW w:w="3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7"/>
              <w:spacing w:after="0" w:line="106"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Non-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57"/>
        </w:trPr>
        <w:tc>
          <w:tcPr>
            <w:tcW w:w="32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Basic net income (loss) per ordinary share</w:t>
            </w: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98"/>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Numerator: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gridSpan w:val="3"/>
          </w:tcPr>
          <w:p>
            <w:pPr>
              <w:jc w:val="right"/>
              <w:ind w:right="128"/>
              <w:spacing w:after="0"/>
              <w:rPr>
                <w:sz w:val="20"/>
                <w:szCs w:val="20"/>
                <w:color w:val="auto"/>
              </w:rPr>
            </w:pPr>
            <w:r>
              <w:rPr>
                <w:rFonts w:ascii="Times New Roman" w:cs="Times New Roman" w:eastAsia="Times New Roman" w:hAnsi="Times New Roman"/>
                <w:sz w:val="1"/>
                <w:szCs w:val="1"/>
                <w:color w:val="auto"/>
                <w:w w:val="4294942296"/>
              </w:rPr>
              <w:t>​</w:t>
            </w:r>
          </w:p>
        </w:tc>
        <w:tc>
          <w:tcPr>
            <w:tcW w:w="66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Allocation of net income (loss)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4,565,061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1,654,008</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8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18,197,802</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6,593,407</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Basic net income (loss) per ordinary share</w:t>
            </w:r>
          </w:p>
        </w:tc>
        <w:tc>
          <w:tcPr>
            <w:tcW w:w="8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ind w:left="5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80" w:type="dxa"/>
            <w:vAlign w:val="bottom"/>
            <w:gridSpan w:val="9"/>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For the period from October 29,</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2024 (Inception) through</w:t>
            </w: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80" w:type="dxa"/>
            <w:vAlign w:val="bottom"/>
            <w:gridSpan w:val="4"/>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0" w:type="dxa"/>
            <w:vAlign w:val="bottom"/>
          </w:tcPr>
          <w:p>
            <w:pPr>
              <w:spacing w:after="0"/>
              <w:rPr>
                <w:sz w:val="1"/>
                <w:szCs w:val="1"/>
                <w:color w:val="auto"/>
              </w:rPr>
            </w:pPr>
          </w:p>
        </w:tc>
      </w:tr>
      <w:tr>
        <w:trPr>
          <w:trHeight w:val="106"/>
        </w:trPr>
        <w:tc>
          <w:tcPr>
            <w:tcW w:w="3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7"/>
              <w:spacing w:after="0" w:line="106"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Non-</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57"/>
        </w:trPr>
        <w:tc>
          <w:tcPr>
            <w:tcW w:w="32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Diluted net income (loss) per ordinary share</w:t>
            </w: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98"/>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Numerator: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4"/>
                <w:szCs w:val="14"/>
                <w:color w:val="auto"/>
              </w:rPr>
            </w:pPr>
          </w:p>
        </w:tc>
        <w:tc>
          <w:tcPr>
            <w:tcW w:w="200" w:type="dxa"/>
            <w:vAlign w:val="bottom"/>
            <w:gridSpan w:val="3"/>
          </w:tcPr>
          <w:p>
            <w:pPr>
              <w:jc w:val="right"/>
              <w:ind w:right="128"/>
              <w:spacing w:after="0"/>
              <w:rPr>
                <w:sz w:val="20"/>
                <w:szCs w:val="20"/>
                <w:color w:val="auto"/>
              </w:rPr>
            </w:pPr>
            <w:r>
              <w:rPr>
                <w:rFonts w:ascii="Times New Roman" w:cs="Times New Roman" w:eastAsia="Times New Roman" w:hAnsi="Times New Roman"/>
                <w:sz w:val="1"/>
                <w:szCs w:val="1"/>
                <w:color w:val="auto"/>
                <w:w w:val="4294942296"/>
              </w:rPr>
              <w:t>​</w:t>
            </w:r>
          </w:p>
        </w:tc>
        <w:tc>
          <w:tcPr>
            <w:tcW w:w="66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Allocation of net income (loss)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4,509,295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1,709,774</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8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18,197,802</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Diluted net income (loss) per ordinary share</w:t>
            </w:r>
          </w:p>
        </w:tc>
        <w:tc>
          <w:tcPr>
            <w:tcW w:w="82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ind w:left="5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3"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Management does not believe that any recently issued, but not effective, accounting standards, if currently adopted, would have a material effect on the Company’s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9019"/>
          </w:cols>
          <w:pgMar w:left="1440" w:top="852" w:right="1440" w:bottom="1440" w:gutter="0" w:footer="0" w:header="0"/>
        </w:sectPr>
      </w:pPr>
    </w:p>
    <w:bookmarkStart w:id="152" w:name="page153"/>
    <w:bookmarkEnd w:id="15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18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01945" cy="7018020"/>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3. INITIAL PUBLIC OFFERING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Pursuant to the Initial Public Offering on May 5, 2025, the Company sold 27,600,000 Units, which includes a full exercise by the</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underwriters of their over-allotment option of 3,600,000 Units at a purchase price of $10.00 per Unit, generating gross proceeds of</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$276,000,000. Each Unit consists of one Class A ordinary share and one-half of one redeemable warrant. Each whole warrant entitles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holder to purchase one Class A ordinary share at a price of $11.50 per share, subject to adjustment. Each warrant will become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exercisable 30 days after the completion of the initial Business Combination and will expire five years after the completion of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initial Business Combination, or earlier upon redemption or liquidation.</w:t>
      </w:r>
    </w:p>
    <w:p>
      <w:pPr>
        <w:spacing w:after="0" w:line="154" w:lineRule="exact"/>
        <w:rPr>
          <w:sz w:val="20"/>
          <w:szCs w:val="20"/>
          <w:color w:val="auto"/>
        </w:rPr>
      </w:pPr>
    </w:p>
    <w:p>
      <w:pPr>
        <w:ind w:left="760" w:right="919" w:firstLine="24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Warrants — </w:t>
      </w:r>
      <w:r>
        <w:rPr>
          <w:rFonts w:ascii="Times New Roman" w:cs="Times New Roman" w:eastAsia="Times New Roman" w:hAnsi="Times New Roman"/>
          <w:sz w:val="13"/>
          <w:szCs w:val="13"/>
          <w:color w:val="auto"/>
        </w:rPr>
        <w:t>As of December 31, 2025, there were 20,600,000 warrants outstanding, including 13,800,000 public warrants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6,800,000 Private Placement Warrants. At December 31, 2024, there were no warrants outstanding.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spacing w:after="0" w:line="127"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Under the terms of the warrant agreement, the Company has agreed that, as soon as practicable, but in no event later than</w:t>
      </w:r>
    </w:p>
    <w:p>
      <w:pPr>
        <w:spacing w:after="0" w:line="20" w:lineRule="exact"/>
        <w:rPr>
          <w:sz w:val="20"/>
          <w:szCs w:val="20"/>
          <w:color w:val="auto"/>
        </w:rPr>
      </w:pPr>
    </w:p>
    <w:p>
      <w:pPr>
        <w:ind w:left="760" w:right="779"/>
        <w:spacing w:after="0" w:line="248" w:lineRule="auto"/>
        <w:rPr>
          <w:sz w:val="20"/>
          <w:szCs w:val="20"/>
          <w:color w:val="auto"/>
        </w:rPr>
      </w:pPr>
      <w:r>
        <w:rPr>
          <w:rFonts w:ascii="Times New Roman" w:cs="Times New Roman" w:eastAsia="Times New Roman" w:hAnsi="Times New Roman"/>
          <w:sz w:val="14"/>
          <w:szCs w:val="14"/>
          <w:color w:val="auto"/>
        </w:rPr>
        <w:t>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spacing w:after="0" w:line="149"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9019"/>
          </w:cols>
          <w:pgMar w:left="1440" w:top="852" w:right="1440" w:bottom="1440" w:gutter="0" w:footer="0" w:header="0"/>
        </w:sectPr>
      </w:pPr>
    </w:p>
    <w:bookmarkStart w:id="153" w:name="page154"/>
    <w:bookmarkEnd w:id="15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right="939" w:firstLine="249"/>
        <w:spacing w:after="0" w:line="281" w:lineRule="auto"/>
        <w:rPr>
          <w:sz w:val="20"/>
          <w:szCs w:val="20"/>
          <w:color w:val="auto"/>
        </w:rPr>
      </w:pPr>
      <w:r>
        <w:rPr>
          <w:rFonts w:ascii="Times New Roman" w:cs="Times New Roman" w:eastAsia="Times New Roman" w:hAnsi="Times New Roman"/>
          <w:sz w:val="14"/>
          <w:szCs w:val="14"/>
          <w:i w:val="1"/>
          <w:iCs w:val="1"/>
          <w:color w:val="auto"/>
        </w:rPr>
        <w:t>Redemption of Warrants When the Price per Class A Ordinary Share Equals or Exceeds $18.00</w:t>
      </w:r>
      <w:r>
        <w:rPr>
          <w:rFonts w:ascii="Times New Roman" w:cs="Times New Roman" w:eastAsia="Times New Roman" w:hAnsi="Times New Roman"/>
          <w:sz w:val="14"/>
          <w:szCs w:val="14"/>
          <w:color w:val="auto"/>
        </w:rPr>
        <w:t>: The Company may redeem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warrants:</w:t>
      </w:r>
    </w:p>
    <w:p>
      <w:pPr>
        <w:spacing w:after="0" w:line="124" w:lineRule="exact"/>
        <w:rPr>
          <w:sz w:val="20"/>
          <w:szCs w:val="20"/>
          <w:color w:val="auto"/>
        </w:rPr>
      </w:pPr>
    </w:p>
    <w:p>
      <w:pPr>
        <w:ind w:left="1280" w:hanging="246"/>
        <w:spacing w:after="0"/>
        <w:tabs>
          <w:tab w:leader="none" w:pos="12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71"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 (the “30-day redemption period”); and</w:t>
      </w:r>
    </w:p>
    <w:p>
      <w:pPr>
        <w:spacing w:after="0" w:line="171" w:lineRule="exact"/>
        <w:rPr>
          <w:rFonts w:ascii="Times New Roman" w:cs="Times New Roman" w:eastAsia="Times New Roman" w:hAnsi="Times New Roman"/>
          <w:sz w:val="14"/>
          <w:szCs w:val="14"/>
          <w:color w:val="auto"/>
        </w:rPr>
      </w:pPr>
    </w:p>
    <w:p>
      <w:pPr>
        <w:ind w:left="1280" w:right="859" w:hanging="246"/>
        <w:spacing w:after="0" w:line="257" w:lineRule="auto"/>
        <w:tabs>
          <w:tab w:leader="none" w:pos="12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Company’s initial Business Combination and ending three business days before the Company sends the notice of redemption to the warrant holders.</w:t>
      </w:r>
    </w:p>
    <w:p>
      <w:pPr>
        <w:spacing w:after="0" w:line="142" w:lineRule="exact"/>
        <w:rPr>
          <w:sz w:val="20"/>
          <w:szCs w:val="20"/>
          <w:color w:val="auto"/>
        </w:rPr>
      </w:pPr>
    </w:p>
    <w:p>
      <w:pPr>
        <w:ind w:left="760" w:right="799" w:firstLine="249"/>
        <w:spacing w:after="0" w:line="271" w:lineRule="auto"/>
        <w:rPr>
          <w:sz w:val="20"/>
          <w:szCs w:val="20"/>
          <w:color w:val="auto"/>
        </w:rPr>
      </w:pPr>
      <w:r>
        <w:rPr>
          <w:rFonts w:ascii="Times New Roman" w:cs="Times New Roman" w:eastAsia="Times New Roman" w:hAnsi="Times New Roman"/>
          <w:sz w:val="13"/>
          <w:szCs w:val="13"/>
          <w:color w:val="auto"/>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spacing w:after="0" w:line="135"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9019"/>
          </w:cols>
          <w:pgMar w:left="1440" w:top="852" w:right="1440"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4. PRIVATE PLACEMENT</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spacing w:after="0" w:line="145"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our initial public offering in accordance with Financial Industry Regulatory Authority (“FINRA”) Rule 5110(g)(8).</w:t>
      </w:r>
    </w:p>
    <w:p>
      <w:pPr>
        <w:spacing w:after="0" w:line="14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5. RELATED PARTY TRANSACTIONS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Founder Shares</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9019"/>
          </w:cols>
          <w:pgMar w:left="1440" w:top="852" w:right="1440" w:bottom="1440" w:gutter="0" w:footer="0" w:header="0"/>
        </w:sectPr>
      </w:pPr>
    </w:p>
    <w:bookmarkStart w:id="155" w:name="page156"/>
    <w:bookmarkEnd w:id="15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Promissory Note — Related Party</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Administrative Services Agreement</w:t>
      </w:r>
    </w:p>
    <w:p>
      <w:pPr>
        <w:spacing w:after="0" w:line="173" w:lineRule="exact"/>
        <w:rPr>
          <w:sz w:val="20"/>
          <w:szCs w:val="20"/>
          <w:color w:val="auto"/>
        </w:rPr>
      </w:pPr>
    </w:p>
    <w:p>
      <w:pPr>
        <w:ind w:left="760" w:right="919" w:firstLine="249"/>
        <w:spacing w:after="0" w:line="283" w:lineRule="auto"/>
        <w:rPr>
          <w:sz w:val="20"/>
          <w:szCs w:val="20"/>
          <w:color w:val="auto"/>
        </w:rPr>
      </w:pPr>
      <w:r>
        <w:rPr>
          <w:rFonts w:ascii="Times New Roman" w:cs="Times New Roman" w:eastAsia="Times New Roman" w:hAnsi="Times New Roman"/>
          <w:sz w:val="13"/>
          <w:szCs w:val="13"/>
          <w:color w:val="auto"/>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year ended December 31, 2025, the Company incurred $80,000, in fees for these services, of which $50,000 was paid. As of December 31, 2025 and 2024, the Company had accrued $30,000 and $0 on the balance sheet, respectively.</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Related Party Loans</w:t>
      </w:r>
    </w:p>
    <w:p>
      <w:pPr>
        <w:spacing w:after="0" w:line="173"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December 31, 2025 and 2024, no such Working Capital Loans were outstanding.</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6. COMMITMENTS AND CONTINGENCIES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and Uncertainties</w:t>
      </w:r>
    </w:p>
    <w:p>
      <w:pPr>
        <w:spacing w:after="0" w:line="173" w:lineRule="exact"/>
        <w:rPr>
          <w:sz w:val="20"/>
          <w:szCs w:val="20"/>
          <w:color w:val="auto"/>
        </w:rPr>
      </w:pPr>
    </w:p>
    <w:p>
      <w:pPr>
        <w:ind w:left="760" w:right="959" w:firstLine="249"/>
        <w:spacing w:after="0" w:line="253" w:lineRule="auto"/>
        <w:rPr>
          <w:sz w:val="20"/>
          <w:szCs w:val="20"/>
          <w:color w:val="auto"/>
        </w:rPr>
      </w:pPr>
      <w:r>
        <w:rPr>
          <w:rFonts w:ascii="Times New Roman" w:cs="Times New Roman" w:eastAsia="Times New Roman" w:hAnsi="Times New Roman"/>
          <w:sz w:val="14"/>
          <w:szCs w:val="14"/>
          <w:color w:val="auto"/>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9019"/>
          </w:cols>
          <w:pgMar w:left="1440" w:top="852" w:right="1440" w:bottom="1440" w:gutter="0" w:footer="0" w:header="0"/>
        </w:sectPr>
      </w:pPr>
    </w:p>
    <w:bookmarkStart w:id="156" w:name="page157"/>
    <w:bookmarkEnd w:id="15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the provisions of the OBBB and determined that adoption of the new law did not have a material impact on its financial statements or related disclosures.</w:t>
      </w:r>
    </w:p>
    <w:p>
      <w:pPr>
        <w:spacing w:after="0" w:line="142" w:lineRule="exact"/>
        <w:rPr>
          <w:sz w:val="20"/>
          <w:szCs w:val="20"/>
          <w:color w:val="auto"/>
        </w:rPr>
      </w:pPr>
    </w:p>
    <w:p>
      <w:pPr>
        <w:jc w:val="both"/>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Underwriting Agreement</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spacing w:after="0" w:line="142" w:lineRule="exact"/>
        <w:rPr>
          <w:sz w:val="20"/>
          <w:szCs w:val="20"/>
          <w:color w:val="auto"/>
        </w:rPr>
      </w:pPr>
    </w:p>
    <w:p>
      <w:pPr>
        <w:ind w:left="760" w:right="959" w:firstLine="249"/>
        <w:spacing w:after="0" w:line="278" w:lineRule="auto"/>
        <w:rPr>
          <w:sz w:val="20"/>
          <w:szCs w:val="20"/>
          <w:color w:val="auto"/>
        </w:rPr>
      </w:pPr>
      <w:r>
        <w:rPr>
          <w:rFonts w:ascii="Times New Roman" w:cs="Times New Roman" w:eastAsia="Times New Roman" w:hAnsi="Times New Roman"/>
          <w:sz w:val="14"/>
          <w:szCs w:val="14"/>
          <w:color w:val="auto"/>
        </w:rPr>
        <w:t>The underwriters were entitled to a cash underwriting discount of $4,800,000, which was paid in cash to the underwriters at the closing of the Initial Public Offering.</w:t>
      </w:r>
    </w:p>
    <w:p>
      <w:pPr>
        <w:spacing w:after="0" w:line="126" w:lineRule="exact"/>
        <w:rPr>
          <w:sz w:val="20"/>
          <w:szCs w:val="20"/>
          <w:color w:val="auto"/>
        </w:rPr>
      </w:pPr>
    </w:p>
    <w:p>
      <w:pPr>
        <w:jc w:val="both"/>
        <w:ind w:left="760" w:right="839" w:firstLine="249"/>
        <w:spacing w:after="0" w:line="283" w:lineRule="auto"/>
        <w:rPr>
          <w:sz w:val="20"/>
          <w:szCs w:val="20"/>
          <w:color w:val="auto"/>
        </w:rPr>
      </w:pPr>
      <w:r>
        <w:rPr>
          <w:rFonts w:ascii="Times New Roman" w:cs="Times New Roman" w:eastAsia="Times New Roman" w:hAnsi="Times New Roman"/>
          <w:sz w:val="13"/>
          <w:szCs w:val="13"/>
          <w:color w:val="auto"/>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spacing w:after="0" w:line="126"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9019"/>
          </w:cols>
          <w:pgMar w:left="1440" w:top="852" w:right="1440" w:bottom="1440" w:gutter="0" w:footer="0" w:header="0"/>
        </w:sectPr>
      </w:pPr>
    </w:p>
    <w:bookmarkStart w:id="157" w:name="page158"/>
    <w:bookmarkEnd w:id="15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Business Combination Agreement</w:t>
      </w:r>
    </w:p>
    <w:p>
      <w:pPr>
        <w:spacing w:after="0" w:line="142" w:lineRule="exact"/>
        <w:rPr>
          <w:sz w:val="20"/>
          <w:szCs w:val="20"/>
          <w:color w:val="auto"/>
        </w:rPr>
      </w:pPr>
    </w:p>
    <w:p>
      <w:pPr>
        <w:ind w:left="760" w:right="879" w:firstLine="249"/>
        <w:spacing w:after="0" w:line="252" w:lineRule="auto"/>
        <w:rPr>
          <w:sz w:val="20"/>
          <w:szCs w:val="20"/>
          <w:color w:val="auto"/>
        </w:rPr>
      </w:pPr>
      <w:r>
        <w:rPr>
          <w:rFonts w:ascii="Times New Roman" w:cs="Times New Roman" w:eastAsia="Times New Roman" w:hAnsi="Times New Roman"/>
          <w:sz w:val="14"/>
          <w:szCs w:val="14"/>
          <w:color w:val="auto"/>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CGC and Factorial. The Business Combination is expected to close in mid-2026, following the receipt of the requisite approvals of CGC shareholders and Factorial stockholders and the fulfillment of other customary closing conditions.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Sponsor Support Agreement</w:t>
      </w:r>
    </w:p>
    <w:p>
      <w:pPr>
        <w:spacing w:after="0" w:line="15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New Factorial Bylaws, and (vi) waive redemption rights with respect to the Sponsor Shares, in each case, on the terms and subject to the conditions set forth in the Sponsor Support Agreement.</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PIPE Financing</w:t>
      </w:r>
    </w:p>
    <w:p>
      <w:pPr>
        <w:spacing w:after="0" w:line="142"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Pursuant to the Investor Stock Purchase Agreements, the PIPE Investors agreed to subscribe for and purchase, and the Company</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agreed to issue and sell to the PIPE Investors, at the closing of the Business Combination, an aggregate of 9,927,184 shares of New</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Factorial Series A Common Stock, at an average subscription price of $10.08 per share (assuming a Redemption Price (as defined in</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the Company’s certificate of incorporation) of $10.30 per share) for aggregate gross proceeds of $100,000,000 (the “PIPE Financing”).</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The Institutional Investor subscribed for 7,500,000 shares of New Factorial Series A Common Stock at a subscription price of $10.00</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 share, and the Sponsor Investor subscribed for 2,427,184 shares of New Factorial Series A Common Stock (assuming a</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Redemption Price of $10.30 per share) at a subscription price equal to the Redemption Price. Pursuant to the Investor Stock Purchase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Agreements, the Sponsor will transfer at the closing of the Business Combination (which transfer may be indirectly through forfeiture</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reissuance) an aggregate of 750,000 shares of New Factorial Series A Common Stock to the Institutional Investor and 250,000</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shares of New Factorial Series A Common Stock to the Sponsor Investor. The average subscription prices are $9.09 per share and</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$9.34 per share for the Institutional Investor and the Sponsor Investor, respectively, assuming a Redemption Price of $10.30 per share</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taking into account the foregoing transfers from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9019"/>
          </w:cols>
          <w:pgMar w:left="1440" w:top="852" w:right="1440" w:bottom="1440" w:gutter="0" w:footer="0" w:header="0"/>
        </w:sectPr>
      </w:pPr>
    </w:p>
    <w:bookmarkStart w:id="158" w:name="page159"/>
    <w:bookmarkEnd w:id="15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73" w:lineRule="exact"/>
        <w:rPr>
          <w:sz w:val="20"/>
          <w:szCs w:val="20"/>
          <w:color w:val="auto"/>
        </w:rPr>
      </w:pPr>
    </w:p>
    <w:p>
      <w:pPr>
        <w:ind w:left="760" w:right="839" w:firstLine="249"/>
        <w:spacing w:after="0" w:line="274" w:lineRule="auto"/>
        <w:rPr>
          <w:sz w:val="20"/>
          <w:szCs w:val="20"/>
          <w:color w:val="auto"/>
        </w:rPr>
      </w:pPr>
      <w:r>
        <w:rPr>
          <w:rFonts w:ascii="Times New Roman" w:cs="Times New Roman" w:eastAsia="Times New Roman" w:hAnsi="Times New Roman"/>
          <w:sz w:val="13"/>
          <w:szCs w:val="13"/>
          <w:color w:val="auto"/>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7. SHAREHOLDERS’ DEFICIT</w:t>
      </w:r>
    </w:p>
    <w:p>
      <w:pPr>
        <w:spacing w:after="0" w:line="171" w:lineRule="exact"/>
        <w:rPr>
          <w:sz w:val="20"/>
          <w:szCs w:val="20"/>
          <w:color w:val="auto"/>
        </w:rPr>
      </w:pPr>
    </w:p>
    <w:p>
      <w:pPr>
        <w:ind w:left="760" w:right="839" w:firstLine="24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Preference Shares </w:t>
      </w:r>
      <w:r>
        <w:rPr>
          <w:rFonts w:ascii="Times New Roman" w:cs="Times New Roman" w:eastAsia="Times New Roman" w:hAnsi="Times New Roman"/>
          <w:sz w:val="14"/>
          <w:szCs w:val="14"/>
          <w:color w:val="auto"/>
        </w:rPr>
        <w:t>— The Company is authorized to issue a total of 1,000,000 preference shares at par value of $0.0001 each.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December 31, 2025 and 2024, there were no preference shares issued or outstanding.</w:t>
      </w:r>
    </w:p>
    <w:p>
      <w:pPr>
        <w:spacing w:after="0" w:line="122" w:lineRule="exact"/>
        <w:rPr>
          <w:sz w:val="20"/>
          <w:szCs w:val="20"/>
          <w:color w:val="auto"/>
        </w:rPr>
      </w:pPr>
    </w:p>
    <w:p>
      <w:pPr>
        <w:jc w:val="both"/>
        <w:ind w:left="760" w:right="919" w:firstLine="24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Class A Ordinary Shares — </w:t>
      </w:r>
      <w:r>
        <w:rPr>
          <w:rFonts w:ascii="Times New Roman" w:cs="Times New Roman" w:eastAsia="Times New Roman" w:hAnsi="Times New Roman"/>
          <w:sz w:val="14"/>
          <w:szCs w:val="14"/>
          <w:color w:val="auto"/>
        </w:rPr>
        <w:t>The Company is authorized to issue a total of 200,000,000 Class A ordinary shares at par value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$0.0001 each. At December 31, 2025 and 2024, there were no shares of Class A ordinary shares issued or outstanding, excluding the 27,600,000 and 0 shares subject to possible redemption, respectively.</w:t>
      </w:r>
    </w:p>
    <w:p>
      <w:pPr>
        <w:spacing w:after="0" w:line="134"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Class B Ordinary Shares — </w:t>
      </w:r>
      <w:r>
        <w:rPr>
          <w:rFonts w:ascii="Times New Roman" w:cs="Times New Roman" w:eastAsia="Times New Roman" w:hAnsi="Times New Roman"/>
          <w:sz w:val="14"/>
          <w:szCs w:val="14"/>
          <w:color w:val="auto"/>
        </w:rPr>
        <w:t>The Company is authorized to issue a total of 20,000,000 Class B ordinary shares at par value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spacing w:after="0" w:line="146" w:lineRule="exact"/>
        <w:rPr>
          <w:sz w:val="20"/>
          <w:szCs w:val="20"/>
          <w:color w:val="auto"/>
        </w:rPr>
      </w:pPr>
    </w:p>
    <w:p>
      <w:pPr>
        <w:ind w:left="760" w:right="819" w:firstLine="249"/>
        <w:spacing w:after="0" w:line="249" w:lineRule="auto"/>
        <w:rPr>
          <w:sz w:val="20"/>
          <w:szCs w:val="20"/>
          <w:color w:val="auto"/>
        </w:rPr>
      </w:pPr>
      <w:r>
        <w:rPr>
          <w:rFonts w:ascii="Times New Roman" w:cs="Times New Roman" w:eastAsia="Times New Roman" w:hAnsi="Times New Roman"/>
          <w:sz w:val="14"/>
          <w:szCs w:val="14"/>
          <w:color w:val="auto"/>
        </w:rPr>
        <w:t>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9019"/>
          </w:cols>
          <w:pgMar w:left="1440" w:top="852" w:right="1440" w:bottom="1440" w:gutter="0" w:footer="0" w:header="0"/>
        </w:sectPr>
      </w:pPr>
    </w:p>
    <w:bookmarkStart w:id="159" w:name="page160"/>
    <w:bookmarkEnd w:id="15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8. FAIR VALUE MEASUREMENTS</w:t>
      </w:r>
    </w:p>
    <w:p>
      <w:pPr>
        <w:spacing w:after="0" w:line="173" w:lineRule="exact"/>
        <w:rPr>
          <w:sz w:val="20"/>
          <w:szCs w:val="20"/>
          <w:color w:val="auto"/>
        </w:rPr>
      </w:pPr>
    </w:p>
    <w:p>
      <w:pPr>
        <w:ind w:left="760" w:right="899" w:firstLine="249"/>
        <w:spacing w:after="0" w:line="252" w:lineRule="auto"/>
        <w:rPr>
          <w:sz w:val="20"/>
          <w:szCs w:val="20"/>
          <w:color w:val="auto"/>
        </w:rPr>
      </w:pPr>
      <w:r>
        <w:rPr>
          <w:rFonts w:ascii="Times New Roman" w:cs="Times New Roman" w:eastAsia="Times New Roman" w:hAnsi="Times New Roman"/>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6" w:lineRule="exact"/>
        <w:rPr>
          <w:sz w:val="20"/>
          <w:szCs w:val="20"/>
          <w:color w:val="auto"/>
        </w:rPr>
      </w:pPr>
    </w:p>
    <w:p>
      <w:pPr>
        <w:jc w:val="both"/>
        <w:ind w:left="1260" w:right="779" w:hanging="498"/>
        <w:spacing w:after="0" w:line="262"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8" w:lineRule="exact"/>
        <w:rPr>
          <w:sz w:val="20"/>
          <w:szCs w:val="20"/>
          <w:color w:val="auto"/>
        </w:rPr>
      </w:pPr>
    </w:p>
    <w:p>
      <w:pPr>
        <w:ind w:left="1260" w:right="919" w:hanging="498"/>
        <w:spacing w:after="0" w:line="278"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6" w:lineRule="exact"/>
        <w:rPr>
          <w:sz w:val="20"/>
          <w:szCs w:val="20"/>
          <w:color w:val="auto"/>
        </w:rPr>
      </w:pPr>
    </w:p>
    <w:p>
      <w:pPr>
        <w:ind w:left="1260" w:right="1199" w:hanging="498"/>
        <w:spacing w:after="0" w:line="278" w:lineRule="auto"/>
        <w:rPr>
          <w:sz w:val="20"/>
          <w:szCs w:val="20"/>
          <w:color w:val="auto"/>
        </w:rPr>
      </w:pPr>
      <w:r>
        <w:rPr>
          <w:rFonts w:ascii="Times New Roman" w:cs="Times New Roman" w:eastAsia="Times New Roman" w:hAnsi="Times New Roman"/>
          <w:sz w:val="14"/>
          <w:szCs w:val="14"/>
          <w:color w:val="auto"/>
        </w:rPr>
        <w:t>Level 3: Unobservable inputs based on assessment of the assumptions that market participants would use in pricing the asset or liability.</w:t>
      </w:r>
    </w:p>
    <w:p>
      <w:pPr>
        <w:spacing w:after="0" w:line="126"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At December 31, 2025, investments held in the Trust Account were held in mutual funds primarily invested in U.S. Treasury Bills with a maturity of 185 days or less. The estimated fair values of investments held in Trust Account are determined using available market information. Fair values of these investments are determined by Level 1 inputs utilizing quoted prices (unadjusted)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9019"/>
          </w:cols>
          <w:pgMar w:left="1440" w:top="852" w:right="1440" w:bottom="1440" w:gutter="0" w:footer="0" w:header="0"/>
        </w:sectPr>
      </w:pPr>
    </w:p>
    <w:bookmarkStart w:id="160" w:name="page161"/>
    <w:bookmarkEnd w:id="16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ind w:left="760" w:right="979" w:firstLine="249"/>
        <w:spacing w:after="0" w:line="262"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as of December 31, 2025 and 2024, and indicates the fair value hierarchy of the valuation inputs the Company utilized to determine such fair value:</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980" w:type="dxa"/>
            <w:vAlign w:val="bottom"/>
            <w:gridSpan w:val="2"/>
          </w:tcPr>
          <w:p>
            <w:pPr>
              <w:ind w:left="450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Level</w:t>
            </w:r>
          </w:p>
        </w:tc>
        <w:tc>
          <w:tcPr>
            <w:tcW w:w="120" w:type="dxa"/>
            <w:vAlign w:val="bottom"/>
          </w:tcPr>
          <w:p>
            <w:pPr>
              <w:spacing w:after="0"/>
              <w:rPr>
                <w:sz w:val="11"/>
                <w:szCs w:val="11"/>
                <w:color w:val="auto"/>
              </w:rPr>
            </w:pPr>
          </w:p>
        </w:tc>
        <w:tc>
          <w:tcPr>
            <w:tcW w:w="24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7"/>
        </w:trPr>
        <w:tc>
          <w:tcPr>
            <w:tcW w:w="45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283,377,276</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ind w:left="780"/>
              <w:spacing w:after="0" w:line="157" w:lineRule="exact"/>
              <w:rPr>
                <w:sz w:val="20"/>
                <w:szCs w:val="20"/>
                <w:color w:val="auto"/>
              </w:rPr>
            </w:pPr>
            <w:r>
              <w:rPr>
                <w:rFonts w:ascii="Times New Roman" w:cs="Times New Roman" w:eastAsia="Times New Roman" w:hAnsi="Times New Roman"/>
                <w:sz w:val="14"/>
                <w:szCs w:val="14"/>
                <w:color w:val="auto"/>
              </w:rPr>
              <w:t>—</w:t>
            </w:r>
          </w:p>
        </w:tc>
      </w:tr>
    </w:tbl>
    <w:p>
      <w:pPr>
        <w:spacing w:after="0" w:line="151"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fair value of the public warrants was $3,132,600 or $0.227 per public warrant, and the fair value of the private placement warrants was $1,567,638 or $0.231 per private placement warrant. The fair value of both the public and private placement warrants was determined using Monte Carlo Simulation Model. Both instruments are classified within shareholders’ deficit and will not require remeasurement after issuance.</w:t>
      </w:r>
    </w:p>
    <w:p>
      <w:pPr>
        <w:spacing w:after="0" w:line="142"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presents the quantitative information regarding market assumptions used in the valuation of the public and private placement warrants: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020" w:type="dxa"/>
            <w:vAlign w:val="bottom"/>
          </w:tcPr>
          <w:p>
            <w:pPr>
              <w:spacing w:after="0"/>
              <w:rPr>
                <w:sz w:val="11"/>
                <w:szCs w:val="1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May 5, 2025</w:t>
            </w:r>
          </w:p>
        </w:tc>
      </w:tr>
      <w:tr>
        <w:trPr>
          <w:trHeight w:val="157"/>
        </w:trPr>
        <w:tc>
          <w:tcPr>
            <w:tcW w:w="50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Volatility</w:t>
            </w:r>
          </w:p>
        </w:tc>
        <w:tc>
          <w:tcPr>
            <w:tcW w:w="1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3.79 %</w:t>
            </w:r>
          </w:p>
        </w:tc>
      </w:tr>
      <w:tr>
        <w:trPr>
          <w:trHeight w:val="16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implied likelihood of completing a Business Combination</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r>
      <w:tr>
        <w:trPr>
          <w:trHeight w:val="16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Share price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120" w:type="dxa"/>
            <w:vAlign w:val="bottom"/>
          </w:tcPr>
          <w:p>
            <w:pPr>
              <w:spacing w:after="0"/>
              <w:rPr>
                <w:sz w:val="14"/>
                <w:szCs w:val="14"/>
                <w:color w:val="auto"/>
              </w:rPr>
            </w:pPr>
          </w:p>
        </w:tc>
      </w:tr>
      <w:tr>
        <w:trPr>
          <w:trHeight w:val="16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terms (Yrs)</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market implied likelihood of completing a Business Combination was determined by analyzing the quoted market prices of the rights for similar companies that included rights in their units. The criteria used was: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Criteria</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Low</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High</w:t>
            </w:r>
          </w:p>
        </w:tc>
      </w:tr>
      <w:tr>
        <w:trPr>
          <w:trHeight w:val="157"/>
        </w:trPr>
        <w:tc>
          <w:tcPr>
            <w:tcW w:w="5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IPO proceeds ($M)</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250</w:t>
            </w:r>
          </w:p>
        </w:tc>
      </w:tr>
      <w:tr>
        <w:trPr>
          <w:trHeight w:val="166"/>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Warrant coverage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coverage (per unit)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81"/>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Remaining months to complete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9. SEGMENT INFORMATION</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spacing w:after="0" w:line="142" w:lineRule="exact"/>
        <w:rPr>
          <w:sz w:val="20"/>
          <w:szCs w:val="20"/>
          <w:color w:val="auto"/>
        </w:rPr>
      </w:pPr>
    </w:p>
    <w:p>
      <w:pPr>
        <w:jc w:val="both"/>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9019"/>
          </w:cols>
          <w:pgMar w:left="1440" w:top="852" w:right="1440"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3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56" w:lineRule="exact"/>
        <w:rPr>
          <w:sz w:val="20"/>
          <w:szCs w:val="20"/>
          <w:color w:val="auto"/>
        </w:rPr>
      </w:pPr>
    </w:p>
    <w:p>
      <w:pPr>
        <w:jc w:val="both"/>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The CODM assesses performance for the single segment and decides how to allocate resources based on net income or loss. The measure of segment assets is reported on the balance sheet as total assets. When evaluating the Company’s performance and making key decisions regarding resource allocation the CODM reviews several key metrics, which include the following:</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92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7"/>
        </w:trPr>
        <w:tc>
          <w:tcPr>
            <w:tcW w:w="3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Cash</w:t>
            </w: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624,163</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tcBorders>
            <w:gridSpan w:val="2"/>
            <w:shd w:val="clear" w:color="auto" w:fill="CCEEFF"/>
          </w:tcPr>
          <w:p>
            <w:pPr>
              <w:ind w:left="980"/>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81"/>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283,377,276</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For the Period</w:t>
            </w:r>
          </w:p>
        </w:tc>
      </w:tr>
      <w:tr>
        <w:trPr>
          <w:trHeight w:val="125"/>
        </w:trPr>
        <w:tc>
          <w:tcPr>
            <w:tcW w:w="3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For the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from October 29, 2024</w:t>
            </w:r>
          </w:p>
        </w:tc>
      </w:tr>
      <w:tr>
        <w:trPr>
          <w:trHeight w:val="135"/>
        </w:trPr>
        <w:tc>
          <w:tcPr>
            <w:tcW w:w="3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(Inception) Through</w:t>
            </w:r>
          </w:p>
        </w:tc>
      </w:tr>
      <w:tr>
        <w:trPr>
          <w:trHeight w:val="133"/>
        </w:trPr>
        <w:tc>
          <w:tcPr>
            <w:tcW w:w="3920" w:type="dxa"/>
            <w:vAlign w:val="bottom"/>
          </w:tcPr>
          <w:p>
            <w:pPr>
              <w:spacing w:after="0"/>
              <w:rPr>
                <w:sz w:val="11"/>
                <w:szCs w:val="1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7"/>
        </w:trPr>
        <w:tc>
          <w:tcPr>
            <w:tcW w:w="3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General and administrative costs</w:t>
            </w: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1,158,207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42,620</w:t>
            </w:r>
          </w:p>
        </w:tc>
        <w:tc>
          <w:tcPr>
            <w:tcW w:w="120" w:type="dxa"/>
            <w:vAlign w:val="bottom"/>
            <w:tcBorders>
              <w:top w:val="single" w:sz="8" w:color="CCEEFF"/>
            </w:tcBorders>
            <w:shd w:val="clear" w:color="auto" w:fill="CCEEFF"/>
          </w:tcPr>
          <w:p>
            <w:pPr>
              <w:spacing w:after="0"/>
              <w:rPr>
                <w:sz w:val="13"/>
                <w:szCs w:val="13"/>
                <w:color w:val="auto"/>
              </w:rPr>
            </w:pPr>
          </w:p>
        </w:tc>
      </w:tr>
      <w:tr>
        <w:trPr>
          <w:trHeight w:val="181"/>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Interest earned on investments held in Trust Account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7,377,276</w:t>
            </w:r>
          </w:p>
        </w:tc>
        <w:tc>
          <w:tcPr>
            <w:tcW w:w="20" w:type="dxa"/>
            <w:vAlign w:val="bottom"/>
          </w:tcPr>
          <w:p>
            <w:pPr>
              <w:spacing w:after="0"/>
              <w:rPr>
                <w:sz w:val="15"/>
                <w:szCs w:val="15"/>
                <w:color w:val="auto"/>
              </w:rPr>
            </w:pPr>
          </w:p>
        </w:tc>
        <w:tc>
          <w:tcPr>
            <w:tcW w:w="2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36"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General and administrative costs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10. SUBSEQUENT EVENTS</w:t>
      </w:r>
    </w:p>
    <w:p>
      <w:pPr>
        <w:spacing w:after="0" w:line="173" w:lineRule="exact"/>
        <w:rPr>
          <w:sz w:val="20"/>
          <w:szCs w:val="20"/>
          <w:color w:val="auto"/>
        </w:rPr>
      </w:pPr>
    </w:p>
    <w:p>
      <w:pPr>
        <w:jc w:val="both"/>
        <w:ind w:left="760" w:right="979" w:firstLine="249"/>
        <w:spacing w:after="0" w:line="262" w:lineRule="auto"/>
        <w:rPr>
          <w:sz w:val="20"/>
          <w:szCs w:val="20"/>
          <w:color w:val="auto"/>
        </w:rPr>
      </w:pPr>
      <w:r>
        <w:rPr>
          <w:rFonts w:ascii="Times New Roman" w:cs="Times New Roman" w:eastAsia="Times New Roman" w:hAnsi="Times New Roman"/>
          <w:sz w:val="14"/>
          <w:szCs w:val="14"/>
          <w:color w:val="auto"/>
        </w:rPr>
        <w:t>The Company evaluated subsequent events and transactions that occurred after the balance sheet date and through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9019"/>
          </w:cols>
          <w:pgMar w:left="1440" w:top="852" w:right="1440" w:bottom="1440" w:gutter="0" w:footer="0" w:header="0"/>
        </w:sectPr>
      </w:pPr>
    </w:p>
    <w:bookmarkStart w:id="162" w:name="page163"/>
    <w:bookmarkEnd w:id="16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Consolidated Financial Statements as of and for the Years Ended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December 31, 2025, and 2024 and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9019"/>
          </w:cols>
          <w:pgMar w:left="1440" w:top="572" w:right="1440" w:bottom="1440" w:gutter="0" w:footer="0" w:header="0"/>
        </w:sectPr>
      </w:pPr>
    </w:p>
    <w:bookmarkStart w:id="163" w:name="page164"/>
    <w:bookmarkEnd w:id="16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To the Stockholders and the Board of Directors of Factorial Inc.</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Factorial Inc. and its subsidiaries (the Company) as of December 31, 2025 and 2024, the related consolidated statements of operations, comprehensive loss, redeemable convertible preferred stock and stockholders’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Substantial Doubt About the Company’s Ability to Continue as a Going Concern</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1 to the financial statements, the Company has an accumulated deficit of $255,576 at December 31, 2025, incurred a net loss of $73,845, and used $30,162 of cash in its operations for the year ended December 31, 2025.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3" w:lineRule="exact"/>
        <w:rPr>
          <w:sz w:val="20"/>
          <w:szCs w:val="20"/>
          <w:color w:val="auto"/>
        </w:rPr>
      </w:pPr>
    </w:p>
    <w:p>
      <w:pPr>
        <w:ind w:left="760" w:right="779" w:firstLine="249"/>
        <w:spacing w:after="0" w:line="283"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6" w:lineRule="exact"/>
        <w:rPr>
          <w:sz w:val="20"/>
          <w:szCs w:val="20"/>
          <w:color w:val="auto"/>
        </w:rPr>
      </w:pPr>
    </w:p>
    <w:p>
      <w:pPr>
        <w:ind w:left="760" w:right="879" w:firstLine="249"/>
        <w:spacing w:after="0" w:line="25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 RSM US LLP</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9019"/>
          </w:cols>
          <w:pgMar w:left="1440" w:top="572" w:right="1440" w:bottom="1440" w:gutter="0" w:footer="0" w:header="0"/>
        </w:sectPr>
      </w:pPr>
    </w:p>
    <w:bookmarkStart w:id="164" w:name="page165"/>
    <w:bookmarkEnd w:id="16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117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01945" cy="711708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560" w:type="dxa"/>
            <w:vAlign w:val="bottom"/>
          </w:tcPr>
          <w:p>
            <w:pPr>
              <w:spacing w:after="0"/>
              <w:rPr>
                <w:sz w:val="10"/>
                <w:szCs w:val="10"/>
                <w:color w:val="auto"/>
              </w:rPr>
            </w:pPr>
          </w:p>
        </w:tc>
        <w:tc>
          <w:tcPr>
            <w:tcW w:w="280" w:type="dxa"/>
            <w:vAlign w:val="bottom"/>
            <w:gridSpan w:val="2"/>
          </w:tcPr>
          <w:p>
            <w:pPr>
              <w:jc w:val="right"/>
              <w:ind w:right="7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340" w:type="dxa"/>
            <w:vAlign w:val="bottom"/>
            <w:gridSpan w:val="2"/>
          </w:tcPr>
          <w:p>
            <w:pPr>
              <w:jc w:val="right"/>
              <w:ind w:right="11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251"/>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28,891</w:t>
            </w:r>
          </w:p>
        </w:tc>
        <w:tc>
          <w:tcPr>
            <w:tcW w:w="36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Receivables under collaboration agreements (includes $1,000 and $581 as related party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Prepaid expenses and other current assets (includes $1,110 and $0 as related party as of December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31, 2025, and 2024, respectively)</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32,891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49,638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non-current assets (related party)</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62,784</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116,033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LIABILITIES, REDEEMABLE CONVERTIBLE PREFERRED STOCK &amp;</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Accounts payable (includes $190 and $0 as related party, as of December 31, 2025, and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2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3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lease liabilities, current portion</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5,079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4,419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Financing lease liabilities, net of current portion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promissory notes - related parties, at fair value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Warrant liabilities for Series B-1 and Series D redeemable convertible preferred stock (includes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$2,770 and $1,471 to related parties as of December 31, 2025, and 2024, respectively)</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34,526</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22,877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Commitments and contingencies (Note 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 (Note 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Series A-1 redeemable convertible preferred stock, $0.0001 par value; 1,234,568 shares authorized,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issued and outstanding as of December 31, 2025, and 2024. Liquidation preference of $3,000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December 31, 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Series A-2 redeemable convertible preferred stock, $0.0001 par value; 2,362,204 shares authorized,</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issued and outstanding as of December 31, 2025, and 2024. Liquidation preference of $6,000 as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 December 31, 2025.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Series B-1 redeemable convertible preferred stock, $0.0001 par value; 2,738,469 shares authorized;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2,718,539 shares issued and outstanding as of December 31, 2025, and 2024 Liquidation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preference of $22,166 as of December 31, 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Series C-1 redeemable convertible preferred stock, $0.0001 par value; 3,570,724 shares authorized,</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issued and outstanding as of December 31, 2025, and 2024. Liquidation preference of $28,423 as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 December 31, 2025.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Series C-2 redeemable convertible preferred stock, $0.0001 par value; 2,513,698 shares authorized,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issued and outstanding as of December 31, 2025, and 2024. Liquidation preference of $26,857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 December 31, 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9019"/>
          </w:cols>
          <w:pgMar w:left="1440" w:top="572" w:right="1440" w:bottom="1440" w:gutter="0" w:footer="0" w:header="0"/>
        </w:sectPr>
      </w:pPr>
    </w:p>
    <w:bookmarkStart w:id="165" w:name="page166"/>
    <w:bookmarkEnd w:id="16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 (Continued)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4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15"/>
        </w:trPr>
        <w:tc>
          <w:tcPr>
            <w:tcW w:w="5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3"/>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tcBorders>
            <w:gridSpan w:val="3"/>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29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w w:val="99"/>
              </w:rPr>
              <w:t>Series D redeemable convertible preferred stock, $0.0001 par value; 7,625,734 shares authorized;</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5,950,204 shares issued and outstanding as of December 31, 2025, and 2024. Liquidation</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preference of $202,385 as of December 31, 2025.</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192,185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redeemable convertible preferred stock</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249,652</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249,652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 deficit: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4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Common stock, $0.0001 par value; 32,000,000 shares authorized as of December 31, 2025, and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 5,039,438 and 5,016,051 shares issued and outstanding as of December 31, 2025, and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 respectively.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Treasury stock, at cost; 108,466 shares as of December 31, 2025, and 2024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 stockholders’ deficit</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(221,394)</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(156,496)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TOTAL LIABILITIES, REDEEMABLE CONVERTIBLE PREFERRED STOCK &amp;</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62,784</w:t>
            </w:r>
          </w:p>
        </w:tc>
        <w:tc>
          <w:tcPr>
            <w:tcW w:w="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116,033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3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9019"/>
          </w:cols>
          <w:pgMar w:left="1440" w:top="571" w:right="1440" w:bottom="1440" w:gutter="0" w:footer="0" w:header="0"/>
        </w:sectPr>
      </w:pPr>
    </w:p>
    <w:bookmarkStart w:id="166" w:name="page167"/>
    <w:bookmarkEnd w:id="16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7" w:lineRule="exact"/>
        <w:rPr>
          <w:sz w:val="20"/>
          <w:szCs w:val="20"/>
          <w:color w:val="auto"/>
        </w:rPr>
      </w:pPr>
    </w:p>
    <w:tbl>
      <w:tblPr>
        <w:tblLayout w:type="fixed"/>
        <w:tblInd w:w="760" w:type="dxa"/>
        <w:tblCellMar>
          <w:top w:w="0" w:type="dxa"/>
          <w:left w:w="0" w:type="dxa"/>
          <w:bottom w:w="0" w:type="dxa"/>
          <w:right w:w="0" w:type="dxa"/>
        </w:tblCellMar>
      </w:tblPr>
      <w:tr>
        <w:trPr>
          <w:trHeight w:val="115"/>
        </w:trPr>
        <w:tc>
          <w:tcPr>
            <w:tcW w:w="5720" w:type="dxa"/>
            <w:vAlign w:val="bottom"/>
          </w:tcPr>
          <w:p>
            <w:pPr>
              <w:ind w:left="56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3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tcBorders>
            <w:gridSpan w:val="2"/>
          </w:tcPr>
          <w:p>
            <w:pPr>
              <w:jc w:val="right"/>
              <w:ind w:right="71"/>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7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Research and development, net (includes $405 and $3,389 of related party research and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reimbursement, net, during the years ended December 31, 2025, and 2024,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231F20"/>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(24,323)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(31,809)</w:t>
            </w:r>
          </w:p>
        </w:tc>
        <w:tc>
          <w:tcPr>
            <w:tcW w:w="0" w:type="dxa"/>
            <w:vAlign w:val="bottom"/>
          </w:tcPr>
          <w:p>
            <w:pPr>
              <w:spacing w:after="0"/>
              <w:rPr>
                <w:sz w:val="1"/>
                <w:szCs w:val="1"/>
                <w:color w:val="auto"/>
              </w:rPr>
            </w:pPr>
          </w:p>
        </w:tc>
      </w:tr>
      <w:tr>
        <w:trPr>
          <w:trHeight w:val="151"/>
        </w:trPr>
        <w:tc>
          <w:tcPr>
            <w:tcW w:w="57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Selling, general and administrative (includes $190 and $2,820 of related party expenses, during the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years ended December 31, 2025, and 2024, respectively)</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(22,202)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(24,711)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on impairment and lease termination</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(17,063)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(63,588)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(56,520)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 net: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related to issuance of convertible promissory notes - related parties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convertible promissory notes - related parties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Change in fair value of warrant liabilities (includes related party loss of $1,736 and gain of $407</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during the years ended December 31, 2025, and 2024, respectively)</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(expenses) income, net</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other (expenses) income, net</w:t>
            </w: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(10,257)</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2,176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2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Loss before provision for income taxes</w:t>
            </w:r>
          </w:p>
        </w:tc>
        <w:tc>
          <w:tcPr>
            <w:tcW w:w="14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(73,845)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(54,344)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2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(73,845)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(54,344)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72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Net loss attributable to common stockholders - basic and diluted (Note 13)</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(73,845)</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(54,344)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4"/>
                <w:szCs w:val="14"/>
                <w:color w:val="auto"/>
              </w:rPr>
              <w:t>Net loss per share attributable to common stockholders - basic and diluted (Note 13)</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(14.69)</w:t>
            </w:r>
          </w:p>
        </w:tc>
        <w:tc>
          <w:tcPr>
            <w:tcW w:w="1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(10.85)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72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Weighted-average common stock outstanding - basic and diluted (Note 13)</w:t>
            </w: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5,026,704</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5,009,250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9019"/>
          </w:cols>
          <w:pgMar w:left="1440" w:top="572" w:right="1440" w:bottom="1440" w:gutter="0" w:footer="0" w:header="0"/>
        </w:sectPr>
      </w:pPr>
    </w:p>
    <w:bookmarkStart w:id="167" w:name="page168"/>
    <w:bookmarkEnd w:id="16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740" w:type="dxa"/>
            <w:vAlign w:val="bottom"/>
          </w:tcPr>
          <w:p>
            <w:pPr>
              <w:ind w:left="566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162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5"/>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top w:val="single" w:sz="8" w:color="auto"/>
            </w:tcBorders>
            <w:gridSpan w:val="2"/>
          </w:tcPr>
          <w:p>
            <w:pPr>
              <w:jc w:val="right"/>
              <w:ind w:right="12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7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(73,845)</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(54,344)</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4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Other comprehensive loss, net of tax</w:t>
            </w: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(521)</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4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(74,366)</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(54,381)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loss attributable to stockholders</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74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(74,366)</w:t>
            </w:r>
          </w:p>
        </w:tc>
        <w:tc>
          <w:tcPr>
            <w:tcW w:w="18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(54,381)</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9019"/>
          </w:cols>
          <w:pgMar w:left="1440" w:top="571" w:right="1440" w:bottom="1440" w:gutter="0" w:footer="0" w:header="0"/>
        </w:sectPr>
      </w:pPr>
    </w:p>
    <w:bookmarkStart w:id="168" w:name="page169"/>
    <w:bookmarkEnd w:id="16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STOCK AND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115"/>
        </w:trPr>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REDEEMABLE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4"/>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CONVERTIBLE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ACCUMULATED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4"/>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PREFERRED STOCK</w:t>
            </w:r>
          </w:p>
        </w:tc>
        <w:tc>
          <w:tcPr>
            <w:tcW w:w="100" w:type="dxa"/>
            <w:vAlign w:val="bottom"/>
          </w:tcPr>
          <w:p>
            <w:pPr>
              <w:spacing w:after="0"/>
              <w:rPr>
                <w:sz w:val="9"/>
                <w:szCs w:val="9"/>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100" w:type="dxa"/>
            <w:vAlign w:val="bottom"/>
          </w:tcPr>
          <w:p>
            <w:pPr>
              <w:spacing w:after="0"/>
              <w:rPr>
                <w:sz w:val="9"/>
                <w:szCs w:val="9"/>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ADDITIONAL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9"/>
                <w:szCs w:val="9"/>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TREASURY</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$0.0001 PAR VALUE</w:t>
            </w:r>
          </w:p>
        </w:tc>
        <w:tc>
          <w:tcPr>
            <w:tcW w:w="100" w:type="dxa"/>
            <w:vAlign w:val="bottom"/>
          </w:tcPr>
          <w:p>
            <w:pPr>
              <w:spacing w:after="0"/>
              <w:rPr>
                <w:sz w:val="10"/>
                <w:szCs w:val="10"/>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$0.0001 PAR VALUE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2"/>
              </w:rPr>
              <w:t>PAID-IN</w:t>
            </w:r>
          </w:p>
        </w:tc>
        <w:tc>
          <w:tcPr>
            <w:tcW w:w="100" w:type="dxa"/>
            <w:vAlign w:val="bottom"/>
          </w:tcPr>
          <w:p>
            <w:pPr>
              <w:spacing w:after="0"/>
              <w:rPr>
                <w:sz w:val="10"/>
                <w:szCs w:val="1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7"/>
              </w:rPr>
              <w:t>ACCUMULATED</w:t>
            </w:r>
          </w:p>
        </w:tc>
        <w:tc>
          <w:tcPr>
            <w:tcW w:w="60" w:type="dxa"/>
            <w:vAlign w:val="bottom"/>
          </w:tcPr>
          <w:p>
            <w:pPr>
              <w:spacing w:after="0"/>
              <w:rPr>
                <w:sz w:val="10"/>
                <w:szCs w:val="10"/>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0" w:type="dxa"/>
            <w:vAlign w:val="bottom"/>
          </w:tcPr>
          <w:p>
            <w:pPr>
              <w:spacing w:after="0"/>
              <w:rPr>
                <w:sz w:val="10"/>
                <w:szCs w:val="1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STOCKHOLDERS’</w:t>
            </w:r>
          </w:p>
        </w:tc>
        <w:tc>
          <w:tcPr>
            <w:tcW w:w="0" w:type="dxa"/>
            <w:vAlign w:val="bottom"/>
          </w:tcPr>
          <w:p>
            <w:pPr>
              <w:spacing w:after="0"/>
              <w:rPr>
                <w:sz w:val="1"/>
                <w:szCs w:val="1"/>
                <w:color w:val="auto"/>
              </w:rPr>
            </w:pPr>
          </w:p>
        </w:tc>
      </w:tr>
      <w:tr>
        <w:trPr>
          <w:trHeight w:val="94"/>
        </w:trPr>
        <w:tc>
          <w:tcPr>
            <w:tcW w:w="820" w:type="dxa"/>
            <w:vAlign w:val="bottom"/>
            <w:gridSpan w:val="2"/>
          </w:tcPr>
          <w:p>
            <w:pPr>
              <w:ind w:left="720"/>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Pr>
          <w:p>
            <w:pPr>
              <w:jc w:val="right"/>
              <w:ind w:right="32"/>
              <w:spacing w:after="0" w:line="94" w:lineRule="exact"/>
              <w:rPr>
                <w:sz w:val="20"/>
                <w:szCs w:val="20"/>
                <w:color w:val="auto"/>
              </w:rPr>
            </w:pPr>
            <w:r>
              <w:rPr>
                <w:rFonts w:ascii="Times New Roman" w:cs="Times New Roman" w:eastAsia="Times New Roman" w:hAnsi="Times New Roman"/>
                <w:sz w:val="10"/>
                <w:szCs w:val="10"/>
                <w:b w:val="1"/>
                <w:bCs w:val="1"/>
                <w:color w:val="auto"/>
                <w:w w:val="99"/>
              </w:rPr>
              <w:t>SHARES</w:t>
            </w:r>
          </w:p>
        </w:tc>
        <w:tc>
          <w:tcPr>
            <w:tcW w:w="60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tcPr>
          <w:p>
            <w:pPr>
              <w:jc w:val="right"/>
              <w:ind w:right="12"/>
              <w:spacing w:after="0" w:line="94" w:lineRule="exact"/>
              <w:rPr>
                <w:sz w:val="20"/>
                <w:szCs w:val="20"/>
                <w:color w:val="auto"/>
              </w:rPr>
            </w:pPr>
            <w:r>
              <w:rPr>
                <w:rFonts w:ascii="Times New Roman" w:cs="Times New Roman" w:eastAsia="Times New Roman" w:hAnsi="Times New Roman"/>
                <w:sz w:val="10"/>
                <w:szCs w:val="10"/>
                <w:b w:val="1"/>
                <w:bCs w:val="1"/>
                <w:color w:val="auto"/>
              </w:rPr>
              <w:t>​​​ SHARES</w:t>
            </w:r>
          </w:p>
        </w:tc>
        <w:tc>
          <w:tcPr>
            <w:tcW w:w="560" w:type="dxa"/>
            <w:vAlign w:val="bottom"/>
            <w:gridSpan w:val="3"/>
          </w:tcPr>
          <w:p>
            <w:pPr>
              <w:ind w:left="60"/>
              <w:spacing w:after="0" w:line="94" w:lineRule="exact"/>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center"/>
              <w:ind w:right="32"/>
              <w:spacing w:after="0" w:line="94" w:lineRule="exact"/>
              <w:rPr>
                <w:sz w:val="20"/>
                <w:szCs w:val="20"/>
                <w:color w:val="auto"/>
              </w:rPr>
            </w:pPr>
            <w:r>
              <w:rPr>
                <w:rFonts w:ascii="Times New Roman" w:cs="Times New Roman" w:eastAsia="Times New Roman" w:hAnsi="Times New Roman"/>
                <w:sz w:val="10"/>
                <w:szCs w:val="10"/>
                <w:b w:val="1"/>
                <w:bCs w:val="1"/>
                <w:color w:val="auto"/>
                <w:w w:val="97"/>
              </w:rPr>
              <w:t>CAPITAL</w:t>
            </w:r>
          </w:p>
        </w:tc>
        <w:tc>
          <w:tcPr>
            <w:tcW w:w="220" w:type="dxa"/>
            <w:vAlign w:val="bottom"/>
            <w:gridSpan w:val="2"/>
          </w:tcPr>
          <w:p>
            <w:pPr>
              <w:jc w:val="right"/>
              <w:ind w:right="52"/>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tcPr>
          <w:p>
            <w:pPr>
              <w:ind w:left="100"/>
              <w:spacing w:after="0" w:line="94"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tcPr>
          <w:p>
            <w:pPr>
              <w:jc w:val="center"/>
              <w:ind w:right="100"/>
              <w:spacing w:after="0" w:line="94" w:lineRule="exact"/>
              <w:rPr>
                <w:sz w:val="20"/>
                <w:szCs w:val="20"/>
                <w:color w:val="auto"/>
              </w:rPr>
            </w:pPr>
            <w:r>
              <w:rPr>
                <w:rFonts w:ascii="Times New Roman" w:cs="Times New Roman" w:eastAsia="Times New Roman" w:hAnsi="Times New Roman"/>
                <w:sz w:val="10"/>
                <w:szCs w:val="10"/>
                <w:b w:val="1"/>
                <w:bCs w:val="1"/>
                <w:color w:val="auto"/>
                <w:w w:val="96"/>
              </w:rPr>
              <w:t>INCOME (LOSS)</w:t>
            </w:r>
          </w:p>
        </w:tc>
        <w:tc>
          <w:tcPr>
            <w:tcW w:w="660" w:type="dxa"/>
            <w:vAlign w:val="bottom"/>
            <w:gridSpan w:val="4"/>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 AT COST</w:t>
            </w:r>
          </w:p>
        </w:tc>
        <w:tc>
          <w:tcPr>
            <w:tcW w:w="220" w:type="dxa"/>
            <w:vAlign w:val="bottom"/>
            <w:gridSpan w:val="2"/>
          </w:tcPr>
          <w:p>
            <w:pPr>
              <w:jc w:val="right"/>
              <w:ind w:right="72"/>
              <w:spacing w:after="0" w:line="94"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center"/>
              <w:ind w:right="112"/>
              <w:spacing w:after="0" w:line="94" w:lineRule="exact"/>
              <w:rPr>
                <w:sz w:val="20"/>
                <w:szCs w:val="20"/>
                <w:color w:val="auto"/>
              </w:rPr>
            </w:pPr>
            <w:r>
              <w:rPr>
                <w:rFonts w:ascii="Times New Roman" w:cs="Times New Roman" w:eastAsia="Times New Roman" w:hAnsi="Times New Roman"/>
                <w:sz w:val="10"/>
                <w:szCs w:val="10"/>
                <w:b w:val="1"/>
                <w:bCs w:val="1"/>
                <w:color w:val="auto"/>
                <w:w w:val="95"/>
              </w:rPr>
              <w:t>DEFICIT</w:t>
            </w:r>
          </w:p>
        </w:tc>
        <w:tc>
          <w:tcPr>
            <w:tcW w:w="0" w:type="dxa"/>
            <w:vAlign w:val="bottom"/>
          </w:tcPr>
          <w:p>
            <w:pPr>
              <w:spacing w:after="0"/>
              <w:rPr>
                <w:sz w:val="1"/>
                <w:szCs w:val="1"/>
                <w:color w:val="auto"/>
              </w:rPr>
            </w:pPr>
          </w:p>
        </w:tc>
      </w:tr>
      <w:tr>
        <w:trPr>
          <w:trHeight w:val="100"/>
        </w:trPr>
        <w:tc>
          <w:tcPr>
            <w:tcW w:w="76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w:t>
            </w: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20" w:type="dxa"/>
            <w:vAlign w:val="bottom"/>
            <w:gridSpan w:val="2"/>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31, 2023</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18,349,937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249,652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5,006,697</w:t>
            </w:r>
          </w:p>
        </w:tc>
        <w:tc>
          <w:tcPr>
            <w:tcW w:w="3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16,055</w:t>
            </w: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(127,387)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113</w:t>
            </w:r>
          </w:p>
        </w:tc>
        <w:tc>
          <w:tcPr>
            <w:tcW w:w="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shd w:val="clear" w:color="auto" w:fill="CCEEFF"/>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5"/>
              </w:rPr>
              <w:t>(34)</w:t>
            </w:r>
          </w:p>
        </w:tc>
        <w:tc>
          <w:tcPr>
            <w:tcW w:w="2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(111,253)</w:t>
            </w:r>
          </w:p>
        </w:tc>
        <w:tc>
          <w:tcPr>
            <w:tcW w:w="0" w:type="dxa"/>
            <w:vAlign w:val="bottom"/>
          </w:tcPr>
          <w:p>
            <w:pPr>
              <w:spacing w:after="0"/>
              <w:rPr>
                <w:sz w:val="1"/>
                <w:szCs w:val="1"/>
                <w:color w:val="auto"/>
              </w:rPr>
            </w:pPr>
          </w:p>
        </w:tc>
      </w:tr>
      <w:tr>
        <w:trPr>
          <w:trHeight w:val="111"/>
        </w:trPr>
        <w:tc>
          <w:tcPr>
            <w:tcW w:w="82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Issuance from</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stock option</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9,354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11"/>
        </w:trPr>
        <w:tc>
          <w:tcPr>
            <w:tcW w:w="8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Stock based</w:t>
            </w: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9,125</w:t>
            </w:r>
          </w:p>
        </w:tc>
        <w:tc>
          <w:tcPr>
            <w:tcW w:w="0" w:type="dxa"/>
            <w:vAlign w:val="bottom"/>
          </w:tcPr>
          <w:p>
            <w:pPr>
              <w:spacing w:after="0"/>
              <w:rPr>
                <w:sz w:val="1"/>
                <w:szCs w:val="1"/>
                <w:color w:val="auto"/>
              </w:rPr>
            </w:pPr>
          </w:p>
        </w:tc>
      </w:tr>
      <w:tr>
        <w:trPr>
          <w:trHeight w:val="122"/>
        </w:trPr>
        <w:tc>
          <w:tcPr>
            <w:tcW w:w="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Foreign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translation</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14"/>
        </w:trPr>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(54,344)</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(54,344)</w:t>
            </w:r>
          </w:p>
        </w:tc>
        <w:tc>
          <w:tcPr>
            <w:tcW w:w="0" w:type="dxa"/>
            <w:vAlign w:val="bottom"/>
          </w:tcPr>
          <w:p>
            <w:pPr>
              <w:spacing w:after="0"/>
              <w:rPr>
                <w:sz w:val="1"/>
                <w:szCs w:val="1"/>
                <w:color w:val="auto"/>
              </w:rPr>
            </w:pPr>
          </w:p>
        </w:tc>
      </w:tr>
      <w:tr>
        <w:trPr>
          <w:trHeight w:val="89"/>
        </w:trPr>
        <w:tc>
          <w:tcPr>
            <w:tcW w:w="76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BALANCE,</w:t>
            </w: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31, 2024</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18,349,937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249,652</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5,016,051</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25,193</w:t>
            </w: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(181,731)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76</w:t>
            </w:r>
          </w:p>
        </w:tc>
        <w:tc>
          <w:tcPr>
            <w:tcW w:w="2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5"/>
              </w:rPr>
              <w:t>(34)</w:t>
            </w:r>
          </w:p>
        </w:tc>
        <w:tc>
          <w:tcPr>
            <w:tcW w:w="22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(156,496)</w:t>
            </w:r>
          </w:p>
        </w:tc>
        <w:tc>
          <w:tcPr>
            <w:tcW w:w="0" w:type="dxa"/>
            <w:vAlign w:val="bottom"/>
          </w:tcPr>
          <w:p>
            <w:pPr>
              <w:spacing w:after="0"/>
              <w:rPr>
                <w:sz w:val="1"/>
                <w:szCs w:val="1"/>
                <w:color w:val="auto"/>
              </w:rPr>
            </w:pPr>
          </w:p>
        </w:tc>
      </w:tr>
      <w:tr>
        <w:trPr>
          <w:trHeight w:val="72"/>
        </w:trPr>
        <w:tc>
          <w:tcPr>
            <w:tcW w:w="760" w:type="dxa"/>
            <w:vAlign w:val="bottom"/>
            <w:tcBorders>
              <w:top w:val="single" w:sz="8" w:color="CCEEFF"/>
            </w:tcBorders>
            <w:shd w:val="clear" w:color="auto" w:fill="CCEEFF"/>
          </w:tcPr>
          <w:p>
            <w:pPr>
              <w:spacing w:after="0" w:line="73" w:lineRule="exact"/>
              <w:rPr>
                <w:sz w:val="20"/>
                <w:szCs w:val="20"/>
                <w:color w:val="auto"/>
              </w:rPr>
            </w:pPr>
            <w:r>
              <w:rPr>
                <w:rFonts w:ascii="Times New Roman" w:cs="Times New Roman" w:eastAsia="Times New Roman" w:hAnsi="Times New Roman"/>
                <w:sz w:val="8"/>
                <w:szCs w:val="8"/>
                <w:color w:val="auto"/>
              </w:rPr>
              <w:t>Issuance from</w:t>
            </w:r>
          </w:p>
        </w:tc>
        <w:tc>
          <w:tcPr>
            <w:tcW w:w="6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20" w:type="dxa"/>
            <w:vAlign w:val="bottom"/>
            <w:gridSpan w:val="2"/>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stock option</w:t>
            </w: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5,477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0" w:type="dxa"/>
            <w:vAlign w:val="bottom"/>
          </w:tcPr>
          <w:p>
            <w:pPr>
              <w:spacing w:after="0"/>
              <w:rPr>
                <w:sz w:val="1"/>
                <w:szCs w:val="1"/>
                <w:color w:val="auto"/>
              </w:rPr>
            </w:pPr>
          </w:p>
        </w:tc>
      </w:tr>
      <w:tr>
        <w:trPr>
          <w:trHeight w:val="111"/>
        </w:trPr>
        <w:tc>
          <w:tcPr>
            <w:tcW w:w="82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Issuance from</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vesting of</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RSAs</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17,910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1"/>
        </w:trPr>
        <w:tc>
          <w:tcPr>
            <w:tcW w:w="8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Stock based</w:t>
            </w: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9,449</w:t>
            </w:r>
          </w:p>
        </w:tc>
        <w:tc>
          <w:tcPr>
            <w:tcW w:w="0" w:type="dxa"/>
            <w:vAlign w:val="bottom"/>
          </w:tcPr>
          <w:p>
            <w:pPr>
              <w:spacing w:after="0"/>
              <w:rPr>
                <w:sz w:val="1"/>
                <w:szCs w:val="1"/>
                <w:color w:val="auto"/>
              </w:rPr>
            </w:pPr>
          </w:p>
        </w:tc>
      </w:tr>
      <w:tr>
        <w:trPr>
          <w:trHeight w:val="122"/>
        </w:trPr>
        <w:tc>
          <w:tcPr>
            <w:tcW w:w="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Foreign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translation</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left="232"/>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14"/>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(73,845)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0"/>
                <w:szCs w:val="10"/>
                <w:color w:val="auto"/>
                <w:w w:val="99"/>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(73,845)</w:t>
            </w:r>
          </w:p>
        </w:tc>
        <w:tc>
          <w:tcPr>
            <w:tcW w:w="0" w:type="dxa"/>
            <w:vAlign w:val="bottom"/>
          </w:tcPr>
          <w:p>
            <w:pPr>
              <w:spacing w:after="0"/>
              <w:rPr>
                <w:sz w:val="1"/>
                <w:szCs w:val="1"/>
                <w:color w:val="auto"/>
              </w:rPr>
            </w:pPr>
          </w:p>
        </w:tc>
      </w:tr>
      <w:tr>
        <w:trPr>
          <w:trHeight w:val="110"/>
        </w:trPr>
        <w:tc>
          <w:tcPr>
            <w:tcW w:w="82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BALANCE,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18,349,937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249,652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5,039,438</w:t>
            </w:r>
          </w:p>
        </w:tc>
        <w:tc>
          <w:tcPr>
            <w:tcW w:w="30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34,661</w:t>
            </w:r>
          </w:p>
        </w:tc>
        <w:tc>
          <w:tcPr>
            <w:tcW w:w="2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(255,576)</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(445)</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5"/>
              </w:rPr>
              <w:t>(34)</w:t>
            </w:r>
          </w:p>
        </w:tc>
        <w:tc>
          <w:tcPr>
            <w:tcW w:w="2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(221,394)</w:t>
            </w:r>
          </w:p>
        </w:tc>
        <w:tc>
          <w:tcPr>
            <w:tcW w:w="0" w:type="dxa"/>
            <w:vAlign w:val="bottom"/>
          </w:tcPr>
          <w:p>
            <w:pPr>
              <w:spacing w:after="0"/>
              <w:rPr>
                <w:sz w:val="1"/>
                <w:szCs w:val="1"/>
                <w:color w:val="auto"/>
              </w:rPr>
            </w:pPr>
          </w:p>
        </w:tc>
      </w:tr>
      <w:tr>
        <w:trPr>
          <w:trHeight w:val="109"/>
        </w:trPr>
        <w:tc>
          <w:tcPr>
            <w:tcW w:w="760" w:type="dxa"/>
            <w:vAlign w:val="bottom"/>
          </w:tcPr>
          <w:p>
            <w:pPr>
              <w:ind w:left="100"/>
              <w:spacing w:after="0" w:line="109" w:lineRule="exact"/>
              <w:rPr>
                <w:sz w:val="20"/>
                <w:szCs w:val="20"/>
                <w:color w:val="auto"/>
              </w:rPr>
            </w:pPr>
            <w:r>
              <w:rPr>
                <w:rFonts w:ascii="Times New Roman" w:cs="Times New Roman" w:eastAsia="Times New Roman" w:hAnsi="Times New Roman"/>
                <w:sz w:val="10"/>
                <w:szCs w:val="10"/>
                <w:b w:val="1"/>
                <w:bCs w:val="1"/>
                <w:color w:val="auto"/>
              </w:rPr>
              <w:t>31, 2025</w:t>
            </w: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9019"/>
          </w:cols>
          <w:pgMar w:left="1440" w:top="571" w:right="1440" w:bottom="1440" w:gutter="0" w:footer="0" w:header="0"/>
        </w:sectPr>
      </w:pPr>
    </w:p>
    <w:bookmarkStart w:id="169" w:name="page170"/>
    <w:bookmarkEnd w:id="16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900" w:type="dxa"/>
            <w:vAlign w:val="bottom"/>
          </w:tcPr>
          <w:p>
            <w:pPr>
              <w:ind w:left="58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500" w:type="dxa"/>
            <w:vAlign w:val="bottom"/>
            <w:gridSpan w:val="6"/>
          </w:tcPr>
          <w:p>
            <w:pPr>
              <w:jc w:val="right"/>
              <w:ind w:right="166"/>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0" w:type="dxa"/>
            <w:vAlign w:val="bottom"/>
          </w:tcPr>
          <w:p>
            <w:pPr>
              <w:spacing w:after="0"/>
              <w:rPr>
                <w:sz w:val="1"/>
                <w:szCs w:val="1"/>
                <w:color w:val="auto"/>
              </w:rPr>
            </w:pPr>
          </w:p>
        </w:tc>
      </w:tr>
      <w:tr>
        <w:trPr>
          <w:trHeight w:val="115"/>
        </w:trPr>
        <w:tc>
          <w:tcPr>
            <w:tcW w:w="5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85"/>
              <w:spacing w:after="0" w:line="115" w:lineRule="exact"/>
              <w:rPr>
                <w:sz w:val="20"/>
                <w:szCs w:val="20"/>
                <w:color w:val="auto"/>
              </w:rPr>
            </w:pPr>
            <w:r>
              <w:rPr>
                <w:rFonts w:ascii="Times New Roman" w:cs="Times New Roman" w:eastAsia="Times New Roman" w:hAnsi="Times New Roman"/>
                <w:sz w:val="11"/>
                <w:szCs w:val="11"/>
                <w:b w:val="1"/>
                <w:bCs w:val="1"/>
                <w:color w:val="231F20"/>
              </w:rPr>
              <w:t>2025</w:t>
            </w:r>
          </w:p>
        </w:tc>
        <w:tc>
          <w:tcPr>
            <w:tcW w:w="320" w:type="dxa"/>
            <w:vAlign w:val="bottom"/>
            <w:tcBorders>
              <w:top w:val="single" w:sz="8" w:color="auto"/>
            </w:tcBorders>
            <w:gridSpan w:val="3"/>
          </w:tcPr>
          <w:p>
            <w:pPr>
              <w:ind w:lef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185"/>
              <w:spacing w:after="0" w:line="115" w:lineRule="exact"/>
              <w:rPr>
                <w:sz w:val="20"/>
                <w:szCs w:val="20"/>
                <w:color w:val="auto"/>
              </w:rPr>
            </w:pPr>
            <w:r>
              <w:rPr>
                <w:rFonts w:ascii="Times New Roman" w:cs="Times New Roman" w:eastAsia="Times New Roman" w:hAnsi="Times New Roman"/>
                <w:sz w:val="11"/>
                <w:szCs w:val="11"/>
                <w:b w:val="1"/>
                <w:bCs w:val="1"/>
                <w:color w:val="231F20"/>
              </w:rPr>
              <w:t>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Cash flows from operating activities:</w:t>
            </w: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Net loss</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b w:val="1"/>
                <w:bCs w:val="1"/>
                <w:color w:val="231F20"/>
                <w:w w:val="97"/>
              </w:rPr>
              <w:t>$</w:t>
            </w: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231F20"/>
              </w:rPr>
              <w:t>(73,845)</w:t>
            </w:r>
          </w:p>
        </w:tc>
        <w:tc>
          <w:tcPr>
            <w:tcW w:w="320" w:type="dxa"/>
            <w:vAlign w:val="bottom"/>
            <w:gridSpan w:val="3"/>
          </w:tcPr>
          <w:p>
            <w:pPr>
              <w:jc w:val="right"/>
              <w:ind w:right="58"/>
              <w:spacing w:after="0" w:line="125" w:lineRule="exact"/>
              <w:rPr>
                <w:sz w:val="20"/>
                <w:szCs w:val="20"/>
                <w:color w:val="auto"/>
              </w:rPr>
            </w:pPr>
            <w:r>
              <w:rPr>
                <w:rFonts w:ascii="Times New Roman" w:cs="Times New Roman" w:eastAsia="Times New Roman" w:hAnsi="Times New Roman"/>
                <w:sz w:val="11"/>
                <w:szCs w:val="11"/>
                <w:b w:val="1"/>
                <w:bCs w:val="1"/>
                <w:color w:val="231F20"/>
              </w:rPr>
              <w:t>$</w:t>
            </w: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231F20"/>
              </w:rPr>
              <w:t>(54,344)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Adjustments to reconcile net loss to net cash used in operating activities: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Depreciation and amortization</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6,733</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9,131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Non-cash lease expenses and amortization</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1,194</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1,248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Stock-based compensation</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9,449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9,125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Financing costs related to issuance of convertible promissory notes - related parties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4,608</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Change in fair value of convertible promissory notes - related parties</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4,389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Change in fair value of warrant liability</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2,230</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(488)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Loss on disposal of property and equipment</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123</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100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Loss on impairment and lease termination</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17,063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Unrealized foreign exchange (gain) loss</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(52)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880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Non-cash interest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101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209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Changes in operating assets and liabilities: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Receivables under collaboration agreements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(563)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306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Prepaid expenses and other current assets</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(625)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150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Other non-current assets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(160)</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Accounts payable</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270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(1,626)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Accrued expenses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134</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(688)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00" w:type="dxa"/>
            <w:vAlign w:val="bottom"/>
          </w:tcPr>
          <w:p>
            <w:pPr>
              <w:spacing w:after="0"/>
              <w:rPr>
                <w:sz w:val="20"/>
                <w:szCs w:val="20"/>
                <w:color w:val="auto"/>
              </w:rPr>
            </w:pPr>
            <w:r>
              <w:rPr>
                <w:rFonts w:ascii="Times New Roman" w:cs="Times New Roman" w:eastAsia="Times New Roman" w:hAnsi="Times New Roman"/>
                <w:sz w:val="11"/>
                <w:szCs w:val="11"/>
                <w:color w:val="231F20"/>
              </w:rPr>
              <w:t>Operating lease liabilities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231F20"/>
              </w:rPr>
              <w:t>(1,211)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231F20"/>
              </w:rPr>
              <w:t>(1,213)</w:t>
            </w:r>
          </w:p>
        </w:tc>
        <w:tc>
          <w:tcPr>
            <w:tcW w:w="0" w:type="dxa"/>
            <w:vAlign w:val="bottom"/>
          </w:tcPr>
          <w:p>
            <w:pPr>
              <w:spacing w:after="0"/>
              <w:rPr>
                <w:sz w:val="1"/>
                <w:szCs w:val="1"/>
                <w:color w:val="auto"/>
              </w:rPr>
            </w:pPr>
          </w:p>
        </w:tc>
      </w:tr>
      <w:tr>
        <w:trPr>
          <w:trHeight w:val="115"/>
        </w:trPr>
        <w:tc>
          <w:tcPr>
            <w:tcW w:w="59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Net cash used in operating activities</w:t>
            </w: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(30,162)</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(37,210)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b w:val="1"/>
                <w:bCs w:val="1"/>
                <w:color w:val="231F20"/>
              </w:rPr>
              <w:t>Cash flows from investing activities: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Property and equipment expenditures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(1,049)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Advances on property and equipment</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(45)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(960)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Proceeds from disposal of property and equipment from lease termination</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2,400</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231F20"/>
              </w:rPr>
              <w:t>Proceeds from disposal of property and equipment</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231F20"/>
              </w:rPr>
              <w:t>20</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231F20"/>
              </w:rPr>
              <w:t>106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9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Net cash provided (used) in investing activities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1,326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(1,877)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b w:val="1"/>
                <w:bCs w:val="1"/>
                <w:color w:val="231F20"/>
              </w:rPr>
              <w:t>Cash flows from financing activities: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Proceeds from stock option exercises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Payment for termination of finance lease</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(2,000)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231F20"/>
              </w:rPr>
              <w:t>Principal paid on finance lease liability</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(611)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(829)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231F20"/>
              </w:rPr>
              <w:t>Financing costs related to issuance of convertible promissory notes - related parties</w:t>
            </w:r>
          </w:p>
        </w:tc>
        <w:tc>
          <w:tcPr>
            <w:tcW w:w="1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(108)</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231F20"/>
              </w:rPr>
              <w:t>Proceeds from convertible promissory notes</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10,000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90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Net cash provided (used) in financing activities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7,300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(816)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Effects of exchange rate change on cash, cash equivalents and restricted cash</w:t>
            </w: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(113)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(215)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Net change in cash, cash equivalents and restricted cash</w:t>
            </w:r>
          </w:p>
        </w:tc>
        <w:tc>
          <w:tcPr>
            <w:tcW w:w="12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(21,649)</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(40,118)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231F20"/>
              </w:rPr>
              <w:t>Beginning cash, cash equivalents and restricted cash</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51,421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31F20"/>
              </w:rPr>
              <w:t>91,539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90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231F20"/>
              </w:rPr>
              <w:t>Ending cash, cash equivalents and restricted cash</w:t>
            </w:r>
          </w:p>
        </w:tc>
        <w:tc>
          <w:tcPr>
            <w:tcW w:w="1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b w:val="1"/>
                <w:bCs w:val="1"/>
                <w:color w:val="231F20"/>
                <w:w w:val="97"/>
              </w:rPr>
              <w:t>$</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29,772</w:t>
            </w:r>
          </w:p>
        </w:tc>
        <w:tc>
          <w:tcPr>
            <w:tcW w:w="20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b w:val="1"/>
                <w:bCs w:val="1"/>
                <w:color w:val="231F20"/>
                <w:w w:val="97"/>
              </w:rPr>
              <w:t>$</w:t>
            </w: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51,421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590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Supplemental disclosures:</w:t>
            </w: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Cash paid during the year for: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Interest</w:t>
            </w:r>
          </w:p>
        </w:tc>
        <w:tc>
          <w:tcPr>
            <w:tcW w:w="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231F20"/>
                <w:w w:val="97"/>
              </w:rPr>
              <w:t>$</w:t>
            </w: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873</w:t>
            </w:r>
          </w:p>
        </w:tc>
        <w:tc>
          <w:tcPr>
            <w:tcW w:w="320" w:type="dxa"/>
            <w:vAlign w:val="bottom"/>
            <w:gridSpan w:val="3"/>
            <w:shd w:val="clear" w:color="auto" w:fill="CCEEFF"/>
          </w:tcPr>
          <w:p>
            <w:pPr>
              <w:jc w:val="right"/>
              <w:ind w:right="58"/>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563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Non-cash investing and financing activities: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Purchases of property and equipment included in accrued expenses</w:t>
            </w:r>
          </w:p>
        </w:tc>
        <w:tc>
          <w:tcPr>
            <w:tcW w:w="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231F20"/>
                <w:w w:val="97"/>
              </w:rPr>
              <w:t>$</w:t>
            </w: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320" w:type="dxa"/>
            <w:vAlign w:val="bottom"/>
            <w:gridSpan w:val="3"/>
            <w:shd w:val="clear" w:color="auto" w:fill="CCEEFF"/>
          </w:tcPr>
          <w:p>
            <w:pPr>
              <w:jc w:val="right"/>
              <w:ind w:right="58"/>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608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Financing costs related to issuance of convertible promissory notes - related parties</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231F20"/>
                <w:w w:val="97"/>
              </w:rPr>
              <w:t>$</w:t>
            </w: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4,500</w:t>
            </w:r>
          </w:p>
        </w:tc>
        <w:tc>
          <w:tcPr>
            <w:tcW w:w="320" w:type="dxa"/>
            <w:vAlign w:val="bottom"/>
            <w:gridSpan w:val="3"/>
          </w:tcPr>
          <w:p>
            <w:pPr>
              <w:jc w:val="right"/>
              <w:ind w:right="58"/>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Deferred transaction costs included in accrued expenses</w:t>
            </w:r>
          </w:p>
        </w:tc>
        <w:tc>
          <w:tcPr>
            <w:tcW w:w="1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4"/>
                <w:szCs w:val="4"/>
                <w:color w:val="231F20"/>
                <w:w w:val="97"/>
              </w:rPr>
              <w:t>$</w:t>
            </w:r>
          </w:p>
        </w:tc>
        <w:tc>
          <w:tcPr>
            <w:tcW w:w="5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1,423</w:t>
            </w:r>
          </w:p>
        </w:tc>
        <w:tc>
          <w:tcPr>
            <w:tcW w:w="320" w:type="dxa"/>
            <w:vAlign w:val="bottom"/>
            <w:gridSpan w:val="3"/>
            <w:shd w:val="clear" w:color="auto" w:fill="CCEEFF"/>
          </w:tcPr>
          <w:p>
            <w:pPr>
              <w:jc w:val="right"/>
              <w:ind w:right="58"/>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Finance lease ROU assets and lease liabilities derecognized upon lease termination</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231F20"/>
                <w:w w:val="97"/>
              </w:rPr>
              <w:t>$</w:t>
            </w: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6,101</w:t>
            </w:r>
          </w:p>
        </w:tc>
        <w:tc>
          <w:tcPr>
            <w:tcW w:w="320" w:type="dxa"/>
            <w:vAlign w:val="bottom"/>
            <w:gridSpan w:val="3"/>
          </w:tcPr>
          <w:p>
            <w:pPr>
              <w:jc w:val="right"/>
              <w:ind w:right="58"/>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231F20"/>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231F20"/>
              </w:rPr>
              <w:t>The following table presents the Company’s cash, cash equivalents and restricted cash by category in the Company’s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231F20"/>
              </w:rPr>
              <w:t>Consolidated Balance Sheets: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590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28,891</w:t>
            </w:r>
          </w:p>
        </w:tc>
        <w:tc>
          <w:tcPr>
            <w:tcW w:w="320" w:type="dxa"/>
            <w:vAlign w:val="bottom"/>
            <w:gridSpan w:val="3"/>
          </w:tcPr>
          <w:p>
            <w:pPr>
              <w:jc w:val="right"/>
              <w:ind w:right="58"/>
              <w:spacing w:after="0" w:line="12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48,252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9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29,772</w:t>
            </w:r>
          </w:p>
        </w:tc>
        <w:tc>
          <w:tcPr>
            <w:tcW w:w="200" w:type="dxa"/>
            <w:vAlign w:val="bottom"/>
            <w:gridSpan w:val="2"/>
          </w:tcPr>
          <w:p>
            <w:pPr>
              <w:spacing w:after="0"/>
              <w:rPr>
                <w:sz w:val="10"/>
                <w:szCs w:val="10"/>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51,421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9019"/>
          </w:cols>
          <w:pgMar w:left="1440" w:top="572" w:right="1440" w:bottom="1440" w:gutter="0" w:footer="0" w:header="0"/>
        </w:sectPr>
      </w:pPr>
    </w:p>
    <w:bookmarkStart w:id="170" w:name="page171"/>
    <w:bookmarkEnd w:id="17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173" w:lineRule="exact"/>
        <w:rPr>
          <w:sz w:val="20"/>
          <w:szCs w:val="20"/>
          <w:color w:val="auto"/>
        </w:rPr>
      </w:pPr>
    </w:p>
    <w:p>
      <w:pPr>
        <w:ind w:left="760" w:right="859" w:firstLine="249"/>
        <w:spacing w:after="0" w:line="271" w:lineRule="auto"/>
        <w:rPr>
          <w:sz w:val="20"/>
          <w:szCs w:val="20"/>
          <w:color w:val="auto"/>
        </w:rPr>
      </w:pPr>
      <w:r>
        <w:rPr>
          <w:rFonts w:ascii="Times New Roman" w:cs="Times New Roman" w:eastAsia="Times New Roman" w:hAnsi="Times New Roman"/>
          <w:sz w:val="13"/>
          <w:szCs w:val="13"/>
          <w:color w:val="auto"/>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 As of December 31, 2025, the Company had four wholly owned subsidiaries: Factorial Security Corporation, which was formed under the laws of the Commonwealth of Massachusetts in December 2021 as a Massachusetts security corporation; Factorial Korea Ltd., which was formed in Korea in April 2022; Factorial Germany GmbH, which was formed in Germany in April 2022; Factorial Japan KK was formed in Japan in July 2022. Factorial Korea Ltd. is a manufacturing facility, while Factorial Germany GmbH is a sales office. On December 9, 2025, the Company initiated the official dissolution process for Factorial Japan KK. The dissolution notice was published in the Official Gazette dated December 24, 2025. The completion of liquidation can be registered two months after the publication of this notice and is yet to be completed as of the issuance of the 2025 financial statements and the entity financial results are included in the consolidated financial results. As of December 31, 2025, the Company has not derived revenue from its principal business activities.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173" w:lineRule="exact"/>
        <w:rPr>
          <w:sz w:val="20"/>
          <w:szCs w:val="20"/>
          <w:color w:val="auto"/>
        </w:rPr>
      </w:pPr>
    </w:p>
    <w:p>
      <w:pPr>
        <w:ind w:left="760" w:right="839" w:firstLine="249"/>
        <w:spacing w:after="0" w:line="250" w:lineRule="auto"/>
        <w:rPr>
          <w:sz w:val="20"/>
          <w:szCs w:val="20"/>
          <w:color w:val="auto"/>
        </w:rPr>
      </w:pPr>
      <w:r>
        <w:rPr>
          <w:rFonts w:ascii="Times New Roman" w:cs="Times New Roman" w:eastAsia="Times New Roman" w:hAnsi="Times New Roman"/>
          <w:sz w:val="14"/>
          <w:szCs w:val="14"/>
          <w:color w:val="auto"/>
        </w:rPr>
        <w:t>Since its inception, the Company has devoted its efforts principally to research and development activities. The Company is subject to risks and uncertainties common to pre-revenue companies in the clean energy industry, including, but not limited to, the successful development, commercialization and marketing of products, fluctuations in operating results and financial risks, fluctuations in foreign exchange, protection of proprietary knowledge and patent risks, supply chain risks, dependence on key personnel, competition, technological risks, vulnerability to cyber-attacks, customer demand, compliance with governmental regulations and management of organizational and expense growth. Current and future technology programs will require significant research and development efforts, including testing of our constituent materials and designed parts, manufacturing process development and investment in additional plant and equipment for product development, and building prototypes and testing of our battery cells, prior to commercialization of our products. Even if proved commercially viable, we must engage original equipment manufacturers (“OEMs”) to develop products incorporating our SSB technologies and manufactured battery components. Additional discussion of our efforts to engage interested parties in evaluating our future products is provided under the Collaboration Arrangements heading of Note 2 - Summary of Significant Accounting Policies. These efforts will require significant amounts of additional capital and adequate personnel and infrastructure. Even if the Company’s development efforts are successful, it is uncertain when, if ever, the Company will realize significant revenue from product sales.</w:t>
      </w:r>
    </w:p>
    <w:p>
      <w:pPr>
        <w:spacing w:after="0" w:line="146"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As of December 31, 2025, the Company had approximately $28,891 of cash and cash equivalents and $881 in restricted cash. The Company has a relatively limited operating history, and the revenue and income potential of the Company’s business and market are unproven. The Company has experienced net losses and negative cash flows from operations since its inception and, as of December 31, 2025, the Company had an accumulated deficit of $255,576. During the year ended December 31, 2025, the Company incurred a net loss of $73,845 and had cash used in operations of $30,162. The Company expects it will continue to incur significant costs including research and development expenses related to its ongoing operations until it successfully develops a commercial product and achieves revenues adequately to support the Company’s operations.</w:t>
      </w:r>
    </w:p>
    <w:p>
      <w:pPr>
        <w:spacing w:after="0" w:line="14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From inception to December 31, 2025, the Company has funded its operations primarily with proceeds from the sale of convertible preferred stock and common stock, as well as through funding from its joint development agreements (“JDAs”). Based on its current operating plan, the Company estimates that its cash and cash equivalents as of the issuance of these financial statements will be sufficient to fund its operating expenses and capital expenditure requirements into the fourth quarter of 2026. The Company has based this estimate on assumptions that may prove to be wrong and could deplete its liquid resources sooner than it currently expects. The Company’s liquid resources may not be sufficient to fund operations through at least the next twelve months from the date that these consolidated financial statements are issued based on its expected cash needs, which raises substantial doubt about the Company’s ability to continue as a going concern.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9019"/>
          </w:cols>
          <w:pgMar w:left="1440" w:top="571" w:right="1440"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As the Company continues to pursue its business plan, it expects to finance its operations through a business combination with Cartesian Growth Corporation III, a special purpose acquisition company (SPAC), which was agreed to on December 17, 2025. The business combination also includes $100,000 in new liquidity committed by institutional investors in a private placement of common stock. However, there can be no assurance that the business combination will successfully close. If events or circumstances occur such that the Company does not obtain additional funding or complete the business combination, it may be necessary to significantly reduce its scope of operations to reduce the current rate of spending through actions such as reductions in staff and the need to delay, limit, reduce research and development or future commercialization efforts.</w:t>
      </w:r>
    </w:p>
    <w:p>
      <w:pPr>
        <w:spacing w:after="0" w:line="146"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which contemplates continuing of operations along with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this uncertainty. Management’s plans identified above do not mitigate the conclusion that there is a substantial doubt about the Company’s ability to continue as a going concern.</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73" w:lineRule="exact"/>
        <w:rPr>
          <w:sz w:val="20"/>
          <w:szCs w:val="20"/>
          <w:color w:val="auto"/>
        </w:rPr>
      </w:pPr>
    </w:p>
    <w:p>
      <w:pPr>
        <w:ind w:left="760" w:right="1039" w:firstLine="249"/>
        <w:spacing w:after="0" w:line="262" w:lineRule="auto"/>
        <w:rPr>
          <w:sz w:val="20"/>
          <w:szCs w:val="20"/>
          <w:color w:val="auto"/>
        </w:rPr>
      </w:pPr>
      <w:r>
        <w:rPr>
          <w:rFonts w:ascii="Times New Roman" w:cs="Times New Roman" w:eastAsia="Times New Roman" w:hAnsi="Times New Roman"/>
          <w:sz w:val="14"/>
          <w:szCs w:val="14"/>
          <w:color w:val="auto"/>
        </w:rPr>
        <w:t>The accompanying consolidated financial statements and notes to the consolidated financial statements have been prepared in accordance with accounting standards generally accepted in the United States of America (“U.S. GAAP”) as organized in the Accounting Standards Codification (“ASC”) administrated by the Financial Accounting Standards Board (“FASB”).</w:t>
      </w:r>
    </w:p>
    <w:p>
      <w:pPr>
        <w:spacing w:after="0" w:line="138" w:lineRule="exact"/>
        <w:rPr>
          <w:sz w:val="20"/>
          <w:szCs w:val="20"/>
          <w:color w:val="auto"/>
        </w:rPr>
      </w:pPr>
    </w:p>
    <w:p>
      <w:pPr>
        <w:ind w:left="760" w:right="1279" w:firstLine="249"/>
        <w:spacing w:after="0" w:line="262" w:lineRule="auto"/>
        <w:rPr>
          <w:sz w:val="20"/>
          <w:szCs w:val="20"/>
          <w:color w:val="auto"/>
        </w:rPr>
      </w:pPr>
      <w:r>
        <w:rPr>
          <w:rFonts w:ascii="Times New Roman" w:cs="Times New Roman" w:eastAsia="Times New Roman" w:hAnsi="Times New Roman"/>
          <w:sz w:val="14"/>
          <w:szCs w:val="14"/>
          <w:color w:val="auto"/>
        </w:rPr>
        <w:t xml:space="preserve">The accompanying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3"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73" w:lineRule="exact"/>
        <w:rPr>
          <w:sz w:val="20"/>
          <w:szCs w:val="20"/>
          <w:color w:val="auto"/>
        </w:rPr>
      </w:pPr>
    </w:p>
    <w:p>
      <w:pPr>
        <w:ind w:left="760" w:right="919" w:firstLine="249"/>
        <w:spacing w:after="0" w:line="318" w:lineRule="auto"/>
        <w:rPr>
          <w:sz w:val="20"/>
          <w:szCs w:val="20"/>
          <w:color w:val="auto"/>
        </w:rPr>
      </w:pPr>
      <w:r>
        <w:rPr>
          <w:rFonts w:ascii="Times New Roman" w:cs="Times New Roman" w:eastAsia="Times New Roman" w:hAnsi="Times New Roman"/>
          <w:sz w:val="13"/>
          <w:szCs w:val="13"/>
          <w:color w:val="auto"/>
        </w:rPr>
        <w:t>The Company measures items included in the consolidated financial statements of each of its entities using the currency of the primary economic environment in which the entity operates. The Company presents these consolidated financial statements in USD.</w:t>
      </w:r>
    </w:p>
    <w:p>
      <w:pPr>
        <w:spacing w:after="0" w:line="103" w:lineRule="exact"/>
        <w:rPr>
          <w:sz w:val="20"/>
          <w:szCs w:val="20"/>
          <w:color w:val="auto"/>
        </w:rPr>
      </w:pPr>
    </w:p>
    <w:p>
      <w:pPr>
        <w:ind w:left="760" w:right="779" w:firstLine="249"/>
        <w:spacing w:after="0" w:line="279" w:lineRule="auto"/>
        <w:rPr>
          <w:sz w:val="20"/>
          <w:szCs w:val="20"/>
          <w:color w:val="auto"/>
        </w:rPr>
      </w:pPr>
      <w:r>
        <w:rPr>
          <w:rFonts w:ascii="Times New Roman" w:cs="Times New Roman" w:eastAsia="Times New Roman" w:hAnsi="Times New Roman"/>
          <w:sz w:val="13"/>
          <w:szCs w:val="13"/>
          <w:color w:val="auto"/>
        </w:rPr>
        <w:t>The Company translates foreign currency transactions into the functional currency using the exchange rates prevailing at the dates of the transactions. The Company recognizes foreign exchange gains and losses resulting from the settlement of such transactions and from the translation of monetary assets and liabilities denominated in foreign currencies at year end exchange rates within other income (expense), net, in the consolidated statements of operations. For the years ended December 31, 2025, and 2024, the Company had a gain of $52 and a loss of $880 in foreign exchange unrealized gains and losses, respectively,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9019"/>
          </w:cols>
          <w:pgMar w:left="1440" w:top="572" w:right="1440" w:bottom="1440" w:gutter="0" w:footer="0" w:header="0"/>
        </w:sectPr>
      </w:pPr>
    </w:p>
    <w:bookmarkStart w:id="172" w:name="page173"/>
    <w:bookmarkEnd w:id="17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899" w:firstLine="249"/>
        <w:spacing w:after="0" w:line="255" w:lineRule="auto"/>
        <w:rPr>
          <w:sz w:val="20"/>
          <w:szCs w:val="20"/>
          <w:color w:val="auto"/>
        </w:rPr>
      </w:pPr>
      <w:r>
        <w:rPr>
          <w:rFonts w:ascii="Times New Roman" w:cs="Times New Roman" w:eastAsia="Times New Roman" w:hAnsi="Times New Roman"/>
          <w:sz w:val="14"/>
          <w:szCs w:val="14"/>
          <w:color w:val="auto"/>
        </w:rPr>
        <w:t>For presentation purposes, the Company translates all assets and liabilities denominated in foreign currencies into USD using exchange rates in effect as of the date of the balance sheet date. The Company translates expense transactions at the monthly average exchange rates, and the Company translates certain specific equity transactions at the exchange rate in effect at the time of the transaction. The Company recognizes all resulting exchange differences within currency translation adjustment in the consolidated statements of comprehensive loss and as a separate component of stockholders’ equity.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73" w:lineRule="exact"/>
        <w:rPr>
          <w:sz w:val="20"/>
          <w:szCs w:val="20"/>
          <w:color w:val="auto"/>
        </w:rPr>
      </w:pPr>
    </w:p>
    <w:p>
      <w:pPr>
        <w:ind w:left="760" w:right="1019" w:firstLine="249"/>
        <w:spacing w:after="0" w:line="257" w:lineRule="auto"/>
        <w:rPr>
          <w:sz w:val="20"/>
          <w:szCs w:val="20"/>
          <w:color w:val="auto"/>
        </w:rPr>
      </w:pPr>
      <w:r>
        <w:rPr>
          <w:rFonts w:ascii="Times New Roman" w:cs="Times New Roman" w:eastAsia="Times New Roman" w:hAnsi="Times New Roman"/>
          <w:sz w:val="14"/>
          <w:szCs w:val="14"/>
          <w:color w:val="auto"/>
        </w:rPr>
        <w:t>The Company considers all highly liquid investments with maturities of three months or less at the date of purchase to be cash equivalents. The Company maintains its cash in bank deposit and money market accounts (refer to Note 3) which, at times, may exceed the federal insurance limit. Restricted cash are restricted deposits and are pledged in favor of the bank as security for guaranties issued by the bank to the landlords of the Company’s leased office spaces.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Upon retirement or sale, the cost of assets disposed of and the related accumulated depreciation are removed from the accounts and any resulting gain or loss is recognized in the consolidated statements of operations as gain or loss on disposal of property and equipment. Major replacements and improvements are capitalized, while general repairs and maintenance are charged to expense as incurred. Costs for capital assets not yet placed in service have been capitalized as construction in progress or advances to fixed asset vendors and are depreciated in accordance with the below guidelines once placed into service.</w:t>
      </w:r>
    </w:p>
    <w:p>
      <w:pPr>
        <w:spacing w:after="0" w:line="145"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 xml:space="preserve">Long-lived assets, such as property and equipment, are evaluated for impairment whenever events or changes in circumstances indicate that the carrying amount of the asset may not be recoverable in accordance with ASC Topic 360, </w:t>
      </w:r>
      <w:r>
        <w:rPr>
          <w:rFonts w:ascii="Times New Roman" w:cs="Times New Roman" w:eastAsia="Times New Roman" w:hAnsi="Times New Roman"/>
          <w:sz w:val="14"/>
          <w:szCs w:val="14"/>
          <w:i w:val="1"/>
          <w:iCs w:val="1"/>
          <w:color w:val="auto"/>
        </w:rPr>
        <w:t>“Property,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Equipment.” </w:t>
      </w:r>
      <w:r>
        <w:rPr>
          <w:rFonts w:ascii="Times New Roman" w:cs="Times New Roman" w:eastAsia="Times New Roman" w:hAnsi="Times New Roman"/>
          <w:sz w:val="14"/>
          <w:szCs w:val="14"/>
          <w:color w:val="auto"/>
        </w:rPr>
        <w:t>Circumstances which could trigger a review include, but are not limited to: significant decreases in the market price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asset; significant adverse changes in the business climate or legal factors; accumulation of costs significantly in excess of the amount originally expected for the acquisition or construction of the asset; current period cashflow or operating losses combined with a history of losses or a forecast of continuing losses associated with the use of the asset; and current expectation that the asset will more likely than not be sold or disposed before the end of its estimated useful life.</w:t>
      </w:r>
    </w:p>
    <w:p>
      <w:pPr>
        <w:spacing w:after="0" w:line="146"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Recoverability of assets is measured by a comparison of the carrying amount of an asset to estimated undiscounted future cash flows expected to be generated by an asset. If the carrying amount of an asset exceeds its estimated future undiscounted cash flows, an impairment charge is recognized at the amount by which the carrying amount exceeds the estimated fair value of the asset. The estimated fair value is determined using a discounted cash flow analysis. Any impairment in value is recognized as an expense in the period when the impairment occurs. The Company recognized a loss on impairment and lease termination of $17,063 for the year ended December 31, 2025, see Note 4. The Company did not recognize any impairment charges associated with long- lived assets for the year ended December 31, 2024.</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Depreciation is computed using the straight-line method over the following estimated useful lives: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560" w:type="dxa"/>
            <w:vAlign w:val="bottom"/>
          </w:tcPr>
          <w:p>
            <w:pPr>
              <w:jc w:val="center"/>
              <w:ind w:right="513"/>
              <w:spacing w:after="0"/>
              <w:rPr>
                <w:sz w:val="20"/>
                <w:szCs w:val="20"/>
                <w:color w:val="auto"/>
              </w:rPr>
            </w:pPr>
            <w:r>
              <w:rPr>
                <w:rFonts w:ascii="Times New Roman" w:cs="Times New Roman" w:eastAsia="Times New Roman" w:hAnsi="Times New Roman"/>
                <w:sz w:val="11"/>
                <w:szCs w:val="11"/>
                <w:b w:val="1"/>
                <w:bCs w:val="1"/>
                <w:color w:val="auto"/>
                <w:w w:val="94"/>
              </w:rPr>
              <w:t>Years</w:t>
            </w:r>
          </w:p>
        </w:tc>
      </w:tr>
      <w:tr>
        <w:trPr>
          <w:trHeight w:val="157"/>
        </w:trPr>
        <w:tc>
          <w:tcPr>
            <w:tcW w:w="3220" w:type="dxa"/>
            <w:vAlign w:val="bottom"/>
            <w:tcBorders>
              <w:top w:val="single" w:sz="8" w:color="auto"/>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560" w:type="dxa"/>
            <w:vAlign w:val="bottom"/>
            <w:tcBorders>
              <w:top w:val="single" w:sz="8" w:color="auto"/>
            </w:tcBorders>
            <w:shd w:val="clear" w:color="auto" w:fill="CCEEFF"/>
          </w:tcPr>
          <w:p>
            <w:pPr>
              <w:jc w:val="center"/>
              <w:ind w:right="513"/>
              <w:spacing w:after="0" w:line="157" w:lineRule="exact"/>
              <w:rPr>
                <w:sz w:val="20"/>
                <w:szCs w:val="20"/>
                <w:color w:val="auto"/>
              </w:rPr>
            </w:pPr>
            <w:r>
              <w:rPr>
                <w:rFonts w:ascii="Times New Roman" w:cs="Times New Roman" w:eastAsia="Times New Roman" w:hAnsi="Times New Roman"/>
                <w:sz w:val="14"/>
                <w:szCs w:val="14"/>
                <w:color w:val="auto"/>
                <w:w w:val="99"/>
              </w:rPr>
              <w:t>Lesser of lease term or useful life</w:t>
            </w:r>
          </w:p>
        </w:tc>
      </w:tr>
      <w:tr>
        <w:trPr>
          <w:trHeight w:val="16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60" w:type="dxa"/>
            <w:vAlign w:val="bottom"/>
          </w:tcPr>
          <w:p>
            <w:pPr>
              <w:jc w:val="center"/>
              <w:ind w:right="513"/>
              <w:spacing w:after="0"/>
              <w:rPr>
                <w:sz w:val="20"/>
                <w:szCs w:val="20"/>
                <w:color w:val="auto"/>
              </w:rPr>
            </w:pPr>
            <w:r>
              <w:rPr>
                <w:rFonts w:ascii="Times New Roman" w:cs="Times New Roman" w:eastAsia="Times New Roman" w:hAnsi="Times New Roman"/>
                <w:sz w:val="14"/>
                <w:szCs w:val="14"/>
                <w:color w:val="auto"/>
              </w:rPr>
              <w:t>7-10</w:t>
            </w:r>
          </w:p>
        </w:tc>
      </w:tr>
      <w:tr>
        <w:trPr>
          <w:trHeight w:val="16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jc w:val="center"/>
              <w:ind w:right="513"/>
              <w:spacing w:after="0"/>
              <w:rPr>
                <w:sz w:val="20"/>
                <w:szCs w:val="20"/>
                <w:color w:val="auto"/>
              </w:rPr>
            </w:pPr>
            <w:r>
              <w:rPr>
                <w:rFonts w:ascii="Times New Roman" w:cs="Times New Roman" w:eastAsia="Times New Roman" w:hAnsi="Times New Roman"/>
                <w:sz w:val="14"/>
                <w:szCs w:val="14"/>
                <w:color w:val="auto"/>
                <w:w w:val="85"/>
              </w:rPr>
              <w:t>5</w:t>
            </w:r>
          </w:p>
        </w:tc>
      </w:tr>
      <w:tr>
        <w:trPr>
          <w:trHeight w:val="16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and software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60" w:type="dxa"/>
            <w:vAlign w:val="bottom"/>
          </w:tcPr>
          <w:p>
            <w:pPr>
              <w:jc w:val="center"/>
              <w:ind w:right="513"/>
              <w:spacing w:after="0"/>
              <w:rPr>
                <w:sz w:val="20"/>
                <w:szCs w:val="20"/>
                <w:color w:val="auto"/>
              </w:rPr>
            </w:pPr>
            <w:r>
              <w:rPr>
                <w:rFonts w:ascii="Times New Roman" w:cs="Times New Roman" w:eastAsia="Times New Roman" w:hAnsi="Times New Roman"/>
                <w:sz w:val="14"/>
                <w:szCs w:val="14"/>
                <w:color w:val="auto"/>
                <w:w w:val="85"/>
              </w:rPr>
              <w:t>3</w:t>
            </w:r>
          </w:p>
        </w:tc>
      </w:tr>
      <w:tr>
        <w:trPr>
          <w:trHeight w:val="16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560" w:type="dxa"/>
            <w:vAlign w:val="bottom"/>
            <w:shd w:val="clear" w:color="auto" w:fill="CCEEFF"/>
          </w:tcPr>
          <w:p>
            <w:pPr>
              <w:jc w:val="center"/>
              <w:ind w:right="513"/>
              <w:spacing w:after="0"/>
              <w:rPr>
                <w:sz w:val="20"/>
                <w:szCs w:val="20"/>
                <w:color w:val="auto"/>
              </w:rPr>
            </w:pPr>
            <w:r>
              <w:rPr>
                <w:rFonts w:ascii="Times New Roman" w:cs="Times New Roman" w:eastAsia="Times New Roman" w:hAnsi="Times New Roman"/>
                <w:sz w:val="14"/>
                <w:szCs w:val="14"/>
                <w:color w:val="auto"/>
                <w:w w:val="99"/>
              </w:rPr>
              <w:t>20</w:t>
            </w:r>
          </w:p>
        </w:tc>
      </w:tr>
      <w:tr>
        <w:trPr>
          <w:trHeight w:val="18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Fixtures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560" w:type="dxa"/>
            <w:vAlign w:val="bottom"/>
          </w:tcPr>
          <w:p>
            <w:pPr>
              <w:jc w:val="center"/>
              <w:ind w:right="513"/>
              <w:spacing w:after="0"/>
              <w:rPr>
                <w:sz w:val="20"/>
                <w:szCs w:val="20"/>
                <w:color w:val="auto"/>
              </w:rPr>
            </w:pPr>
            <w:r>
              <w:rPr>
                <w:rFonts w:ascii="Times New Roman" w:cs="Times New Roman" w:eastAsia="Times New Roman" w:hAnsi="Times New Roman"/>
                <w:sz w:val="14"/>
                <w:szCs w:val="14"/>
                <w:color w:val="auto"/>
                <w:w w:val="85"/>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9019"/>
          </w:cols>
          <w:pgMar w:left="1440" w:top="572" w:right="1440" w:bottom="1440" w:gutter="0" w:footer="0" w:header="0"/>
        </w:sectPr>
      </w:pPr>
    </w:p>
    <w:bookmarkStart w:id="173" w:name="page174"/>
    <w:bookmarkEnd w:id="17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Collaboration Arrangements</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spacing w:after="0" w:line="140" w:lineRule="exact"/>
        <w:rPr>
          <w:sz w:val="20"/>
          <w:szCs w:val="20"/>
          <w:color w:val="auto"/>
        </w:rPr>
      </w:pPr>
    </w:p>
    <w:p>
      <w:pPr>
        <w:ind w:left="760" w:right="939" w:firstLine="249"/>
        <w:spacing w:after="0" w:line="254" w:lineRule="auto"/>
        <w:rPr>
          <w:sz w:val="20"/>
          <w:szCs w:val="20"/>
          <w:color w:val="auto"/>
        </w:rPr>
      </w:pPr>
      <w:r>
        <w:rPr>
          <w:rFonts w:ascii="Times New Roman" w:cs="Times New Roman" w:eastAsia="Times New Roman" w:hAnsi="Times New Roman"/>
          <w:sz w:val="14"/>
          <w:szCs w:val="14"/>
          <w:color w:val="auto"/>
        </w:rPr>
        <w:t xml:space="preserve">The Company assesses each collaborative arrangement to determine whether it is in scope for ASC Topic 808, </w:t>
      </w:r>
      <w:r>
        <w:rPr>
          <w:rFonts w:ascii="Times New Roman" w:cs="Times New Roman" w:eastAsia="Times New Roman" w:hAnsi="Times New Roman"/>
          <w:sz w:val="14"/>
          <w:szCs w:val="14"/>
          <w:i w:val="1"/>
          <w:iCs w:val="1"/>
          <w:color w:val="auto"/>
        </w:rPr>
        <w:t>Collaborative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Arrangements </w:t>
      </w:r>
      <w:r>
        <w:rPr>
          <w:rFonts w:ascii="Times New Roman" w:cs="Times New Roman" w:eastAsia="Times New Roman" w:hAnsi="Times New Roman"/>
          <w:sz w:val="14"/>
          <w:szCs w:val="14"/>
          <w:color w:val="auto"/>
        </w:rPr>
        <w:t>(“ASC 808”). In making the determination, the Company considers whether the arrangement involves joint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spacing w:after="0" w:line="143"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In 2021, the Company entered into JDAs with Hyundai Motor Company and Kia Corporation (collectively, “HMC”), Mercedes-Benz and Stellantis Europe, S.p.A (f/k/a FCA Italy, S.p.A) (“Stellantis Europe”). In August, 2025, the Company amended its JDA with Mercedes-Benz and simultaneously terminated the Stellantis Europe agreement and entered into a new JDA with FCA US LLC, an affiliate of Stellantis Europe and Stellantis Ventures B.V. (collectively, “Stellantis”). For the year ended December 31, 2025, the amounts received from third parties under JDAs were approximately $1,295. As part of the JDA with Stellantis, the Company paid $2,000 for development of demo car services as further described in Note 15.</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For the years ended December 31, 2025, and 2024, the amounts received from third parties under JDAs were approximately</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$1,295 and $3,389, respectively, and were recorded within research and development, net in the consolidated statements of operations.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Reserve for Credit Losses</w:t>
      </w:r>
    </w:p>
    <w:p>
      <w:pPr>
        <w:spacing w:after="0" w:line="173"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 xml:space="preserve">The Company’s receivables relate to reimbursements due under its JDAs represented as “Receivables under collaboration agreements” on its consolidated balance sheets as of December 31, 2025, and 2024. The reserve for credit losses (“allowance”) is established at the origination of a receivable in accordance with ASC Topic 326 </w:t>
      </w:r>
      <w:r>
        <w:rPr>
          <w:rFonts w:ascii="Times New Roman" w:cs="Times New Roman" w:eastAsia="Times New Roman" w:hAnsi="Times New Roman"/>
          <w:sz w:val="14"/>
          <w:szCs w:val="14"/>
          <w:i w:val="1"/>
          <w:iCs w:val="1"/>
          <w:color w:val="auto"/>
        </w:rPr>
        <w:t>Credit Losses - Measurement of Credit Losses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Instruments </w:t>
      </w:r>
      <w:r>
        <w:rPr>
          <w:rFonts w:ascii="Times New Roman" w:cs="Times New Roman" w:eastAsia="Times New Roman" w:hAnsi="Times New Roman"/>
          <w:sz w:val="14"/>
          <w:szCs w:val="14"/>
          <w:color w:val="auto"/>
        </w:rPr>
        <w:t>(“ASC 326”). ASC 326 requires the Company to estimate the lifetime expected credit losses on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and to record an allowance to offset the receivables. Company’s receivables are recognized when the related reimbursable costs are incurred in accordance with the terms of the respective JDA and collection is considered probable. The Company evaluates such receivables for collectability and records an allowance for expected credit losses in accordance with ASC 326. The allowance is estimated using relevant available information, including historical collection experience, the financial condition of the collaborator, current economic conditions, and reasonable and supportable forecasts.</w:t>
      </w:r>
    </w:p>
    <w:p>
      <w:pPr>
        <w:spacing w:after="0" w:line="147"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As of December 31, 2025, and, 2024, the Company determined that any expected credit losses associated with receivables under collaboration agreements were immaterial. Accordingly, no allowance for credit losses has been recorded.</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3" w:lineRule="exact"/>
        <w:rPr>
          <w:sz w:val="20"/>
          <w:szCs w:val="20"/>
          <w:color w:val="auto"/>
        </w:rPr>
      </w:pPr>
    </w:p>
    <w:p>
      <w:pPr>
        <w:ind w:left="760" w:right="819" w:firstLine="249"/>
        <w:spacing w:after="0" w:line="275" w:lineRule="auto"/>
        <w:rPr>
          <w:sz w:val="20"/>
          <w:szCs w:val="20"/>
          <w:color w:val="auto"/>
        </w:rPr>
      </w:pPr>
      <w:r>
        <w:rPr>
          <w:rFonts w:ascii="Times New Roman" w:cs="Times New Roman" w:eastAsia="Times New Roman" w:hAnsi="Times New Roman"/>
          <w:sz w:val="13"/>
          <w:szCs w:val="13"/>
          <w:color w:val="auto"/>
        </w:rPr>
        <w:t>Research and development costs are expensed as incurred. Research and development costs consist of expenses incurred in performing research and development activities, including salaries and benefits, materials and supplies, stock-based compensation expense, contract services, depreciation of fixed assets used to conduct research and development activities, and other outside expenses. Costs for external development activities are recognized based on an evaluation of the progress to completion of specific tasks using information provided to the Company by its vendors. Payments for these activities are based on the terms of the individual arrangements, which may differ from the pattern of costs incurred, and are reflected on the consolidated balance sheets as prepaid expenses, other current assets, or accrued expenses, and in the consolidated statements of operations as research and development.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9019"/>
          </w:cols>
          <w:pgMar w:left="1440" w:top="572" w:right="1440"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Deferred Transaction Costs</w:t>
      </w:r>
    </w:p>
    <w:p>
      <w:pPr>
        <w:spacing w:after="0" w:line="171" w:lineRule="exact"/>
        <w:rPr>
          <w:sz w:val="20"/>
          <w:szCs w:val="20"/>
          <w:color w:val="auto"/>
        </w:rPr>
      </w:pPr>
    </w:p>
    <w:p>
      <w:pPr>
        <w:ind w:left="760" w:right="939" w:firstLine="249"/>
        <w:spacing w:after="0" w:line="280" w:lineRule="auto"/>
        <w:rPr>
          <w:sz w:val="20"/>
          <w:szCs w:val="20"/>
          <w:color w:val="auto"/>
        </w:rPr>
      </w:pPr>
      <w:r>
        <w:rPr>
          <w:rFonts w:ascii="Times New Roman" w:cs="Times New Roman" w:eastAsia="Times New Roman" w:hAnsi="Times New Roman"/>
          <w:sz w:val="13"/>
          <w:szCs w:val="13"/>
          <w:color w:val="auto"/>
        </w:rPr>
        <w:t xml:space="preserve">The Company complies with the requirements of ASC 340, </w:t>
      </w:r>
      <w:r>
        <w:rPr>
          <w:rFonts w:ascii="Times New Roman" w:cs="Times New Roman" w:eastAsia="Times New Roman" w:hAnsi="Times New Roman"/>
          <w:sz w:val="13"/>
          <w:szCs w:val="13"/>
          <w:i w:val="1"/>
          <w:iCs w:val="1"/>
          <w:color w:val="auto"/>
        </w:rPr>
        <w:t>Other Assets and Deferred Costs</w:t>
      </w:r>
      <w:r>
        <w:rPr>
          <w:rFonts w:ascii="Times New Roman" w:cs="Times New Roman" w:eastAsia="Times New Roman" w:hAnsi="Times New Roman"/>
          <w:sz w:val="13"/>
          <w:szCs w:val="13"/>
          <w:color w:val="auto"/>
        </w:rPr>
        <w:t>, with regards to transaction costs. Prior to the completion of the transaction (potential business combination with Cartesian Growth Corporation III as mentioned in Note 1), direct transaction costs are capitalized as deferred transaction costs. If the transaction is completed, the deferred transaction costs are charged to additional paid-in capital and offset the proceeds received from the potential business combination. As of December 31, 2025, and 2024, the Company had $1,423 and $0 of deferred transaction costs incurred, respectively.</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 Warrant Liabilities</w:t>
      </w:r>
    </w:p>
    <w:p>
      <w:pPr>
        <w:spacing w:after="0" w:line="173" w:lineRule="exact"/>
        <w:rPr>
          <w:sz w:val="20"/>
          <w:szCs w:val="20"/>
          <w:color w:val="auto"/>
        </w:rPr>
      </w:pPr>
    </w:p>
    <w:p>
      <w:pPr>
        <w:ind w:left="760" w:right="779" w:firstLine="249"/>
        <w:spacing w:after="0" w:line="274" w:lineRule="auto"/>
        <w:rPr>
          <w:sz w:val="20"/>
          <w:szCs w:val="20"/>
          <w:color w:val="auto"/>
        </w:rPr>
      </w:pPr>
      <w:r>
        <w:rPr>
          <w:rFonts w:ascii="Times New Roman" w:cs="Times New Roman" w:eastAsia="Times New Roman" w:hAnsi="Times New Roman"/>
          <w:sz w:val="13"/>
          <w:szCs w:val="13"/>
          <w:color w:val="auto"/>
        </w:rPr>
        <w:t>Warrants to purchase shares of redeemable convertible preferred stock are classified as liabilities on the consolidated balance sheets at fair value upon issuance because the underlying shares of redeemable convertible preferred stock are redeemable outside of the control of the Company. The initial liability recorded is adjusted for changes in the fair value at each reporting date and recorded as other income/expense in the accompanying Company’s statement of operations. Factorial will continue to adjust the convertible preferred stock warrant liability for changes in fair value until the earlier of the exercise of the warrants, at which time the liability will be reclassified to redeemable convertible preferred stock, or the expiration of the warrants, at which time the entire remaining amount would be reversed and reflected in the Company’s accompanying statement of operations. The redeemable convertible preferred stock warrant liabilities will increase or decrease each period based on the fluctuations of the fair value of the underlying security.</w:t>
      </w:r>
    </w:p>
    <w:p>
      <w:pPr>
        <w:spacing w:after="0" w:line="131" w:lineRule="exact"/>
        <w:rPr>
          <w:sz w:val="20"/>
          <w:szCs w:val="20"/>
          <w:color w:val="auto"/>
        </w:rPr>
      </w:pPr>
    </w:p>
    <w:p>
      <w:pPr>
        <w:ind w:left="760" w:right="839" w:firstLine="249"/>
        <w:spacing w:after="0" w:line="257" w:lineRule="auto"/>
        <w:rPr>
          <w:sz w:val="20"/>
          <w:szCs w:val="20"/>
          <w:color w:val="auto"/>
        </w:rPr>
      </w:pPr>
      <w:r>
        <w:rPr>
          <w:rFonts w:ascii="Times New Roman" w:cs="Times New Roman" w:eastAsia="Times New Roman" w:hAnsi="Times New Roman"/>
          <w:sz w:val="14"/>
          <w:szCs w:val="14"/>
          <w:color w:val="auto"/>
        </w:rPr>
        <w:t>Changes in the fair value of the redeemable convertible preferred stock warrants are recorded as gains or losses in the Company’s consolidated statements of operations in each reporting period. For the year ended December 31, 2025, and 2024, the Company recorded a loss on the change in fair value of redeemable convertible preferred stock warrants of $2,230 and a gain of $488, respectively.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 - Related Parties, Fair Value</w:t>
      </w:r>
    </w:p>
    <w:p>
      <w:pPr>
        <w:spacing w:after="0" w:line="173" w:lineRule="exact"/>
        <w:rPr>
          <w:sz w:val="20"/>
          <w:szCs w:val="20"/>
          <w:color w:val="auto"/>
        </w:rPr>
      </w:pPr>
    </w:p>
    <w:p>
      <w:pPr>
        <w:ind w:left="760" w:right="799" w:firstLine="249"/>
        <w:spacing w:after="0" w:line="272" w:lineRule="auto"/>
        <w:rPr>
          <w:sz w:val="20"/>
          <w:szCs w:val="20"/>
          <w:color w:val="auto"/>
        </w:rPr>
      </w:pPr>
      <w:r>
        <w:rPr>
          <w:rFonts w:ascii="Times New Roman" w:cs="Times New Roman" w:eastAsia="Times New Roman" w:hAnsi="Times New Roman"/>
          <w:sz w:val="13"/>
          <w:szCs w:val="13"/>
          <w:color w:val="auto"/>
        </w:rPr>
        <w:t xml:space="preserve">On August 1, 2025, the Company entered into a total of $10,000 Convertible Promissory Note Agreement (“the August 2025 Notes”) with existing investors. The Company determined that it is eligible for the fair value option election in connection with the Convertible Promissory Note Agreement. The Convertible Promissory Note Agreement meets the definition of a “recognized financial liability” which is an acceptable financial instrument eligible for the fair value option under ASC Topic 825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 The notes were issued to related parties as further described in Note 15. Due to the terms of the agreement, the fair value of the notes, on the date of issuance, was more than the proceeds received, which was determined to be a cost of financing, and on August 1, 2025, upon issuance, the Company recognized non-cash financing costs related to issuance of convertible promissory notes of $4,500 and an issuance cost of $108.</w:t>
      </w:r>
    </w:p>
    <w:p>
      <w:pPr>
        <w:spacing w:after="0" w:line="134"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Changes in the fair value of the Convertible Promissory Notes are recorded as gains or losses in the Company’s consolidated statements of operations in each reporting period. For the year ended December 31, 2025, the Company recorded a loss on the change in fair value of convertible promissory notes of $4,389.</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The Company records accruals for contingencies when a loss is probable,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9019"/>
          </w:cols>
          <w:pgMar w:left="1440" w:top="571" w:right="1440" w:bottom="1440" w:gutter="0" w:footer="0" w:header="0"/>
        </w:sectPr>
      </w:pPr>
    </w:p>
    <w:bookmarkStart w:id="175" w:name="page176"/>
    <w:bookmarkEnd w:id="17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1" w:lineRule="exact"/>
        <w:rPr>
          <w:sz w:val="20"/>
          <w:szCs w:val="20"/>
          <w:color w:val="auto"/>
        </w:rPr>
      </w:pPr>
    </w:p>
    <w:p>
      <w:pPr>
        <w:ind w:left="760" w:right="839" w:firstLine="249"/>
        <w:spacing w:after="0" w:line="256" w:lineRule="auto"/>
        <w:rPr>
          <w:sz w:val="20"/>
          <w:szCs w:val="20"/>
          <w:color w:val="auto"/>
        </w:rPr>
      </w:pPr>
      <w:r>
        <w:rPr>
          <w:rFonts w:ascii="Times New Roman" w:cs="Times New Roman" w:eastAsia="Times New Roman" w:hAnsi="Times New Roman"/>
          <w:sz w:val="14"/>
          <w:szCs w:val="14"/>
          <w:color w:val="auto"/>
        </w:rPr>
        <w:t xml:space="preserve">The Company is accounting for leases in accordance with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which requires lessees to recognize lease liabilities and right-of-use (“ROU”) assets on the balance sheet for leases with lease terms of more than twelve months. The Company determines whether an arrangement contains a lease at contract inception based on whether the arrangement involves the use of a physically distinct identified asset and whether the Company has the right to obtain substantially all of the economic benefits from the use of the asset throughout the period as well as the right to direct the use of the asset.</w:t>
      </w:r>
    </w:p>
    <w:p>
      <w:pPr>
        <w:spacing w:after="0" w:line="141"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ROU lease assets represent the Company’s right to use an underlying asset for the lease term, and lease liabilities represent the obligation to make lease payments. Both the ROU lease asset and liability are recognized at the lease commencement date based on the present value of the lease payments over the lease term. The Company’s leases do not provide an implicit borrowing rate that can readily be determined. Therefore, the Company applies a discount rate based on the incremental borrowing rate, which is determined using other information available as of the lease commencement date. Lease liabilities are increased by interest and reduced by payments each period, and the ROU asset is amortized over the lease term. An operating lease ROU asset is initially recognized as equal to the lease liability adjusted for any lease prepayments and initial direct costs. For operating leases, interest on the lease liability and the amortization of the ROU asset result in a straight-line expense over the lease term. For finance leases, interest on the lease liability and the amortization of the ROU asset results in front-loaded expense over the lease term.</w:t>
      </w:r>
    </w:p>
    <w:p>
      <w:pPr>
        <w:spacing w:after="0" w:line="147"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The lease term of the Company’s leases reflected in these consolidated financial statements may include an option to extend or terminate the lease when it is reasonably certain that the Company will exercise the option. Lease expense for minimum lease payments is recognized on a straight-line basis over the term of the lease. The Company has lease agreements with lease and non-lease components, which are accounted for as a single lease component. Some of the Company’s leases contain variable lease payments, which are expensed as incurred. The Company has elected not to recognize ROU assets and lease liabilities for leases that have a term of twelve months or less. The effect of short-term leases on our ROU assets and lease liabilities was not material for the years ended December 31, 2025, and 2024. The Company’s lease agreements do not contain any material residual value guarantees or material restrictive covenants.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3"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all stock-based awards made to employees, directors, and non-employees, including stock options, restricted share units and restricted shares, based on estimated fair values recognized over the requisite service period. For stock-based awards subject to performance conditions, stock-based compensation expense is not recognized until the performance conditions become probable of occurring. Refer below for more details regarding the Company’s policies regarding stock-based awards subject to performance conditions.</w:t>
      </w:r>
    </w:p>
    <w:p>
      <w:pPr>
        <w:spacing w:after="0" w:line="142" w:lineRule="exact"/>
        <w:rPr>
          <w:sz w:val="20"/>
          <w:szCs w:val="20"/>
          <w:color w:val="auto"/>
        </w:rPr>
      </w:pPr>
    </w:p>
    <w:p>
      <w:pPr>
        <w:ind w:left="760" w:right="899" w:firstLine="249"/>
        <w:spacing w:after="0" w:line="275" w:lineRule="auto"/>
        <w:rPr>
          <w:sz w:val="20"/>
          <w:szCs w:val="20"/>
          <w:color w:val="auto"/>
        </w:rPr>
      </w:pPr>
      <w:r>
        <w:rPr>
          <w:rFonts w:ascii="Times New Roman" w:cs="Times New Roman" w:eastAsia="Times New Roman" w:hAnsi="Times New Roman"/>
          <w:sz w:val="13"/>
          <w:szCs w:val="13"/>
          <w:color w:val="auto"/>
        </w:rPr>
        <w:t>The fair values of stock options and restricted stock awards granted with only service conditions or performance and service conditions are estimated on the grant date using the Black-Scholes option pricing model. This valuation model for stock-based compensation expense requires the Company to make assumptions and judgments about the variables used in the calculation, including the expected term (weighted- average period of time that the options granted are expected to be outstanding), the volatility of the Company’s common stock, and an assumed risk-free interest rate. The Company accounts for forfeitures when they occur. For the years ended December 31, 2025, and 2024, no performance conditions have been determined to be probable of achievement and therefore, no stock-based compensation expense has been recorded related to stock options with performance conditions.</w:t>
      </w:r>
    </w:p>
    <w:p>
      <w:pPr>
        <w:spacing w:after="0" w:line="131"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fair values of restricted stock units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Monte Carlo valuation requires the Company to make assumptions and judgements about the variables used in the calculation including the expected term, volatility of the Company’s common stock, an assumed risk-free interest rate, and cost of equity.</w:t>
      </w:r>
    </w:p>
    <w:p>
      <w:pPr>
        <w:spacing w:after="0" w:line="142" w:lineRule="exact"/>
        <w:rPr>
          <w:sz w:val="20"/>
          <w:szCs w:val="20"/>
          <w:color w:val="auto"/>
        </w:rPr>
      </w:pPr>
    </w:p>
    <w:p>
      <w:pPr>
        <w:ind w:left="760" w:right="819" w:firstLine="249"/>
        <w:spacing w:after="0" w:line="318" w:lineRule="auto"/>
        <w:rPr>
          <w:sz w:val="20"/>
          <w:szCs w:val="20"/>
          <w:color w:val="auto"/>
        </w:rPr>
      </w:pPr>
      <w:r>
        <w:rPr>
          <w:rFonts w:ascii="Times New Roman" w:cs="Times New Roman" w:eastAsia="Times New Roman" w:hAnsi="Times New Roman"/>
          <w:sz w:val="13"/>
          <w:szCs w:val="13"/>
          <w:color w:val="auto"/>
        </w:rPr>
        <w:t>For performance-based awards with a vesting schedule based entirely on the attainment of both performance and market conditions, each reporting period the Company assesses whether it is probable that it will achieve each performance condition that has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9019"/>
          </w:cols>
          <w:pgMar w:left="1440" w:top="572" w:right="1440" w:bottom="1440" w:gutter="0" w:footer="0" w:header="0"/>
        </w:sectPr>
      </w:pPr>
    </w:p>
    <w:bookmarkStart w:id="176" w:name="page177"/>
    <w:bookmarkEnd w:id="17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779"/>
        <w:spacing w:after="0" w:line="250" w:lineRule="auto"/>
        <w:rPr>
          <w:sz w:val="20"/>
          <w:szCs w:val="20"/>
          <w:color w:val="auto"/>
        </w:rPr>
      </w:pPr>
      <w:r>
        <w:rPr>
          <w:rFonts w:ascii="Times New Roman" w:cs="Times New Roman" w:eastAsia="Times New Roman" w:hAnsi="Times New Roman"/>
          <w:sz w:val="14"/>
          <w:szCs w:val="14"/>
          <w:color w:val="auto"/>
        </w:rPr>
        <w:t>not previously been achieved or deemed probable of achievement and if so, the future time when the Company expects to achieve that business milestone, or its “expected business milestone achievement time.” When the Company first determines that a business milestone has become probable of being achieved, the Company allocates the entire expense for the related tranche over the number of reporting periods between the grant date and the then-applicable “expected vesting date.” The “expected vesting date” at any given time is generally the later of (i) the expected time when the performance condition will be achieved (if the related performance condition has not yet been achieved) and (ii) the expected time when the market condition will be achieved (if the related market condition has not yet been achieved). The Company immediately recognizes a cumulative catch-up expense for all accumulated expense for the reporting period from the grant date through the reporting period in which the performance condition was first deemed probable of being achieved. The Company accounts for forfeitures when they occur. For the years ended December 31, 2025, and 2024, no performance conditions have been determined to be probable of achievement and therefore, no stock-based compensation expense has been recorded related to restricted stock units with both performance and market conditions.</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Refer to Note 11 for further information.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173" w:lineRule="exact"/>
        <w:rPr>
          <w:sz w:val="20"/>
          <w:szCs w:val="20"/>
          <w:color w:val="auto"/>
        </w:rPr>
      </w:pPr>
    </w:p>
    <w:p>
      <w:pPr>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The Company assessed the provisions of the shares of redeemable convertible preferred stock including redemption rights, dividends and voting rights to determine the appropriate classification of these instruments. The Company determined that the shares of redeemable convertible preferred stock are appropriately classified as mezzanine equity because they are contingently redeemable into cash upon the occurrence of an event not solely within the Company’s control.</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 and Off-Balance Sheet Arrangements</w:t>
      </w:r>
    </w:p>
    <w:p>
      <w:pPr>
        <w:spacing w:after="0" w:line="173" w:lineRule="exact"/>
        <w:rPr>
          <w:sz w:val="20"/>
          <w:szCs w:val="20"/>
          <w:color w:val="auto"/>
        </w:rPr>
      </w:pPr>
    </w:p>
    <w:p>
      <w:pPr>
        <w:jc w:val="both"/>
        <w:ind w:left="760" w:right="959" w:firstLine="249"/>
        <w:spacing w:after="0" w:line="292" w:lineRule="auto"/>
        <w:rPr>
          <w:sz w:val="20"/>
          <w:szCs w:val="20"/>
          <w:color w:val="auto"/>
        </w:rPr>
      </w:pPr>
      <w:r>
        <w:rPr>
          <w:rFonts w:ascii="Times New Roman" w:cs="Times New Roman" w:eastAsia="Times New Roman" w:hAnsi="Times New Roman"/>
          <w:sz w:val="13"/>
          <w:szCs w:val="13"/>
          <w:color w:val="auto"/>
        </w:rPr>
        <w:t>Financial instruments that potentially expose the Company to concentrations of credit risk consist of cash and cash equivalents. The Company maintains its cash and cash equivalents in accredited financial institutions of high credit standing. Deposits in certain accounts may exceed federally insured limits; however, the Company has not experienced any losses in such accounts.</w:t>
      </w:r>
    </w:p>
    <w:p>
      <w:pPr>
        <w:spacing w:after="0" w:line="119" w:lineRule="exact"/>
        <w:rPr>
          <w:sz w:val="20"/>
          <w:szCs w:val="20"/>
          <w:color w:val="auto"/>
        </w:rPr>
      </w:pPr>
    </w:p>
    <w:p>
      <w:pPr>
        <w:ind w:left="760" w:right="999" w:firstLine="249"/>
        <w:spacing w:after="0" w:line="278" w:lineRule="auto"/>
        <w:rPr>
          <w:sz w:val="20"/>
          <w:szCs w:val="20"/>
          <w:color w:val="auto"/>
        </w:rPr>
      </w:pPr>
      <w:r>
        <w:rPr>
          <w:rFonts w:ascii="Times New Roman" w:cs="Times New Roman" w:eastAsia="Times New Roman" w:hAnsi="Times New Roman"/>
          <w:sz w:val="14"/>
          <w:szCs w:val="14"/>
          <w:color w:val="auto"/>
        </w:rPr>
        <w:t>The Company has no off-balance sheet arrangements. For the years ended December 31, 2025 and 2024, the Company did not generate any revenue.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71" w:lineRule="exact"/>
        <w:rPr>
          <w:sz w:val="20"/>
          <w:szCs w:val="20"/>
          <w:color w:val="auto"/>
        </w:rPr>
      </w:pPr>
    </w:p>
    <w:p>
      <w:pPr>
        <w:ind w:left="760" w:right="959" w:firstLine="249"/>
        <w:spacing w:after="0" w:line="253" w:lineRule="auto"/>
        <w:rPr>
          <w:sz w:val="20"/>
          <w:szCs w:val="20"/>
          <w:color w:val="auto"/>
        </w:rPr>
      </w:pPr>
      <w:r>
        <w:rPr>
          <w:rFonts w:ascii="Times New Roman" w:cs="Times New Roman" w:eastAsia="Times New Roman" w:hAnsi="Times New Roman"/>
          <w:sz w:val="14"/>
          <w:szCs w:val="14"/>
          <w:color w:val="auto"/>
        </w:rPr>
        <w:t xml:space="preserve">The Company computes net loss per share in accordance with ASC Topic 260,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net loss per share is computed by dividing net loss by the weighted-average number of common shares outstanding for the period. Diluted net loss per share attributable to common stockholders is computed by dividing the net loss by the weighted-average number of common shares and common share equivalents of potentially dilutive securities outstanding for the period. Potentially dilutive securities include redeemable convertible preferred stock, warrants, convertible promissory notes, restricted stock units and common stock options. Basic net loss per share was the same as diluted net loss per share for all periods presented since the effects of potentially dilutive securities are anti-dilutive.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We account for income taxes under the asset and liability method, which requires the recognition of deferred tax assets and liabilities for the expected future tax consequences of events that have been included in the consolidated financial statements. Under this method, we determine deferred tax assets and liabilities on the basis of the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5" w:lineRule="exact"/>
        <w:rPr>
          <w:sz w:val="20"/>
          <w:szCs w:val="20"/>
          <w:color w:val="auto"/>
        </w:rPr>
      </w:pPr>
    </w:p>
    <w:p>
      <w:pPr>
        <w:ind w:left="760" w:right="919" w:firstLine="249"/>
        <w:spacing w:after="0" w:line="318" w:lineRule="auto"/>
        <w:rPr>
          <w:sz w:val="20"/>
          <w:szCs w:val="20"/>
          <w:color w:val="auto"/>
        </w:rPr>
      </w:pPr>
      <w:r>
        <w:rPr>
          <w:rFonts w:ascii="Times New Roman" w:cs="Times New Roman" w:eastAsia="Times New Roman" w:hAnsi="Times New Roman"/>
          <w:sz w:val="13"/>
          <w:szCs w:val="13"/>
          <w:color w:val="auto"/>
        </w:rPr>
        <w:t>We recognize deferred tax assets to the extent that we believe that these assets are more likely than not to be realized. In making such a determination, we consider all available positive and negative evidence, including future reversals of existing taxable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9019"/>
          </w:cols>
          <w:pgMar w:left="1440" w:top="572" w:right="1440" w:bottom="1440" w:gutter="0" w:footer="0" w:header="0"/>
        </w:sectPr>
      </w:pPr>
    </w:p>
    <w:bookmarkStart w:id="177" w:name="page178"/>
    <w:bookmarkEnd w:id="17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839"/>
        <w:spacing w:after="0" w:line="257" w:lineRule="auto"/>
        <w:rPr>
          <w:sz w:val="20"/>
          <w:szCs w:val="20"/>
          <w:color w:val="auto"/>
        </w:rPr>
      </w:pPr>
      <w:r>
        <w:rPr>
          <w:rFonts w:ascii="Times New Roman" w:cs="Times New Roman" w:eastAsia="Times New Roman" w:hAnsi="Times New Roman"/>
          <w:sz w:val="14"/>
          <w:szCs w:val="14"/>
          <w:color w:val="auto"/>
        </w:rPr>
        <w:t>temporary differences, projected future taxable income, tax- 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 A valuation allowance is recorded when it is deemed more likely than not that some portion or all of a deferred tax asset will not be realized.</w:t>
      </w:r>
    </w:p>
    <w:p>
      <w:pPr>
        <w:spacing w:after="0" w:line="140" w:lineRule="exact"/>
        <w:rPr>
          <w:sz w:val="20"/>
          <w:szCs w:val="20"/>
          <w:color w:val="auto"/>
        </w:rPr>
      </w:pPr>
    </w:p>
    <w:p>
      <w:pPr>
        <w:ind w:left="760" w:right="779" w:firstLine="249"/>
        <w:spacing w:after="0" w:line="258" w:lineRule="auto"/>
        <w:rPr>
          <w:sz w:val="20"/>
          <w:szCs w:val="20"/>
          <w:color w:val="auto"/>
        </w:rPr>
      </w:pPr>
      <w:r>
        <w:rPr>
          <w:rFonts w:ascii="Times New Roman" w:cs="Times New Roman" w:eastAsia="Times New Roman" w:hAnsi="Times New Roman"/>
          <w:sz w:val="14"/>
          <w:szCs w:val="14"/>
          <w:color w:val="auto"/>
        </w:rPr>
        <w:t xml:space="preserve">We record uncertain tax positions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if it is more likely than not that the tax positions will be sustained on the basis of the technical merits of the position and meet the more-likely-than-not recognition threshold. The positions are measured based on the largest amount of tax benefit that is more than 50 percent likely to be realized upon ultimate settlement with the related tax authority.</w:t>
      </w:r>
    </w:p>
    <w:p>
      <w:pPr>
        <w:spacing w:after="0" w:line="141" w:lineRule="exact"/>
        <w:rPr>
          <w:sz w:val="20"/>
          <w:szCs w:val="20"/>
          <w:color w:val="auto"/>
        </w:rPr>
      </w:pPr>
    </w:p>
    <w:p>
      <w:pPr>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We recognize interest and penalties related to unrecognized tax benefits in the income tax provision in the accompanying consolidated statements of operations. As of December 31, 2025 and, 2024, there are no accrued interest or penalties recorded on the consolidated balance sheets.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3"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 specified effective date. After completion of the business combination described in Note 16, the Company expects it will be is considered to be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spacing w:after="0" w:line="144"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(“ASU 2023-07”), which improves segment disclosure requirements, primarily through enhanced disclosure requirements for significant segment expenses. The improved disclosure requirements apply to all public entities that are required to report segment information, including those with only one reportable segment. The Company adopted the guidance effective January 1, 2024. The Company has included the additional required disclosures in Note 14.</w:t>
      </w:r>
    </w:p>
    <w:p>
      <w:pPr>
        <w:spacing w:after="0" w:line="142" w:lineRule="exact"/>
        <w:rPr>
          <w:sz w:val="20"/>
          <w:szCs w:val="20"/>
          <w:color w:val="auto"/>
        </w:rPr>
      </w:pPr>
    </w:p>
    <w:p>
      <w:pPr>
        <w:ind w:left="760" w:right="879" w:firstLine="249"/>
        <w:spacing w:after="0" w:line="253"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(ASC Topic 740): Improvements to Income Tax Disclosures (“ASU 2023-09”), which establishes incremental disaggregation of income tax disclosures pertaining to the effective tax rate reconciliation and income taxes paid. The amendments in this update apply to all entities that are subject to ASC Topic 740, Income Taxes. For public business entities, the amendments in this update are effective for annual periods beginning after December 15, 2024, and early adoption is permitted. The Company adopted the guidance effective January 1, 2025, with prospective application. The Company has included the additional required disclosures in Note 12.</w:t>
      </w:r>
    </w:p>
    <w:p>
      <w:pPr>
        <w:spacing w:after="0" w:line="145"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In May 2025, the FASB issued ASU 2025-03 - Business Combinations (Topic 805) and Consolidation (Topic 810): Determining the Accounting Acquirer in a Variable-Interest Entity. This standard clarifies that when a business combination is effected primarily by exchanging equity interests and the legal acquiree is a variable-interest entity (“VIE”) that meets the definition of a business, entities must identify the accounting acquirer using the factors in ASC 805-10-55-12 through 55-15, rather than relying solely on the VIE consolidation model. The ASU is effective for years beginning after December 15, 2026, but early adoption is permitted. This ASU should be applied on a prospective basis, although retrospective application is permitted. The Company has elected to early adopt this standard effective January 1, 2024.</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 Not Yet Adopted</w:t>
      </w:r>
    </w:p>
    <w:p>
      <w:pPr>
        <w:spacing w:after="0" w:line="173" w:lineRule="exact"/>
        <w:rPr>
          <w:sz w:val="20"/>
          <w:szCs w:val="20"/>
          <w:color w:val="auto"/>
        </w:rPr>
      </w:pPr>
    </w:p>
    <w:p>
      <w:pPr>
        <w:ind w:left="760" w:right="839" w:firstLine="249"/>
        <w:spacing w:after="0" w:line="292" w:lineRule="auto"/>
        <w:rPr>
          <w:sz w:val="20"/>
          <w:szCs w:val="20"/>
          <w:color w:val="auto"/>
        </w:rPr>
      </w:pPr>
      <w:r>
        <w:rPr>
          <w:rFonts w:ascii="Times New Roman" w:cs="Times New Roman" w:eastAsia="Times New Roman" w:hAnsi="Times New Roman"/>
          <w:sz w:val="13"/>
          <w:szCs w:val="13"/>
          <w:color w:val="auto"/>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9019"/>
          </w:cols>
          <w:pgMar w:left="1440" w:top="571" w:right="1440" w:bottom="1440" w:gutter="0" w:footer="0" w:header="0"/>
        </w:sectPr>
      </w:pPr>
    </w:p>
    <w:bookmarkStart w:id="178" w:name="page179"/>
    <w:bookmarkEnd w:id="17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jc w:val="both"/>
        <w:ind w:left="760" w:right="1179"/>
        <w:spacing w:after="0" w:line="262" w:lineRule="auto"/>
        <w:rPr>
          <w:sz w:val="20"/>
          <w:szCs w:val="20"/>
          <w:color w:val="auto"/>
        </w:rPr>
      </w:pPr>
      <w:r>
        <w:rPr>
          <w:rFonts w:ascii="Times New Roman" w:cs="Times New Roman" w:eastAsia="Times New Roman" w:hAnsi="Times New Roman"/>
          <w:sz w:val="14"/>
          <w:szCs w:val="14"/>
          <w:color w:val="auto"/>
        </w:rPr>
        <w:t>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spacing w:after="0" w:line="138"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that this guidance will have on its consolidated financial statements and related disclosures. While that assessment is ongoing, the Company does not expect the adoption of ASU 2025-05 to have a material impact on its accounting policies, financial position, results of operations, or cash flows, given the short-term nature and historically no loss experience of its trade receivables and contract assets.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3 - FAIR VALUE MEASURES</w:t>
      </w:r>
    </w:p>
    <w:p>
      <w:pPr>
        <w:spacing w:after="0" w:line="173"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Certain assets and liabilities are reported on a recurring basis at fair value. Fair value is defined as the exchange price that would be received for an asset or paid to transfer a liability (at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Level 1 - Quoted prices are available in active markets for identical assets or liabilities.</w:t>
      </w:r>
    </w:p>
    <w:p>
      <w:pPr>
        <w:spacing w:after="0" w:line="171"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8" w:lineRule="exact"/>
        <w:rPr>
          <w:sz w:val="20"/>
          <w:szCs w:val="20"/>
          <w:color w:val="auto"/>
        </w:rPr>
      </w:pPr>
    </w:p>
    <w:p>
      <w:pPr>
        <w:ind w:left="760" w:right="1079" w:firstLine="249"/>
        <w:spacing w:after="0" w:line="278" w:lineRule="auto"/>
        <w:rPr>
          <w:sz w:val="20"/>
          <w:szCs w:val="20"/>
          <w:color w:val="auto"/>
        </w:rPr>
      </w:pPr>
      <w:r>
        <w:rPr>
          <w:rFonts w:ascii="Times New Roman" w:cs="Times New Roman" w:eastAsia="Times New Roman" w:hAnsi="Times New Roman"/>
          <w:sz w:val="14"/>
          <w:szCs w:val="14"/>
          <w:color w:val="auto"/>
        </w:rPr>
        <w:t>Level 3 - Unobservable inputs that are supported by little or no market activity and that are significant to determining the fair value of the assets or liabilities.</w:t>
      </w:r>
    </w:p>
    <w:p>
      <w:pPr>
        <w:spacing w:after="0" w:line="126" w:lineRule="exact"/>
        <w:rPr>
          <w:sz w:val="20"/>
          <w:szCs w:val="20"/>
          <w:color w:val="auto"/>
        </w:rPr>
      </w:pPr>
    </w:p>
    <w:p>
      <w:pPr>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A financial instrument’s level within the fair value hierarchy is based on the lowest level of any input that is significant to the fair value measurement. The following table presents information about the Company’s financial assets and liabilities measured at fair value on a recurring basis and the level of input utilized to determine such fair values (in thousands):</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580" w:type="dxa"/>
            <w:vAlign w:val="bottom"/>
          </w:tcPr>
          <w:p>
            <w:pPr>
              <w:ind w:left="44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880" w:type="dxa"/>
            <w:vAlign w:val="bottom"/>
            <w:gridSpan w:val="11"/>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2025</w:t>
            </w:r>
          </w:p>
        </w:tc>
        <w:tc>
          <w:tcPr>
            <w:tcW w:w="0" w:type="dxa"/>
            <w:vAlign w:val="bottom"/>
          </w:tcPr>
          <w:p>
            <w:pPr>
              <w:spacing w:after="0"/>
              <w:rPr>
                <w:sz w:val="1"/>
                <w:szCs w:val="1"/>
                <w:color w:val="auto"/>
              </w:rPr>
            </w:pPr>
          </w:p>
        </w:tc>
      </w:tr>
      <w:tr>
        <w:trPr>
          <w:trHeight w:val="115"/>
        </w:trPr>
        <w:tc>
          <w:tcPr>
            <w:tcW w:w="4580" w:type="dxa"/>
            <w:vAlign w:val="bottom"/>
          </w:tcPr>
          <w:p>
            <w:pPr>
              <w:ind w:left="44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top w:val="single" w:sz="8" w:color="auto"/>
            </w:tcBorders>
            <w:gridSpan w:val="2"/>
          </w:tcPr>
          <w:p>
            <w:pPr>
              <w:jc w:val="right"/>
              <w:ind w:right="11"/>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79"/>
              <w:spacing w:after="0" w:line="115"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Borders>
              <w:top w:val="single" w:sz="8" w:color="auto"/>
            </w:tcBorders>
            <w:gridSpan w:val="2"/>
          </w:tcPr>
          <w:p>
            <w:pPr>
              <w:jc w:val="right"/>
              <w:ind w:right="11"/>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top w:val="single" w:sz="8" w:color="auto"/>
            </w:tcBorders>
            <w:gridSpan w:val="2"/>
          </w:tcPr>
          <w:p>
            <w:pPr>
              <w:jc w:val="right"/>
              <w:ind w:right="8"/>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5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54"/>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Money market (included in cash and cash equivalents)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Money market (included in restricted cash)</w:t>
            </w: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15,033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15,033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 liability Series B-1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Warrant liability Series D</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80" w:type="dxa"/>
            <w:vAlign w:val="bottom"/>
            <w:tcBorders>
              <w:bottom w:val="single" w:sz="8" w:color="CCEEFF"/>
            </w:tcBorders>
            <w:shd w:val="clear" w:color="auto" w:fill="CCEEFF"/>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22,267</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22,267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3620"/>
              <w:spacing w:after="0"/>
              <w:rPr>
                <w:sz w:val="20"/>
                <w:szCs w:val="20"/>
                <w:color w:val="auto"/>
              </w:rPr>
            </w:pPr>
            <w:r>
              <w:rPr>
                <w:rFonts w:ascii="Times New Roman" w:cs="Times New Roman" w:eastAsia="Times New Roman" w:hAnsi="Times New Roman"/>
                <w:sz w:val="14"/>
                <w:szCs w:val="14"/>
                <w:color w:val="auto"/>
              </w:rPr>
              <w:t>F-41</w:t>
            </w: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4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72" w:right="1440" w:bottom="1440" w:gutter="0" w:footer="0" w:header="0"/>
        </w:sectPr>
      </w:pPr>
    </w:p>
    <w:bookmarkStart w:id="179" w:name="page180"/>
    <w:bookmarkEnd w:id="17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124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01945" cy="712406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349"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580" w:type="dxa"/>
            <w:vAlign w:val="bottom"/>
          </w:tcPr>
          <w:p>
            <w:pPr>
              <w:ind w:left="44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880" w:type="dxa"/>
            <w:vAlign w:val="bottom"/>
            <w:gridSpan w:val="11"/>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2024</w:t>
            </w:r>
          </w:p>
        </w:tc>
      </w:tr>
      <w:tr>
        <w:trPr>
          <w:trHeight w:val="115"/>
        </w:trPr>
        <w:tc>
          <w:tcPr>
            <w:tcW w:w="4580" w:type="dxa"/>
            <w:vAlign w:val="bottom"/>
          </w:tcPr>
          <w:p>
            <w:pPr>
              <w:ind w:left="44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top w:val="single" w:sz="8" w:color="auto"/>
            </w:tcBorders>
            <w:gridSpan w:val="2"/>
          </w:tcPr>
          <w:p>
            <w:pPr>
              <w:jc w:val="right"/>
              <w:ind w:right="11"/>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79"/>
              <w:spacing w:after="0" w:line="115"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Borders>
              <w:top w:val="single" w:sz="8" w:color="auto"/>
            </w:tcBorders>
            <w:gridSpan w:val="2"/>
          </w:tcPr>
          <w:p>
            <w:pPr>
              <w:jc w:val="right"/>
              <w:ind w:right="11"/>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top w:val="single" w:sz="8" w:color="auto"/>
            </w:tcBorders>
            <w:gridSpan w:val="2"/>
          </w:tcPr>
          <w:p>
            <w:pPr>
              <w:jc w:val="right"/>
              <w:ind w:right="8"/>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0"/>
                <w:szCs w:val="10"/>
                <w:color w:val="auto"/>
              </w:rPr>
            </w:pPr>
          </w:p>
        </w:tc>
      </w:tr>
      <w:tr>
        <w:trPr>
          <w:trHeight w:val="157"/>
        </w:trPr>
        <w:tc>
          <w:tcPr>
            <w:tcW w:w="45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54"/>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166"/>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(included in cash and cash equivalents)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(included in restricted cash)</w:t>
            </w: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97"/>
        </w:trPr>
        <w:tc>
          <w:tcPr>
            <w:tcW w:w="458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37,410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37,410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r>
      <w:tr>
        <w:trPr>
          <w:trHeight w:val="137"/>
        </w:trPr>
        <w:tc>
          <w:tcPr>
            <w:tcW w:w="4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 Series B-1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4"/>
                <w:szCs w:val="14"/>
                <w:color w:val="auto"/>
              </w:rPr>
            </w:pPr>
          </w:p>
        </w:tc>
      </w:tr>
      <w:tr>
        <w:trPr>
          <w:trHeight w:val="16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liability Series D</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0" w:type="dxa"/>
            <w:vAlign w:val="bottom"/>
          </w:tcPr>
          <w:p>
            <w:pPr>
              <w:spacing w:after="0"/>
              <w:rPr>
                <w:sz w:val="14"/>
                <w:szCs w:val="14"/>
                <w:color w:val="auto"/>
              </w:rPr>
            </w:pPr>
          </w:p>
        </w:tc>
      </w:tr>
      <w:tr>
        <w:trPr>
          <w:trHeight w:val="16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57"/>
        </w:trPr>
        <w:tc>
          <w:tcPr>
            <w:tcW w:w="45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1,148</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1,148</w:t>
            </w:r>
          </w:p>
        </w:tc>
        <w:tc>
          <w:tcPr>
            <w:tcW w:w="40" w:type="dxa"/>
            <w:vAlign w:val="bottom"/>
          </w:tcPr>
          <w:p>
            <w:pPr>
              <w:spacing w:after="0"/>
              <w:rPr>
                <w:sz w:val="13"/>
                <w:szCs w:val="13"/>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1139" w:firstLine="249"/>
        <w:spacing w:after="0" w:line="278" w:lineRule="auto"/>
        <w:rPr>
          <w:sz w:val="20"/>
          <w:szCs w:val="20"/>
          <w:color w:val="auto"/>
        </w:rPr>
      </w:pPr>
      <w:r>
        <w:rPr>
          <w:rFonts w:ascii="Times New Roman" w:cs="Times New Roman" w:eastAsia="Times New Roman" w:hAnsi="Times New Roman"/>
          <w:sz w:val="14"/>
          <w:szCs w:val="14"/>
          <w:color w:val="auto"/>
        </w:rPr>
        <w:t>Transfers to/from Levels 1, 2, and 3 are recognized at the beginning of the reporting period. There were no transfers to/from Levels 1, 2, and 3 during the years ended December 31, 2025, and 2024.</w:t>
      </w:r>
    </w:p>
    <w:p>
      <w:pPr>
        <w:spacing w:after="0" w:line="126"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presents a roll-forward of the aggregate fair values of the Company’s Warrant liabilities and the Company’s Convertible promissory notes for which fair value is determined by Level 3 inputs (in thousands):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 Warrant Liability</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 Warrant Liability</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Series D</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Promissory Notes</w:t>
            </w:r>
          </w:p>
        </w:tc>
        <w:tc>
          <w:tcPr>
            <w:tcW w:w="0" w:type="dxa"/>
            <w:vAlign w:val="bottom"/>
          </w:tcPr>
          <w:p>
            <w:pPr>
              <w:spacing w:after="0"/>
              <w:rPr>
                <w:sz w:val="1"/>
                <w:szCs w:val="1"/>
                <w:color w:val="auto"/>
              </w:rPr>
            </w:pPr>
          </w:p>
        </w:tc>
      </w:tr>
      <w:tr>
        <w:trPr>
          <w:trHeight w:val="157"/>
        </w:trPr>
        <w:tc>
          <w:tcPr>
            <w:tcW w:w="35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1,636</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165</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1,471</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54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1,034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Issuance of convertible promissory notes</w:t>
            </w: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5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51"/>
        </w:trPr>
        <w:tc>
          <w:tcPr>
            <w:tcW w:w="35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Financing costs related to issuance of convertible promissory</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6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0" w:type="dxa"/>
            <w:vAlign w:val="bottom"/>
          </w:tcPr>
          <w:p>
            <w:pPr>
              <w:spacing w:after="0"/>
              <w:rPr>
                <w:sz w:val="1"/>
                <w:szCs w:val="1"/>
                <w:color w:val="auto"/>
              </w:rPr>
            </w:pPr>
          </w:p>
        </w:tc>
      </w:tr>
      <w:tr>
        <w:trPr>
          <w:trHeight w:val="157"/>
        </w:trPr>
        <w:tc>
          <w:tcPr>
            <w:tcW w:w="354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December 31, 2025</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22,267</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608</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2,770</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18,889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 Series B-1</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 Series D</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connection with the issuance of Series D redeemable convertible preferred stock of the Company (“Series D”) on</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November 30, 2021, the Company entered into a warrant for preferred stock with each of Mercedes-Benz Investment Company LLC</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Stellantis (each a “Holder”) (“Series D Agreement”). Upon closing of the Series D Agreement, Mercedes-Benz Investment</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Company LLC and its affiliates (“Mercedes-Benz”) and Stellantis became related parties to the Company. During 2022, the Warrant</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Agreements were amended and restated with both Stellantis and Mercedes-Benz to eliminate certain milestone- based provisions.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Amended Warrants modified the original agreements by setting the number of shares issuable upon exercise at a fixed 137,814 shares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 Holder at a fixed price of $27.2105 per share. The warrants have a maturity date of February 1, 2029, or the closing of the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9019"/>
          </w:cols>
          <w:pgMar w:left="1440" w:top="571" w:right="1440"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939"/>
        <w:spacing w:after="0" w:line="262" w:lineRule="auto"/>
        <w:rPr>
          <w:sz w:val="20"/>
          <w:szCs w:val="20"/>
          <w:color w:val="auto"/>
        </w:rPr>
      </w:pPr>
      <w:r>
        <w:rPr>
          <w:rFonts w:ascii="Times New Roman" w:cs="Times New Roman" w:eastAsia="Times New Roman" w:hAnsi="Times New Roman"/>
          <w:sz w:val="14"/>
          <w:szCs w:val="14"/>
          <w:color w:val="auto"/>
        </w:rPr>
        <w:t>Company’s Initial Public Offering. The Amended Warrants remain consistent with the Warrant Agreements to require settlement through the issuance of the then most senior redeemable convertible preferred stock of the Company to the Holder. At inception, the monetary value of the obligation is based on a fixed monetary amount known at inception.</w:t>
      </w:r>
    </w:p>
    <w:p>
      <w:pPr>
        <w:spacing w:after="0" w:line="138"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75% weighting to the SPAC Exit Scenario and 25% to the Option Pricing Method (“OPM”) scenario as of December 31, 2025.</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assumptions used in valuing the Series B-1 and D Warrant Agreements in the SPAC Exit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40" w:type="dxa"/>
            <w:vAlign w:val="bottom"/>
          </w:tcPr>
          <w:p>
            <w:pPr>
              <w:ind w:left="5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Discount rate</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8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4"/>
                <w:szCs w:val="14"/>
                <w:color w:val="auto"/>
              </w:rPr>
            </w:pP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projected price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shd w:val="clear" w:color="auto" w:fill="CCEEFF"/>
          </w:tcPr>
          <w:p>
            <w:pPr>
              <w:spacing w:after="0"/>
              <w:rPr>
                <w:sz w:val="14"/>
                <w:szCs w:val="14"/>
                <w:color w:val="auto"/>
              </w:rPr>
            </w:pPr>
          </w:p>
        </w:tc>
      </w:tr>
      <w:tr>
        <w:trPr>
          <w:trHeight w:val="181"/>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spacing w:after="0" w:line="142"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The expected life is based upon the fact that the Warrant Agreements would not persist through a liquidity event, and therefore the expected life is based upon management’s estimated holding period to an exit/liquidity event.</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the assumptions used in valuing the Series B-1 and D Warrant Agreements in the OPM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40" w:type="dxa"/>
            <w:vAlign w:val="bottom"/>
          </w:tcPr>
          <w:p>
            <w:pPr>
              <w:ind w:left="5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Share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18.14</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33.71</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100" w:type="dxa"/>
            <w:vAlign w:val="bottom"/>
          </w:tcPr>
          <w:p>
            <w:pPr>
              <w:spacing w:after="0"/>
              <w:rPr>
                <w:sz w:val="14"/>
                <w:szCs w:val="14"/>
                <w:color w:val="auto"/>
              </w:rPr>
            </w:pPr>
          </w:p>
        </w:tc>
        <w:tc>
          <w:tcPr>
            <w:tcW w:w="84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90 %</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3.5 %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51"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spacing w:after="0" w:line="144" w:lineRule="exact"/>
        <w:rPr>
          <w:sz w:val="20"/>
          <w:szCs w:val="20"/>
          <w:color w:val="auto"/>
        </w:rPr>
      </w:pPr>
    </w:p>
    <w:p>
      <w:pPr>
        <w:ind w:left="760" w:right="779" w:firstLine="249"/>
        <w:spacing w:after="0" w:line="262" w:lineRule="auto"/>
        <w:rPr>
          <w:sz w:val="20"/>
          <w:szCs w:val="20"/>
          <w:color w:val="auto"/>
        </w:rPr>
      </w:pPr>
      <w:r>
        <w:rPr>
          <w:rFonts w:ascii="Times New Roman" w:cs="Times New Roman" w:eastAsia="Times New Roman" w:hAnsi="Times New Roman"/>
          <w:sz w:val="14"/>
          <w:szCs w:val="14"/>
          <w:color w:val="auto"/>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9019"/>
          </w:cols>
          <w:pgMar w:left="1440" w:top="572" w:right="1440" w:bottom="1440" w:gutter="0" w:footer="0" w:header="0"/>
        </w:sectPr>
      </w:pPr>
    </w:p>
    <w:bookmarkStart w:id="181" w:name="page182"/>
    <w:bookmarkEnd w:id="18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7031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01945" cy="703135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1099"/>
        <w:spacing w:after="0" w:line="278" w:lineRule="auto"/>
        <w:rPr>
          <w:sz w:val="20"/>
          <w:szCs w:val="20"/>
          <w:color w:val="auto"/>
        </w:rPr>
      </w:pPr>
      <w:r>
        <w:rPr>
          <w:rFonts w:ascii="Times New Roman" w:cs="Times New Roman" w:eastAsia="Times New Roman" w:hAnsi="Times New Roman"/>
          <w:sz w:val="14"/>
          <w:szCs w:val="14"/>
          <w:color w:val="auto"/>
        </w:rPr>
        <w:t>distribution waterfall as outlined in the Company’s operating agreement. Significant increases (decreases) in the equity value, the expected life, or the assumed volatility, could result in significantly higher (lower) fair value measurements.</w:t>
      </w:r>
    </w:p>
    <w:p>
      <w:pPr>
        <w:spacing w:after="0" w:line="126" w:lineRule="exact"/>
        <w:rPr>
          <w:sz w:val="20"/>
          <w:szCs w:val="20"/>
          <w:color w:val="auto"/>
        </w:rPr>
      </w:pPr>
    </w:p>
    <w:p>
      <w:pPr>
        <w:ind w:left="760" w:right="1019" w:firstLine="249"/>
        <w:spacing w:after="0" w:line="278" w:lineRule="auto"/>
        <w:rPr>
          <w:sz w:val="20"/>
          <w:szCs w:val="20"/>
          <w:color w:val="auto"/>
        </w:rPr>
      </w:pPr>
      <w:r>
        <w:rPr>
          <w:rFonts w:ascii="Times New Roman" w:cs="Times New Roman" w:eastAsia="Times New Roman" w:hAnsi="Times New Roman"/>
          <w:sz w:val="14"/>
          <w:szCs w:val="14"/>
          <w:color w:val="auto"/>
        </w:rPr>
        <w:t>To estimate the fair value of the Series B-1 and D Warrant Agreements, the Company applied the OPM allocation model as of December 31, 2024.</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the assumptions used in valuing the Series B-1 and D Warrant Agreements, as of December 31, 2024:</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800" w:type="dxa"/>
            <w:vAlign w:val="bottom"/>
          </w:tcPr>
          <w:p>
            <w:pPr>
              <w:ind w:left="56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Series B-1   </w:t>
            </w:r>
            <w:r>
              <w:rPr>
                <w:rFonts w:ascii="Times New Roman" w:cs="Times New Roman" w:eastAsia="Times New Roman" w:hAnsi="Times New Roman"/>
                <w:sz w:val="11"/>
                <w:szCs w:val="11"/>
                <w:color w:val="auto"/>
              </w:rPr>
              <w:t>​​​</w:t>
            </w:r>
          </w:p>
        </w:tc>
        <w:tc>
          <w:tcPr>
            <w:tcW w:w="800" w:type="dxa"/>
            <w:vAlign w:val="bottom"/>
            <w:gridSpan w:val="2"/>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8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Assumed volatility</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Borders>
              <w:top w:val="single" w:sz="8" w:color="CCEEFF"/>
            </w:tcBorders>
            <w:shd w:val="clear" w:color="auto" w:fill="CCEEFF"/>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8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4.29 %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4.29 %</w:t>
            </w:r>
          </w:p>
        </w:tc>
      </w:tr>
      <w:tr>
        <w:trPr>
          <w:trHeight w:val="16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4"/>
                <w:szCs w:val="14"/>
                <w:color w:val="auto"/>
              </w:rPr>
            </w:pPr>
          </w:p>
        </w:tc>
      </w:tr>
      <w:tr>
        <w:trPr>
          <w:trHeight w:val="181"/>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8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bl>
    <w:p>
      <w:pPr>
        <w:spacing w:after="0" w:line="136"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Series B-1 and D warrant liability are the equity value of the Company, the expected life and assumed volatility. The equity value of the Company is derived from the issuance and sale price of D Preferred Stock, including rights and preferences of Series B-1 and D Preferred Stock relative to other equity interests, and is market adjusted based on peer company results from the time of the financing to the time of the valuation.</w:t>
      </w:r>
    </w:p>
    <w:p>
      <w:pPr>
        <w:spacing w:after="0" w:line="142"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spacing w:after="0" w:line="142"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As of December 31, 2025, the Company had reserved 295,558 shares of common stock for potential conversion of Series B-1 and D Warrants.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w:t>
      </w:r>
    </w:p>
    <w:p>
      <w:pPr>
        <w:spacing w:after="0" w:line="173"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spacing w:after="0" w:line="142"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The assumptions used in determining the fair value of the August 2025 Notes under the SBM during the year ended December 31, 2025, were as follows:</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40" w:type="dxa"/>
            <w:vAlign w:val="bottom"/>
            <w:gridSpan w:val="3"/>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Series D, year ended</w:t>
            </w:r>
          </w:p>
        </w:tc>
        <w:tc>
          <w:tcPr>
            <w:tcW w:w="20" w:type="dxa"/>
            <w:vAlign w:val="bottom"/>
          </w:tcPr>
          <w:p>
            <w:pPr>
              <w:spacing w:after="0"/>
              <w:rPr>
                <w:sz w:val="11"/>
                <w:szCs w:val="11"/>
                <w:color w:val="auto"/>
              </w:rPr>
            </w:pPr>
          </w:p>
        </w:tc>
        <w:tc>
          <w:tcPr>
            <w:tcW w:w="1120" w:type="dxa"/>
            <w:vAlign w:val="bottom"/>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Series D, August 1,</w:t>
            </w:r>
          </w:p>
        </w:tc>
      </w:tr>
      <w:tr>
        <w:trPr>
          <w:trHeight w:val="133"/>
        </w:trPr>
        <w:tc>
          <w:tcPr>
            <w:tcW w:w="3380" w:type="dxa"/>
            <w:vAlign w:val="bottom"/>
          </w:tcPr>
          <w:p>
            <w:pPr>
              <w:spacing w:after="0"/>
              <w:rPr>
                <w:sz w:val="11"/>
                <w:szCs w:val="11"/>
                <w:color w:val="auto"/>
              </w:rPr>
            </w:pPr>
          </w:p>
        </w:tc>
        <w:tc>
          <w:tcPr>
            <w:tcW w:w="18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231F2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December 31, 2025  </w:t>
            </w:r>
            <w:r>
              <w:rPr>
                <w:rFonts w:ascii="Times New Roman" w:cs="Times New Roman" w:eastAsia="Times New Roman" w:hAnsi="Times New Roman"/>
                <w:sz w:val="11"/>
                <w:szCs w:val="11"/>
                <w:b w:val="1"/>
                <w:bCs w:val="1"/>
                <w:color w:val="231F20"/>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r>
      <w:tr>
        <w:trPr>
          <w:trHeight w:val="157"/>
        </w:trPr>
        <w:tc>
          <w:tcPr>
            <w:tcW w:w="33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SPAC Exit Scenario</w:t>
            </w:r>
          </w:p>
        </w:tc>
        <w:tc>
          <w:tcPr>
            <w:tcW w:w="17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18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Qualified Financing Scenario</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6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Dissolution Scenario</w:t>
            </w: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6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4"/>
                <w:szCs w:val="14"/>
                <w:color w:val="auto"/>
              </w:rPr>
            </w:pPr>
          </w:p>
        </w:tc>
      </w:tr>
      <w:tr>
        <w:trPr>
          <w:trHeight w:val="16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discount rate</w:t>
            </w: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Share value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80" w:type="dxa"/>
            <w:vAlign w:val="bottom"/>
          </w:tcPr>
          <w:p>
            <w:pPr>
              <w:spacing w:after="0"/>
              <w:rPr>
                <w:sz w:val="15"/>
                <w:szCs w:val="15"/>
                <w:color w:val="auto"/>
              </w:rPr>
            </w:pPr>
          </w:p>
        </w:tc>
        <w:tc>
          <w:tcPr>
            <w:tcW w:w="26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819" w:firstLine="249"/>
        <w:spacing w:after="0" w:line="318" w:lineRule="auto"/>
        <w:rPr>
          <w:sz w:val="20"/>
          <w:szCs w:val="20"/>
          <w:color w:val="auto"/>
        </w:rPr>
      </w:pPr>
      <w:r>
        <w:rPr>
          <w:rFonts w:ascii="Times New Roman" w:cs="Times New Roman" w:eastAsia="Times New Roman" w:hAnsi="Times New Roman"/>
          <w:sz w:val="13"/>
          <w:szCs w:val="13"/>
          <w:color w:val="auto"/>
        </w:rPr>
        <w:t>To estimate the share value of the Series D redeemable convertible preferred stock we used a PWERM. The two scenarios used in the estimation of the Series D redeemable convertible preferred stock are a SPAC Exit scenario and Option Pricing Method scenario.</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9019"/>
          </w:cols>
          <w:pgMar w:left="1440" w:top="572" w:right="1440" w:bottom="1440" w:gutter="0" w:footer="0" w:header="0"/>
        </w:sectPr>
      </w:pPr>
    </w:p>
    <w:bookmarkStart w:id="182" w:name="page183"/>
    <w:bookmarkEnd w:id="18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859"/>
        <w:spacing w:after="0" w:line="262" w:lineRule="auto"/>
        <w:rPr>
          <w:sz w:val="20"/>
          <w:szCs w:val="20"/>
          <w:color w:val="auto"/>
        </w:rPr>
      </w:pPr>
      <w:r>
        <w:rPr>
          <w:rFonts w:ascii="Times New Roman" w:cs="Times New Roman" w:eastAsia="Times New Roman" w:hAnsi="Times New Roman"/>
          <w:sz w:val="14"/>
          <w:szCs w:val="14"/>
          <w:color w:val="auto"/>
        </w:rPr>
        <w:t>As of August 1, 2025 we applied a 25% weighting to the SPAC Exit scenario and 75% weighting to the Option Pricing Method scenario. As of December 31, 2025, we applied a 75% weighting to the SPAC Exit scenario and 25% weighting to the Option Pricing Method scenario.</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 on a Non-Recurring Basis</w:t>
      </w:r>
    </w:p>
    <w:p>
      <w:pPr>
        <w:spacing w:after="0" w:line="173" w:lineRule="exact"/>
        <w:rPr>
          <w:sz w:val="20"/>
          <w:szCs w:val="20"/>
          <w:color w:val="auto"/>
        </w:rPr>
      </w:pPr>
    </w:p>
    <w:p>
      <w:pPr>
        <w:ind w:left="760" w:right="1259" w:firstLine="249"/>
        <w:spacing w:after="0" w:line="262" w:lineRule="auto"/>
        <w:rPr>
          <w:sz w:val="20"/>
          <w:szCs w:val="20"/>
          <w:color w:val="auto"/>
        </w:rPr>
      </w:pPr>
      <w:r>
        <w:rPr>
          <w:rFonts w:ascii="Times New Roman" w:cs="Times New Roman" w:eastAsia="Times New Roman" w:hAnsi="Times New Roman"/>
          <w:sz w:val="14"/>
          <w:szCs w:val="14"/>
          <w:color w:val="auto"/>
        </w:rPr>
        <w:t>The Company measured certain property and equipment to fair value on a non-recurring basis during the year ended December 31, 2025, related to the exit of a finance lease as further described in Note 7, using Level 3 inputs. Such assets were disposed of upon the Company’s exit from the lease in October 2025 and were derecognized at that time.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4 - PROPERTY AND EQUIPMENT</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1"/>
                <w:szCs w:val="11"/>
                <w:b w:val="1"/>
                <w:bCs w:val="1"/>
                <w:color w:val="231F20"/>
              </w:rPr>
              <w:t>As of December 31,</w:t>
            </w:r>
          </w:p>
        </w:tc>
      </w:tr>
      <w:tr>
        <w:trPr>
          <w:trHeight w:val="115"/>
        </w:trPr>
        <w:tc>
          <w:tcPr>
            <w:tcW w:w="4220" w:type="dxa"/>
            <w:vAlign w:val="bottom"/>
          </w:tcPr>
          <w:p>
            <w:pPr>
              <w:spacing w:after="0"/>
              <w:rPr>
                <w:sz w:val="10"/>
                <w:szCs w:val="10"/>
                <w:color w:val="auto"/>
              </w:rPr>
            </w:pPr>
          </w:p>
        </w:tc>
        <w:tc>
          <w:tcPr>
            <w:tcW w:w="1640" w:type="dxa"/>
            <w:vAlign w:val="bottom"/>
            <w:gridSpan w:val="2"/>
          </w:tcPr>
          <w:p>
            <w:pPr>
              <w:jc w:val="right"/>
              <w:ind w:right="91"/>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620" w:type="dxa"/>
            <w:vAlign w:val="bottom"/>
          </w:tcPr>
          <w:p>
            <w:pPr>
              <w:jc w:val="right"/>
              <w:ind w:right="233"/>
              <w:spacing w:after="0" w:line="115" w:lineRule="exact"/>
              <w:rPr>
                <w:sz w:val="20"/>
                <w:szCs w:val="20"/>
                <w:color w:val="auto"/>
              </w:rPr>
            </w:pPr>
            <w:r>
              <w:rPr>
                <w:rFonts w:ascii="Times New Roman" w:cs="Times New Roman" w:eastAsia="Times New Roman" w:hAnsi="Times New Roman"/>
                <w:sz w:val="11"/>
                <w:szCs w:val="11"/>
                <w:b w:val="1"/>
                <w:bCs w:val="1"/>
                <w:color w:val="231F20"/>
              </w:rPr>
              <w:t>2025</w:t>
            </w:r>
          </w:p>
        </w:tc>
        <w:tc>
          <w:tcPr>
            <w:tcW w:w="40" w:type="dxa"/>
            <w:vAlign w:val="bottom"/>
          </w:tcPr>
          <w:p>
            <w:pPr>
              <w:spacing w:after="0"/>
              <w:rPr>
                <w:sz w:val="10"/>
                <w:szCs w:val="10"/>
                <w:color w:val="auto"/>
              </w:rPr>
            </w:pPr>
          </w:p>
        </w:tc>
        <w:tc>
          <w:tcPr>
            <w:tcW w:w="300" w:type="dxa"/>
            <w:vAlign w:val="bottom"/>
            <w:gridSpan w:val="2"/>
          </w:tcPr>
          <w:p>
            <w:pPr>
              <w:jc w:val="right"/>
              <w:ind w:right="111"/>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660" w:type="dxa"/>
            <w:vAlign w:val="bottom"/>
          </w:tcPr>
          <w:p>
            <w:pPr>
              <w:jc w:val="right"/>
              <w:ind w:right="252"/>
              <w:spacing w:after="0" w:line="115" w:lineRule="exact"/>
              <w:rPr>
                <w:sz w:val="20"/>
                <w:szCs w:val="20"/>
                <w:color w:val="auto"/>
              </w:rPr>
            </w:pPr>
            <w:r>
              <w:rPr>
                <w:rFonts w:ascii="Times New Roman" w:cs="Times New Roman" w:eastAsia="Times New Roman" w:hAnsi="Times New Roman"/>
                <w:sz w:val="11"/>
                <w:szCs w:val="11"/>
                <w:b w:val="1"/>
                <w:bCs w:val="1"/>
                <w:color w:val="231F20"/>
              </w:rPr>
              <w:t>2024</w:t>
            </w:r>
          </w:p>
        </w:tc>
      </w:tr>
      <w:tr>
        <w:trPr>
          <w:trHeight w:val="157"/>
        </w:trPr>
        <w:tc>
          <w:tcPr>
            <w:tcW w:w="42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14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10,680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32,427</w:t>
            </w:r>
          </w:p>
        </w:tc>
      </w:tr>
      <w:tr>
        <w:trPr>
          <w:trHeight w:val="166"/>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22,205</w:t>
            </w:r>
          </w:p>
        </w:tc>
      </w:tr>
      <w:tr>
        <w:trPr>
          <w:trHeight w:val="16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66"/>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Computer and software</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6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w:t>
            </w: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r>
      <w:tr>
        <w:trPr>
          <w:trHeight w:val="166"/>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Building Fixtures</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r>
      <w:tr>
        <w:trPr>
          <w:trHeight w:val="16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r>
      <w:tr>
        <w:trPr>
          <w:trHeight w:val="16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Advances on purchases of property and equipment</w:t>
            </w:r>
          </w:p>
        </w:tc>
        <w:tc>
          <w:tcPr>
            <w:tcW w:w="1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r>
      <w:tr>
        <w:trPr>
          <w:trHeight w:val="157"/>
        </w:trPr>
        <w:tc>
          <w:tcPr>
            <w:tcW w:w="42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w:t>
            </w: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34,077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62,545</w:t>
            </w:r>
          </w:p>
        </w:tc>
      </w:tr>
      <w:tr>
        <w:trPr>
          <w:trHeight w:val="166"/>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w:t>
            </w:r>
          </w:p>
        </w:tc>
      </w:tr>
      <w:tr>
        <w:trPr>
          <w:trHeight w:val="157"/>
        </w:trPr>
        <w:tc>
          <w:tcPr>
            <w:tcW w:w="422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21,276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47,690</w:t>
            </w:r>
          </w:p>
        </w:tc>
      </w:tr>
      <w:tr>
        <w:trPr>
          <w:trHeight w:val="20"/>
        </w:trPr>
        <w:tc>
          <w:tcPr>
            <w:tcW w:w="4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Advances on purchases of property and equipment are payments made before the related asset (such as machinery and equipment) are delivered and are not depreciated until the asset is placed in service.</w:t>
      </w:r>
    </w:p>
    <w:p>
      <w:pPr>
        <w:spacing w:after="0" w:line="126"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Depreciation expense totaled $6,067 and $8,302 for the years ended December 31, 2025, and 2024, respectively, and was recorded as operating expenses in the consolidated statements of operations. Depreciation expense was allocated as $5,511 and $7,464 to research and development expense, net and $556 and $838 to selling, general and administrative expenses for the years ended December 31, 2025, and 2024, respectively.</w:t>
      </w:r>
    </w:p>
    <w:p>
      <w:pPr>
        <w:spacing w:after="0" w:line="142" w:lineRule="exact"/>
        <w:rPr>
          <w:sz w:val="20"/>
          <w:szCs w:val="20"/>
          <w:color w:val="auto"/>
        </w:rPr>
      </w:pPr>
    </w:p>
    <w:p>
      <w:pPr>
        <w:ind w:left="760" w:right="959" w:firstLine="249"/>
        <w:spacing w:after="0" w:line="255" w:lineRule="auto"/>
        <w:rPr>
          <w:sz w:val="20"/>
          <w:szCs w:val="20"/>
          <w:color w:val="auto"/>
        </w:rPr>
      </w:pPr>
      <w:r>
        <w:rPr>
          <w:rFonts w:ascii="Times New Roman" w:cs="Times New Roman" w:eastAsia="Times New Roman" w:hAnsi="Times New Roman"/>
          <w:sz w:val="14"/>
          <w:szCs w:val="14"/>
          <w:color w:val="auto"/>
        </w:rPr>
        <w:t>The Company recognized $123 and $100 of losses on the sale and disposal of assets during the year ended December 31, 2025, and 2024, respectively, as further described in Note 7. The Company recognized a loss of $17,063 during the year ended December 31, 2025 related to the exit of a lease, as further described in Note 7, which included losses associated with leasehold improvements and machinery and equipment, net of proceeds received for the sale of certain machinery and equipment upon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9019"/>
          </w:cols>
          <w:pgMar w:left="1440" w:top="572" w:right="1440" w:bottom="1440" w:gutter="0" w:footer="0" w:header="0"/>
        </w:sectPr>
      </w:pPr>
    </w:p>
    <w:bookmarkStart w:id="183" w:name="page184"/>
    <w:bookmarkEnd w:id="18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5 - ACCRUED EXPENSES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44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231F20"/>
              </w:rPr>
              <w:t>​​​</w:t>
            </w: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6"/>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15"/>
        </w:trPr>
        <w:tc>
          <w:tcPr>
            <w:tcW w:w="544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75"/>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340" w:type="dxa"/>
            <w:vAlign w:val="bottom"/>
            <w:gridSpan w:val="3"/>
          </w:tcPr>
          <w:p>
            <w:pPr>
              <w:jc w:val="right"/>
              <w:ind w:right="108"/>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620" w:type="dxa"/>
            <w:vAlign w:val="bottom"/>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54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Accrued audit and tax services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legal and professional</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Accrued transaction costs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57"/>
        </w:trPr>
        <w:tc>
          <w:tcPr>
            <w:tcW w:w="54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accrued expenses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b w:val="1"/>
                <w:bCs w:val="1"/>
                <w:color w:val="auto"/>
              </w:rPr>
              <w:t>2,981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 CONVERTIBLE PROMISSORY NOTES</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shows the components of the Company’s indebtedness (in thousands):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15"/>
        </w:trPr>
        <w:tc>
          <w:tcPr>
            <w:tcW w:w="5440" w:type="dxa"/>
            <w:vAlign w:val="bottom"/>
          </w:tcPr>
          <w:p>
            <w:pPr>
              <w:spacing w:after="0"/>
              <w:rPr>
                <w:sz w:val="10"/>
                <w:szCs w:val="10"/>
                <w:color w:val="auto"/>
              </w:rPr>
            </w:pPr>
          </w:p>
        </w:tc>
        <w:tc>
          <w:tcPr>
            <w:tcW w:w="3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140" w:type="dxa"/>
            <w:vAlign w:val="bottom"/>
          </w:tcPr>
          <w:p>
            <w:pPr>
              <w:spacing w:after="0"/>
              <w:rPr>
                <w:sz w:val="10"/>
                <w:szCs w:val="10"/>
                <w:color w:val="auto"/>
              </w:rPr>
            </w:pPr>
          </w:p>
        </w:tc>
        <w:tc>
          <w:tcPr>
            <w:tcW w:w="600" w:type="dxa"/>
            <w:vAlign w:val="bottom"/>
          </w:tcPr>
          <w:p>
            <w:pPr>
              <w:jc w:val="right"/>
              <w:ind w:right="235"/>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340" w:type="dxa"/>
            <w:vAlign w:val="bottom"/>
            <w:gridSpan w:val="3"/>
          </w:tcPr>
          <w:p>
            <w:pPr>
              <w:jc w:val="right"/>
              <w:ind w:right="168"/>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620" w:type="dxa"/>
            <w:vAlign w:val="bottom"/>
          </w:tcPr>
          <w:p>
            <w:pPr>
              <w:jc w:val="right"/>
              <w:ind w:right="253"/>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54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Convertible promissory notes principal balance</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Financing costs related to issuance of convertible promissory notes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4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convertible promissory notes, at fair value</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18,889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On August 1, 2025, the Company entered into a total of $10,000 the August 2025 Notes with existing investors. The August 2025 Notes bear interest of 15% per annum, compounded monthly, and mature on August 1, 2028. The accrued interest is included in the fair value estimate of the August 2025 notes liability. No payments are due until maturity. The Notes principal and interest are convertible into the most senior preferred security at the time of conversion. The Notes provide the holders with certain conversion features including: a mandatory conversion upon a qualified financing event, an optional conversion upon a non-qualified financing event and an optional conversion upon an acquisition of the Company.</w:t>
      </w:r>
    </w:p>
    <w:p>
      <w:pPr>
        <w:spacing w:after="0" w:line="145"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The August 2025 notes include an automatic conversion event in connection with a qualified financing event. The principal amount and any unpaid interest on the Note will automatically be converted into shares of the same class and type of securities issued in the qualified financing. The number of shares issued will be calculated by dividing the greater of either i) 110% of the original Note or ii) the total outstanding principal and accrued interest of the Note, by 50% of the cash price per share paid by investors in the qualified financing (excluding conversions of Notes or other convertible instruments). This resulting share total will be rounded down to the nearest whole number of shares, and the conversion price per share will not exceed $34.0131.</w:t>
      </w:r>
    </w:p>
    <w:p>
      <w:pPr>
        <w:spacing w:after="0" w:line="145" w:lineRule="exact"/>
        <w:rPr>
          <w:sz w:val="20"/>
          <w:szCs w:val="20"/>
          <w:color w:val="auto"/>
        </w:rPr>
      </w:pPr>
    </w:p>
    <w:p>
      <w:pPr>
        <w:ind w:left="760" w:right="919" w:firstLine="249"/>
        <w:spacing w:after="0" w:line="252" w:lineRule="auto"/>
        <w:rPr>
          <w:sz w:val="20"/>
          <w:szCs w:val="20"/>
          <w:color w:val="auto"/>
        </w:rPr>
      </w:pPr>
      <w:r>
        <w:rPr>
          <w:rFonts w:ascii="Times New Roman" w:cs="Times New Roman" w:eastAsia="Times New Roman" w:hAnsi="Times New Roman"/>
          <w:sz w:val="14"/>
          <w:szCs w:val="14"/>
          <w:color w:val="auto"/>
        </w:rPr>
        <w:t>A “qualified financing” means the issuance and sale, in a single transaction or series of related transactions, of the Company’s equity securities resulting in aggregate proceeds to the Company of equal to or more than twenty million dollars (including the conversion of the Notes, less any Interest) in exchange for cash. The mandatory conversion feature upon a qualified financing event would automatically convert into stock of the same class and series (the “New Equity”) of the Company’s securities that is issued by the Company in the qualified financing. A “non-qualified financing” means the issuance and sale, in a single transaction or series of related transactions of the Company’s equity securities resulting in aggregate proceeds to the Company of less than twenty million dollars (including the conversion of the Notes, less any Interest) in exchange for cash. An “acquisition event” means a Deemed Liquidation Event as defined in the Company’s Certificate of Incorporation,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9019"/>
          </w:cols>
          <w:pgMar w:left="1440" w:top="572" w:right="1440" w:bottom="1440" w:gutter="0" w:footer="0" w:header="0"/>
        </w:sectPr>
      </w:pPr>
    </w:p>
    <w:bookmarkStart w:id="184" w:name="page185"/>
    <w:bookmarkEnd w:id="18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7 - COMMITMENTS AND CONTINGENCIES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3"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As of December 31, 2025, the Company only has operating leases. In evaluating its lease obligations, the Company considers the current lease term and anticipates changes pertaining to those leases. Where the Company is provided with an option to extend the lease, the periods covered by an option to extend the lease that we are reasonably certain to exercise are contemplated in our calculations. Related to these leases, the landlords generally stipulate in the lease agreements the fixed or escalating monthly rent expense, real estate taxes, operating costs, management fees and other tenant expenses.</w:t>
      </w:r>
    </w:p>
    <w:p>
      <w:pPr>
        <w:spacing w:after="0" w:line="142" w:lineRule="exact"/>
        <w:rPr>
          <w:sz w:val="20"/>
          <w:szCs w:val="20"/>
          <w:color w:val="auto"/>
        </w:rPr>
      </w:pPr>
    </w:p>
    <w:p>
      <w:pPr>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The Company leases its corporate office facilities, which include offices, laboratory space and storage space, under a non-cancelable operating lease at 19 Presidential Way in Woburn, Massachusetts. Effective September 16, 2022, the Company amended the lease (the Third Amendment to the Lease) to extend the term of the lease to April 30, 2028.</w:t>
      </w:r>
    </w:p>
    <w:p>
      <w:pPr>
        <w:spacing w:after="0" w:line="138"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On February 25, 2022, the Company entered into a three-year lease of a facility in Tallahassee, Florida (“Base Term”), for the Company’s research and development activities. The Company had a one-time option to extend the Base Term for an additional three-year term but opted not to exercise that option. The lease expired at the end of its term in February 2025.</w:t>
      </w:r>
    </w:p>
    <w:p>
      <w:pPr>
        <w:spacing w:after="0" w:line="138"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On June 6, 2022, the Company entered into a ten-and-a-half-year lease in Methuen, Massachusetts (“Initial Term”), for production of the Company’s products. The Company had options to extend the Initial Term for two consecutive five-year terms.</w:t>
      </w:r>
    </w:p>
    <w:p>
      <w:pPr>
        <w:spacing w:after="0" w:line="12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In July 2025, the Company significantly reduced its use of its leased facility in Methuen, Massachusetts with the intention to either sublease the space to recover a portion of the total lease costs or terminate the lease and sell the remaining equipment. The Company exited the lease in October 2025 once a new tenant had been identified. The total loss recognized by the Company during the year ended December 31, 2025, to terminate and exit the lease was $17,063, which is comprised of the impairment of certain property and equipment associated with the lease, the write off of the remaining assets abandoned when the lease was terminated, and the payment of the lease termination fee of $2,000. The total loss recognized was reduced by proceeds of $2,400 the Company received upon exiting the lease that were earned from the sale of certain machinery and equipment and leasehold improvements to the new tenant under the lease and the gain associated with the reversal of the lease liability upon termination of the lease.</w:t>
      </w:r>
    </w:p>
    <w:p>
      <w:pPr>
        <w:spacing w:after="0" w:line="144" w:lineRule="exact"/>
        <w:rPr>
          <w:sz w:val="20"/>
          <w:szCs w:val="20"/>
          <w:color w:val="auto"/>
        </w:rPr>
      </w:pPr>
    </w:p>
    <w:p>
      <w:pPr>
        <w:ind w:left="760" w:right="939" w:firstLine="249"/>
        <w:spacing w:after="0" w:line="262" w:lineRule="auto"/>
        <w:rPr>
          <w:sz w:val="20"/>
          <w:szCs w:val="20"/>
          <w:color w:val="auto"/>
        </w:rPr>
      </w:pPr>
      <w:r>
        <w:rPr>
          <w:rFonts w:ascii="Times New Roman" w:cs="Times New Roman" w:eastAsia="Times New Roman" w:hAnsi="Times New Roman"/>
          <w:sz w:val="14"/>
          <w:szCs w:val="14"/>
          <w:color w:val="auto"/>
        </w:rPr>
        <w:t>On June 28, 2022, the Company entered into a two-year lease at a separate location in Woburn, Massachusetts, commencing on August 1, 2022 (“First Term”), for additional office space. The Company had a one-time option to extend the First Term for an additional three-year term but opted not to exercise that option. The lease expired at the of its term in July 2024.</w:t>
      </w:r>
    </w:p>
    <w:p>
      <w:pPr>
        <w:spacing w:after="0" w:line="138" w:lineRule="exact"/>
        <w:rPr>
          <w:sz w:val="20"/>
          <w:szCs w:val="20"/>
          <w:color w:val="auto"/>
        </w:rPr>
      </w:pPr>
    </w:p>
    <w:p>
      <w:pPr>
        <w:ind w:left="760" w:right="1179" w:firstLine="249"/>
        <w:spacing w:after="0" w:line="257" w:lineRule="auto"/>
        <w:rPr>
          <w:sz w:val="20"/>
          <w:szCs w:val="20"/>
          <w:color w:val="auto"/>
        </w:rPr>
      </w:pPr>
      <w:r>
        <w:rPr>
          <w:rFonts w:ascii="Times New Roman" w:cs="Times New Roman" w:eastAsia="Times New Roman" w:hAnsi="Times New Roman"/>
          <w:sz w:val="14"/>
          <w:szCs w:val="14"/>
          <w:color w:val="auto"/>
        </w:rPr>
        <w:t>On November 11, 2022, the Company entered into a ten-year sublease in Billerica, Massachusetts (“Term”), for offices and laboratories for research and development of the Company’s products. The Company has no options to extend the Term of this sublease but does have an option to renew or extend a lease of the space directly with the property landlord, for one period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9019"/>
          </w:cols>
          <w:pgMar w:left="1440" w:top="572" w:right="1440" w:bottom="1440" w:gutter="0" w:footer="0" w:header="0"/>
        </w:sectPr>
      </w:pPr>
    </w:p>
    <w:bookmarkStart w:id="185" w:name="page186"/>
    <w:bookmarkEnd w:id="18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959" w:firstLine="249"/>
        <w:spacing w:after="0" w:line="278" w:lineRule="auto"/>
        <w:rPr>
          <w:sz w:val="20"/>
          <w:szCs w:val="20"/>
          <w:color w:val="auto"/>
        </w:rPr>
      </w:pPr>
      <w:r>
        <w:rPr>
          <w:rFonts w:ascii="Times New Roman" w:cs="Times New Roman" w:eastAsia="Times New Roman" w:hAnsi="Times New Roman"/>
          <w:sz w:val="14"/>
          <w:szCs w:val="14"/>
          <w:color w:val="auto"/>
        </w:rPr>
        <w:t>The components of lease expenses recorded within the consolidated statements of operations for the years ended December 31, 2025, and 2024 are as follows (in thousands):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7"/>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40" w:type="dxa"/>
            <w:vAlign w:val="bottom"/>
          </w:tcPr>
          <w:p>
            <w:pPr>
              <w:spacing w:after="0"/>
              <w:rPr>
                <w:sz w:val="10"/>
                <w:szCs w:val="10"/>
                <w:color w:val="auto"/>
              </w:rPr>
            </w:pPr>
          </w:p>
        </w:tc>
        <w:tc>
          <w:tcPr>
            <w:tcW w:w="1160" w:type="dxa"/>
            <w:vAlign w:val="bottom"/>
            <w:gridSpan w:val="2"/>
          </w:tcPr>
          <w:p>
            <w:pPr>
              <w:jc w:val="right"/>
              <w:ind w:right="191"/>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620" w:type="dxa"/>
            <w:vAlign w:val="bottom"/>
          </w:tcPr>
          <w:p>
            <w:pPr>
              <w:jc w:val="right"/>
              <w:ind w:right="254"/>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360" w:type="dxa"/>
            <w:vAlign w:val="bottom"/>
            <w:gridSpan w:val="3"/>
          </w:tcPr>
          <w:p>
            <w:pPr>
              <w:jc w:val="right"/>
              <w:ind w:right="168"/>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720" w:type="dxa"/>
            <w:vAlign w:val="bottom"/>
          </w:tcPr>
          <w:p>
            <w:pPr>
              <w:jc w:val="right"/>
              <w:ind w:right="23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44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Finance lease costs:</w:t>
            </w:r>
          </w:p>
        </w:tc>
        <w:tc>
          <w:tcPr>
            <w:tcW w:w="8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16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4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financing lease liabilities</w:t>
            </w:r>
          </w:p>
        </w:tc>
        <w:tc>
          <w:tcPr>
            <w:tcW w:w="8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40" w:type="dxa"/>
            <w:vAlign w:val="bottom"/>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Total finance lease costs</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1,601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 expenses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Variable lease expenses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Short-term lease expenses</w:t>
            </w: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40" w:type="dxa"/>
            <w:vAlign w:val="bottom"/>
            <w:shd w:val="clear" w:color="auto" w:fill="CCEEFF"/>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Total operating lease costs</w:t>
            </w:r>
          </w:p>
        </w:tc>
        <w:tc>
          <w:tcPr>
            <w:tcW w:w="8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2,753</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3,102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lease expenses</w:t>
            </w:r>
          </w:p>
        </w:tc>
        <w:tc>
          <w:tcPr>
            <w:tcW w:w="880" w:type="dxa"/>
            <w:vAlign w:val="bottom"/>
          </w:tcPr>
          <w:p>
            <w:pPr>
              <w:spacing w:after="0"/>
              <w:rPr>
                <w:sz w:val="13"/>
                <w:szCs w:val="13"/>
                <w:color w:val="auto"/>
              </w:rPr>
            </w:pPr>
          </w:p>
        </w:tc>
        <w:tc>
          <w:tcPr>
            <w:tcW w:w="280" w:type="dxa"/>
            <w:vAlign w:val="bottom"/>
            <w:tcBorders>
              <w:bottom w:val="single" w:sz="8" w:color="auto"/>
            </w:tcBorders>
          </w:tcPr>
          <w:p>
            <w:pPr>
              <w:jc w:val="right"/>
              <w:ind w:right="1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4,002</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gridSpan w:val="2"/>
          </w:tcPr>
          <w:p>
            <w:pPr>
              <w:jc w:val="right"/>
              <w:ind w:right="128"/>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4,703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w w:val="99"/>
              </w:rPr>
              <w:t>Other information related to agreements treated as finance and operating leases was as follows: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Pr>
          <w:p>
            <w:pPr>
              <w:spacing w:after="0"/>
              <w:rPr>
                <w:sz w:val="10"/>
                <w:szCs w:val="10"/>
                <w:color w:val="auto"/>
              </w:rPr>
            </w:pPr>
          </w:p>
        </w:tc>
        <w:tc>
          <w:tcPr>
            <w:tcW w:w="1160" w:type="dxa"/>
            <w:vAlign w:val="bottom"/>
            <w:gridSpan w:val="2"/>
          </w:tcPr>
          <w:p>
            <w:pPr>
              <w:jc w:val="right"/>
              <w:ind w:right="19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274"/>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36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29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Operating cash flows from operating leases</w:t>
            </w:r>
          </w:p>
        </w:tc>
        <w:tc>
          <w:tcPr>
            <w:tcW w:w="8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(1,954)</w:t>
            </w:r>
          </w:p>
        </w:tc>
        <w:tc>
          <w:tcPr>
            <w:tcW w:w="180" w:type="dxa"/>
            <w:vAlign w:val="bottom"/>
            <w:tcBorders>
              <w:top w:val="single" w:sz="8" w:color="CCEEFF"/>
            </w:tcBorders>
            <w:gridSpan w:val="3"/>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(2,053)</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Financing cash flows from finance lease</w:t>
            </w:r>
          </w:p>
        </w:tc>
        <w:tc>
          <w:tcPr>
            <w:tcW w:w="116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4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(1,391)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 - operating leases (years)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8.08 %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lease term - finance lease (years)</w:t>
            </w:r>
          </w:p>
        </w:tc>
        <w:tc>
          <w:tcPr>
            <w:tcW w:w="8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Discount rate - finance lease</w:t>
            </w:r>
          </w:p>
        </w:tc>
        <w:tc>
          <w:tcPr>
            <w:tcW w:w="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7.85</w:t>
            </w:r>
          </w:p>
        </w:tc>
        <w:tc>
          <w:tcPr>
            <w:tcW w:w="1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939" w:firstLine="249"/>
        <w:spacing w:after="0" w:line="262" w:lineRule="auto"/>
        <w:rPr>
          <w:sz w:val="20"/>
          <w:szCs w:val="20"/>
          <w:color w:val="auto"/>
        </w:rPr>
      </w:pPr>
      <w:r>
        <w:rPr>
          <w:rFonts w:ascii="Times New Roman" w:cs="Times New Roman" w:eastAsia="Times New Roman" w:hAnsi="Times New Roman"/>
          <w:sz w:val="14"/>
          <w:szCs w:val="14"/>
          <w:color w:val="auto"/>
        </w:rPr>
        <w:t>Right-of-use assets obtained in exchange for operating obligations are presented at their present value as of the dates the related leases commenced. Weighted averages presented above are calculated using the remaining prevent values of the related operating leases as of December 31, 2025.</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Maturities of lease liabilities as of December 31, 2025, were as follows (in thousands):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3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Operating lease</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80" w:type="dxa"/>
            <w:vAlign w:val="bottom"/>
          </w:tcPr>
          <w:p>
            <w:pPr>
              <w:spacing w:after="0"/>
              <w:rPr>
                <w:sz w:val="11"/>
                <w:szCs w:val="11"/>
                <w:color w:val="auto"/>
              </w:rPr>
            </w:pPr>
          </w:p>
        </w:tc>
        <w:tc>
          <w:tcPr>
            <w:tcW w:w="3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obligations</w:t>
            </w:r>
          </w:p>
        </w:tc>
        <w:tc>
          <w:tcPr>
            <w:tcW w:w="0" w:type="dxa"/>
            <w:vAlign w:val="bottom"/>
          </w:tcPr>
          <w:p>
            <w:pPr>
              <w:spacing w:after="0"/>
              <w:rPr>
                <w:sz w:val="1"/>
                <w:szCs w:val="1"/>
                <w:color w:val="auto"/>
              </w:rPr>
            </w:pPr>
          </w:p>
        </w:tc>
      </w:tr>
      <w:tr>
        <w:trPr>
          <w:trHeight w:val="157"/>
        </w:trPr>
        <w:tc>
          <w:tcPr>
            <w:tcW w:w="316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2026</w:t>
            </w:r>
          </w:p>
        </w:tc>
        <w:tc>
          <w:tcPr>
            <w:tcW w:w="3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1,994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3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3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 lease payments</w:t>
            </w:r>
          </w:p>
        </w:tc>
        <w:tc>
          <w:tcPr>
            <w:tcW w:w="3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10,826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Imputed interest</w:t>
            </w:r>
          </w:p>
        </w:tc>
        <w:tc>
          <w:tcPr>
            <w:tcW w:w="3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lease liabilities, short-term and long-term</w:t>
            </w:r>
          </w:p>
        </w:tc>
        <w:tc>
          <w:tcPr>
            <w:tcW w:w="30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8,537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Reported as of December 31, 2025:</w:t>
            </w: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37"/>
        </w:trPr>
        <w:tc>
          <w:tcPr>
            <w:tcW w:w="316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 current portion</w:t>
            </w:r>
          </w:p>
        </w:tc>
        <w:tc>
          <w:tcPr>
            <w:tcW w:w="3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3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lease liabilities, short-term and long-term</w:t>
            </w:r>
          </w:p>
        </w:tc>
        <w:tc>
          <w:tcPr>
            <w:tcW w:w="30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8,537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160" w:type="dxa"/>
            <w:vAlign w:val="bottom"/>
          </w:tcPr>
          <w:p>
            <w:pPr>
              <w:spacing w:after="0"/>
              <w:rPr>
                <w:sz w:val="24"/>
                <w:szCs w:val="24"/>
                <w:color w:val="auto"/>
              </w:rPr>
            </w:pPr>
          </w:p>
        </w:tc>
        <w:tc>
          <w:tcPr>
            <w:tcW w:w="3400" w:type="dxa"/>
            <w:vAlign w:val="bottom"/>
            <w:gridSpan w:val="3"/>
          </w:tcPr>
          <w:p>
            <w:pPr>
              <w:jc w:val="right"/>
              <w:ind w:right="2611"/>
              <w:spacing w:after="0"/>
              <w:rPr>
                <w:sz w:val="20"/>
                <w:szCs w:val="20"/>
                <w:color w:val="auto"/>
              </w:rPr>
            </w:pPr>
            <w:r>
              <w:rPr>
                <w:rFonts w:ascii="Times New Roman" w:cs="Times New Roman" w:eastAsia="Times New Roman" w:hAnsi="Times New Roman"/>
                <w:sz w:val="14"/>
                <w:szCs w:val="14"/>
                <w:color w:val="auto"/>
              </w:rPr>
              <w:t>F-48</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72" w:right="1440" w:bottom="1440" w:gutter="0" w:footer="0" w:header="0"/>
        </w:sectPr>
      </w:pPr>
    </w:p>
    <w:bookmarkStart w:id="186" w:name="page187"/>
    <w:bookmarkEnd w:id="18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73" w:lineRule="exact"/>
        <w:rPr>
          <w:sz w:val="20"/>
          <w:szCs w:val="20"/>
          <w:color w:val="auto"/>
        </w:rPr>
      </w:pPr>
    </w:p>
    <w:p>
      <w:pPr>
        <w:jc w:val="both"/>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spacing w:after="0" w:line="142"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The Company is party to an arbitration, initiated on March 14, 2025, before the International Centre for Dispute Resolution and with a hearing scheduled for June 2026, regarding a contractual dispute in which a vendor is seeking $4,900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8 - REDEEMABLE CONVERTIBLE PREFERRED STOCK</w:t>
      </w:r>
    </w:p>
    <w:p>
      <w:pPr>
        <w:spacing w:after="0" w:line="173" w:lineRule="exact"/>
        <w:rPr>
          <w:sz w:val="20"/>
          <w:szCs w:val="20"/>
          <w:color w:val="auto"/>
        </w:rPr>
      </w:pPr>
    </w:p>
    <w:p>
      <w:pPr>
        <w:ind w:left="760" w:right="839" w:firstLine="249"/>
        <w:spacing w:after="0" w:line="277" w:lineRule="auto"/>
        <w:rPr>
          <w:sz w:val="20"/>
          <w:szCs w:val="20"/>
          <w:color w:val="auto"/>
        </w:rPr>
      </w:pPr>
      <w:r>
        <w:rPr>
          <w:rFonts w:ascii="Times New Roman" w:cs="Times New Roman" w:eastAsia="Times New Roman" w:hAnsi="Times New Roman"/>
          <w:sz w:val="13"/>
          <w:szCs w:val="13"/>
          <w:color w:val="auto"/>
        </w:rPr>
        <w:t>The Company’s Series A-1 redeemable convertible preferred stock (“Series A-1”), Series A-2 redeemable convertible preferred stock (“Series A-2”), Series B-1, redeemable convertible preferred stock (“Series B-1”), Series C-1 redeemable convertible preferred stock (“Series C-1”), Series C-2 redeemable convertible preferred stock (“Series C-2”) and Series D redeemable convertible preferred stock (“Series D”) are collectively referred to as “Preferred Stock.” The holders of Series A-1, Series A-2, Series B-1, Series C-1, Series C-2 and Series D are collectively referred to as “Preferred Stockholders.” The carrying value of Series A-1, Series A-2, and Series B-1 was adjusted in 2019 to reflect the historical distribution of net assets to existing shareholders at that time.</w:t>
      </w:r>
    </w:p>
    <w:p>
      <w:pPr>
        <w:spacing w:after="0" w:line="1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As of December 31, 2025, and 2024, Preferred Stock consisted of the following:</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Common</w:t>
            </w:r>
          </w:p>
        </w:tc>
      </w:tr>
      <w:tr>
        <w:trPr>
          <w:trHeight w:val="135"/>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Stock Issuable</w:t>
            </w:r>
          </w:p>
        </w:tc>
      </w:tr>
      <w:tr>
        <w:trPr>
          <w:trHeight w:val="133"/>
        </w:trPr>
        <w:tc>
          <w:tcPr>
            <w:tcW w:w="5340" w:type="dxa"/>
            <w:vAlign w:val="bottom"/>
          </w:tcPr>
          <w:p>
            <w:pPr>
              <w:ind w:left="5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7"/>
              </w:rPr>
              <w:t>Liquidation Value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Upon Conversion</w:t>
            </w:r>
          </w:p>
        </w:tc>
      </w:tr>
      <w:tr>
        <w:trPr>
          <w:trHeight w:val="115"/>
        </w:trPr>
        <w:tc>
          <w:tcPr>
            <w:tcW w:w="5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A-1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1,234,568</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Series A-2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2,362,204</w:t>
            </w: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2,718,539</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Series C-1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3,570,724</w:t>
            </w: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2,513,698</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Series D</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5,950,204</w:t>
            </w:r>
          </w:p>
        </w:tc>
      </w:tr>
      <w:tr>
        <w:trPr>
          <w:trHeight w:val="157"/>
        </w:trPr>
        <w:tc>
          <w:tcPr>
            <w:tcW w:w="5340" w:type="dxa"/>
            <w:vAlign w:val="bottom"/>
            <w:tcBorders>
              <w:top w:val="single" w:sz="8" w:color="CCEEFF"/>
              <w:bottom w:val="single" w:sz="8" w:color="CCEEFF"/>
            </w:tcBorders>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288,831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18,349,937</w:t>
            </w:r>
          </w:p>
        </w:tc>
      </w:tr>
      <w:tr>
        <w:trPr>
          <w:trHeight w:val="20"/>
        </w:trPr>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9019"/>
          </w:cols>
          <w:pgMar w:left="1440" w:top="571" w:right="1440" w:bottom="1440" w:gutter="0" w:footer="0" w:header="0"/>
        </w:sectPr>
      </w:pPr>
    </w:p>
    <w:bookmarkStart w:id="187" w:name="page188"/>
    <w:bookmarkEnd w:id="18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Significant terms of the Preferred Stock are as follows: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3" w:lineRule="exact"/>
        <w:rPr>
          <w:sz w:val="20"/>
          <w:szCs w:val="20"/>
          <w:color w:val="auto"/>
        </w:rPr>
      </w:pPr>
    </w:p>
    <w:p>
      <w:pPr>
        <w:ind w:left="760" w:right="1079" w:firstLine="249"/>
        <w:spacing w:after="0" w:line="278" w:lineRule="auto"/>
        <w:rPr>
          <w:sz w:val="20"/>
          <w:szCs w:val="20"/>
          <w:color w:val="auto"/>
        </w:rPr>
      </w:pPr>
      <w:r>
        <w:rPr>
          <w:rFonts w:ascii="Times New Roman" w:cs="Times New Roman" w:eastAsia="Times New Roman" w:hAnsi="Times New Roman"/>
          <w:sz w:val="14"/>
          <w:szCs w:val="14"/>
          <w:color w:val="auto"/>
        </w:rPr>
        <w:t>The Preferred Stockholders have the right to one vote for each share of common stock into which their Preferred Stock could convert.</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In the event the Company declares, pays, or sets aside any dividends on shares of any class of capital stock of the Company, other than dividends on shares of common stock payable in shares of common stock, the holders of the Series D shall be first entitled to receive a dividend on each outstanding share, before the holders of Series A-1, Series A-2, Series B-1, Series C-1, and Series C-2 Preferred Stock. Dividends are not cumulative.</w:t>
      </w:r>
    </w:p>
    <w:p>
      <w:pPr>
        <w:spacing w:after="0" w:line="142"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In the case of a dividend on common stock or any class of stock that is convertible into common stock, the Preferred Stock dividend per share would equal the product of the dividend payable on each share of stock determined and the number of shares of common stock issuable upon conversion of a share of Preferred Stock. In the case of a dividend on any class that is not convertible to common stock, the Preferred Stock dividend per share would be determined by dividing the amount of the dividend payable on each share of capital stock by the original issuance price of such stock and multiplying that fraction by an amount equal to the Preferred Stock original issue price. The dividend payable to the Preferred Stockholders shall be based on the formula which would result in the highest Preferred Stock dividend. No dividends have been declared or paid by the Company.</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73" w:lineRule="exact"/>
        <w:rPr>
          <w:sz w:val="20"/>
          <w:szCs w:val="20"/>
          <w:color w:val="auto"/>
        </w:rPr>
      </w:pPr>
    </w:p>
    <w:p>
      <w:pPr>
        <w:ind w:left="760" w:right="899" w:firstLine="249"/>
        <w:spacing w:after="0" w:line="253" w:lineRule="auto"/>
        <w:rPr>
          <w:sz w:val="20"/>
          <w:szCs w:val="20"/>
          <w:color w:val="auto"/>
        </w:rPr>
      </w:pPr>
      <w:r>
        <w:rPr>
          <w:rFonts w:ascii="Times New Roman" w:cs="Times New Roman" w:eastAsia="Times New Roman" w:hAnsi="Times New Roman"/>
          <w:sz w:val="14"/>
          <w:szCs w:val="14"/>
          <w:color w:val="auto"/>
        </w:rPr>
        <w:t>In the event of any liquidation, dissolution or winding up of the Company, the Preferred Stockholders shall be entitled to be paid out an amount per share equal to the greater of (i) the original issuance price of the Preferred Stock, plus any dividends declared but unpaid thereon, or (ii) such amount per share as would have been payable had all shares of Preferred Stock been converted into common stock. If insufficient assets and funds are available to permit payment to the Preferred Stockholders of the full amount, then all available assets and funds shall be distributed to the holders of Series D on a pro rata basis, and thereafter, among the holders of Series C-2, Series C-1, Series B-1, Series A-2 and Series A-1, on a pro rata basis, and then common stock.</w:t>
      </w:r>
    </w:p>
    <w:p>
      <w:pPr>
        <w:spacing w:after="0" w:line="145" w:lineRule="exact"/>
        <w:rPr>
          <w:sz w:val="20"/>
          <w:szCs w:val="20"/>
          <w:color w:val="auto"/>
        </w:rPr>
      </w:pPr>
    </w:p>
    <w:p>
      <w:pPr>
        <w:ind w:left="760" w:right="939" w:firstLine="249"/>
        <w:spacing w:after="0" w:line="278" w:lineRule="auto"/>
        <w:rPr>
          <w:sz w:val="20"/>
          <w:szCs w:val="20"/>
          <w:color w:val="auto"/>
        </w:rPr>
      </w:pPr>
      <w:r>
        <w:rPr>
          <w:rFonts w:ascii="Times New Roman" w:cs="Times New Roman" w:eastAsia="Times New Roman" w:hAnsi="Times New Roman"/>
          <w:sz w:val="14"/>
          <w:szCs w:val="14"/>
          <w:color w:val="auto"/>
        </w:rPr>
        <w:t>After payment in full to the Preferred Stockholders, the holders of common stock shall be entitled to be paid out of the assets of the Company available for distribution on a pro rata basis based on the number of shares held.</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Each share of Preferred Stock is convertible at any time at the option of the holder into common stock. Each share shall be converted into such a number of shares of common stock as is determined by dividing the respective original issuance price by the conversion price in effect at the time of the conversion. As of December 31, 2022, and December 31, 2021, the Series A-1, Series A-2, Series B-1, Series C-1, Series C-2, and Series D (with issuances in 2022 and 2021) original issuance and conversion price is $2.43, $2.54, $8.15362, $7.96, $10.6842, and $34.0131 per share, respectively. As such, the shares of Preferred Stock convert on a one-for-one basis.</w:t>
      </w:r>
    </w:p>
    <w:p>
      <w:pPr>
        <w:spacing w:after="0" w:line="145"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Conversion is mandatory at the earlier of the closing price of a qualified initial public offering of the Company’s common stock at a price of at least $68.0262 per share, resulting in at least $200,000 of proceeds, or the closing of a SPAC transaction, or the closing of a direct listing with a reference initial trading price announced on the Nasdaq Stock Market’s National Market, the New York Stock Exchange or another exchange or marketplace approved by the board of directors of the Company (the “Board of Directors”) prior to such listing equal to or greater than $68.0262 per share, or at the election of the majority holders of the outstanding shares of Preferred Stock.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9019"/>
          </w:cols>
          <w:pgMar w:left="1440" w:top="571" w:right="1440" w:bottom="1440" w:gutter="0" w:footer="0" w:header="0"/>
        </w:sectPr>
      </w:pPr>
    </w:p>
    <w:bookmarkStart w:id="188" w:name="page189"/>
    <w:bookmarkEnd w:id="18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9 - COMMON STOCK</w:t>
      </w:r>
    </w:p>
    <w:p>
      <w:pPr>
        <w:spacing w:after="0" w:line="173" w:lineRule="exact"/>
        <w:rPr>
          <w:sz w:val="20"/>
          <w:szCs w:val="20"/>
          <w:color w:val="auto"/>
        </w:rPr>
      </w:pPr>
    </w:p>
    <w:p>
      <w:pPr>
        <w:ind w:left="760" w:right="899" w:firstLine="249"/>
        <w:spacing w:after="0" w:line="262" w:lineRule="auto"/>
        <w:rPr>
          <w:sz w:val="20"/>
          <w:szCs w:val="20"/>
          <w:color w:val="auto"/>
        </w:rPr>
      </w:pPr>
      <w:r>
        <w:rPr>
          <w:rFonts w:ascii="Times New Roman" w:cs="Times New Roman" w:eastAsia="Times New Roman" w:hAnsi="Times New Roman"/>
          <w:sz w:val="14"/>
          <w:szCs w:val="14"/>
          <w:color w:val="auto"/>
        </w:rPr>
        <w:t>The Company was authorized to issue 32,000,000 shares of its common stock as of December 31, 2025, and 2024. The voting, dividend, and liquidation rights of the holders of the Company’s common stock are subject to and qualified by the rights, powers and preference of the Preferred Stockholders set forth in Note 8 - Redeemable Convertible Preferred Stock.</w:t>
      </w:r>
    </w:p>
    <w:p>
      <w:pPr>
        <w:spacing w:after="0" w:line="138" w:lineRule="exact"/>
        <w:rPr>
          <w:sz w:val="20"/>
          <w:szCs w:val="20"/>
          <w:color w:val="auto"/>
        </w:rPr>
      </w:pPr>
    </w:p>
    <w:p>
      <w:pPr>
        <w:ind w:left="760" w:right="859" w:firstLine="249"/>
        <w:spacing w:after="0" w:line="278" w:lineRule="auto"/>
        <w:rPr>
          <w:sz w:val="20"/>
          <w:szCs w:val="20"/>
          <w:color w:val="auto"/>
        </w:rPr>
      </w:pPr>
      <w:r>
        <w:rPr>
          <w:rFonts w:ascii="Times New Roman" w:cs="Times New Roman" w:eastAsia="Times New Roman" w:hAnsi="Times New Roman"/>
          <w:sz w:val="14"/>
          <w:szCs w:val="14"/>
          <w:color w:val="auto"/>
        </w:rPr>
        <w:t>Each share of common stock entitles the holder to one vote, together with the Preferred Stockholders, on all matters submitted to a vote of the Company’s stockholders.</w:t>
      </w:r>
    </w:p>
    <w:p>
      <w:pPr>
        <w:spacing w:after="0" w:line="126" w:lineRule="exact"/>
        <w:rPr>
          <w:sz w:val="20"/>
          <w:szCs w:val="20"/>
          <w:color w:val="auto"/>
        </w:rPr>
      </w:pPr>
    </w:p>
    <w:p>
      <w:pPr>
        <w:ind w:left="760" w:right="999" w:firstLine="249"/>
        <w:spacing w:after="0" w:line="278" w:lineRule="auto"/>
        <w:rPr>
          <w:sz w:val="20"/>
          <w:szCs w:val="20"/>
          <w:color w:val="auto"/>
        </w:rPr>
      </w:pPr>
      <w:r>
        <w:rPr>
          <w:rFonts w:ascii="Times New Roman" w:cs="Times New Roman" w:eastAsia="Times New Roman" w:hAnsi="Times New Roman"/>
          <w:sz w:val="14"/>
          <w:szCs w:val="14"/>
          <w:color w:val="auto"/>
        </w:rPr>
        <w:t>The Company had reserved the following shares of common stock for potential conversion of outstanding Preferred Stock and exercise of stock options and preferred stock warrants: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1880" w:type="dxa"/>
            <w:vAlign w:val="bottom"/>
          </w:tcPr>
          <w:p>
            <w:pPr>
              <w:spacing w:after="0"/>
              <w:rPr>
                <w:sz w:val="11"/>
                <w:szCs w:val="11"/>
                <w:color w:val="auto"/>
              </w:rPr>
            </w:pPr>
          </w:p>
        </w:tc>
        <w:tc>
          <w:tcPr>
            <w:tcW w:w="3820" w:type="dxa"/>
            <w:vAlign w:val="bottom"/>
            <w:vMerge w:val="restart"/>
          </w:tcPr>
          <w:p>
            <w:pPr>
              <w:ind w:left="3740"/>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tcPr>
          <w:p>
            <w:pPr>
              <w:spacing w:after="0"/>
              <w:rPr>
                <w:sz w:val="10"/>
                <w:szCs w:val="10"/>
                <w:color w:val="auto"/>
              </w:rPr>
            </w:pPr>
          </w:p>
        </w:tc>
        <w:tc>
          <w:tcPr>
            <w:tcW w:w="382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tcPr>
          <w:p>
            <w:pPr>
              <w:jc w:val="right"/>
              <w:ind w:right="214"/>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233"/>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8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18,349,937</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18,349,937</w:t>
            </w:r>
          </w:p>
        </w:tc>
        <w:tc>
          <w:tcPr>
            <w:tcW w:w="0" w:type="dxa"/>
            <w:vAlign w:val="bottom"/>
          </w:tcPr>
          <w:p>
            <w:pPr>
              <w:spacing w:after="0"/>
              <w:rPr>
                <w:sz w:val="1"/>
                <w:szCs w:val="1"/>
                <w:color w:val="auto"/>
              </w:rPr>
            </w:pPr>
          </w:p>
        </w:tc>
      </w:tr>
      <w:tr>
        <w:trPr>
          <w:trHeight w:val="166"/>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5,546,772</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5,085,269</w:t>
            </w:r>
          </w:p>
        </w:tc>
        <w:tc>
          <w:tcPr>
            <w:tcW w:w="0" w:type="dxa"/>
            <w:vAlign w:val="bottom"/>
          </w:tcPr>
          <w:p>
            <w:pPr>
              <w:spacing w:after="0"/>
              <w:rPr>
                <w:sz w:val="1"/>
                <w:szCs w:val="1"/>
                <w:color w:val="auto"/>
              </w:rPr>
            </w:pPr>
          </w:p>
        </w:tc>
      </w:tr>
      <w:tr>
        <w:trPr>
          <w:trHeight w:val="16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295,559</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295,559</w:t>
            </w:r>
          </w:p>
        </w:tc>
        <w:tc>
          <w:tcPr>
            <w:tcW w:w="0" w:type="dxa"/>
            <w:vAlign w:val="bottom"/>
          </w:tcPr>
          <w:p>
            <w:pPr>
              <w:spacing w:after="0"/>
              <w:rPr>
                <w:sz w:val="1"/>
                <w:szCs w:val="1"/>
                <w:color w:val="auto"/>
              </w:rPr>
            </w:pPr>
          </w:p>
        </w:tc>
      </w:tr>
      <w:tr>
        <w:trPr>
          <w:trHeight w:val="166"/>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 issued upon conversion of convertible promissory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560,024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1,394,670</w:t>
            </w:r>
          </w:p>
        </w:tc>
        <w:tc>
          <w:tcPr>
            <w:tcW w:w="1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1,446,116</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26,146,962</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25,176,881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880" w:type="dxa"/>
            <w:vAlign w:val="bottom"/>
            <w:tcBorders>
              <w:bottom w:val="single" w:sz="8" w:color="auto"/>
            </w:tcBorders>
          </w:tcPr>
          <w:p>
            <w:pPr>
              <w:spacing w:after="0"/>
              <w:rPr>
                <w:sz w:val="4"/>
                <w:szCs w:val="4"/>
                <w:color w:val="auto"/>
              </w:rPr>
            </w:pPr>
          </w:p>
        </w:tc>
        <w:tc>
          <w:tcPr>
            <w:tcW w:w="3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20" w:right="799" w:hanging="256"/>
        <w:spacing w:after="0" w:line="252" w:lineRule="auto"/>
        <w:tabs>
          <w:tab w:leader="none" w:pos="10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December 31, 2025. This assumption included consideration of the multiple conversion features and applying probability weightings to an assumed price of approximately $38 per share ($19 per share after applying the 50% discount).</w:t>
      </w:r>
    </w:p>
    <w:p>
      <w:pPr>
        <w:spacing w:after="0" w:line="1" w:lineRule="exact"/>
        <w:rPr>
          <w:rFonts w:ascii="Times New Roman" w:cs="Times New Roman" w:eastAsia="Times New Roman" w:hAnsi="Times New Roman"/>
          <w:sz w:val="14"/>
          <w:szCs w:val="14"/>
          <w:color w:val="auto"/>
        </w:rPr>
      </w:pPr>
    </w:p>
    <w:p>
      <w:pPr>
        <w:ind w:left="1020" w:right="919" w:hanging="256"/>
        <w:spacing w:after="0" w:line="255" w:lineRule="auto"/>
        <w:tabs>
          <w:tab w:leader="none" w:pos="10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does not reflect an additional 1,329,263 shares available but not yet issued under the 2019 Stock Incentive Plan discussed in Note 11 - Stock Based Compensation.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10 - RETIREMENT PLAN</w:t>
      </w:r>
    </w:p>
    <w:p>
      <w:pPr>
        <w:spacing w:after="0" w:line="173" w:lineRule="exact"/>
        <w:rPr>
          <w:sz w:val="20"/>
          <w:szCs w:val="20"/>
          <w:color w:val="auto"/>
        </w:rPr>
      </w:pPr>
    </w:p>
    <w:p>
      <w:pPr>
        <w:ind w:left="760" w:right="859" w:firstLine="249"/>
        <w:spacing w:after="0" w:line="253" w:lineRule="auto"/>
        <w:rPr>
          <w:sz w:val="20"/>
          <w:szCs w:val="20"/>
          <w:color w:val="auto"/>
        </w:rPr>
      </w:pPr>
      <w:r>
        <w:rPr>
          <w:rFonts w:ascii="Times New Roman" w:cs="Times New Roman" w:eastAsia="Times New Roman" w:hAnsi="Times New Roman"/>
          <w:sz w:val="14"/>
          <w:szCs w:val="14"/>
          <w:color w:val="auto"/>
        </w:rPr>
        <w:t>The Company has a qualified defined contribution retirement plan covering substantially all employees. The Company makes matching contributions to the plan for up to 5% of eligible compensation depending on employee deferral percentages. The Company contributed $682 and $923 to the plan for the years ended December 31, 2025, and 2024, respectively. These expenses were recorded within the operating expenses in the consolidated statements of operations. The retirement plan expense was allocated as $223 and $247 to research and development expense, net and $459 and $676 to selling, general and administrative expense for the years ended December 31, 2025, and 2024, respectively.</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11 - STOCK BASED COMPENSATION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Equity Compensation Plans</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w:t>
      </w:r>
    </w:p>
    <w:p>
      <w:pPr>
        <w:spacing w:after="0" w:line="142" w:lineRule="exact"/>
        <w:rPr>
          <w:sz w:val="20"/>
          <w:szCs w:val="20"/>
          <w:color w:val="auto"/>
        </w:rPr>
      </w:pPr>
    </w:p>
    <w:p>
      <w:pPr>
        <w:ind w:left="760" w:right="1039" w:firstLine="249"/>
        <w:spacing w:after="0" w:line="318" w:lineRule="auto"/>
        <w:rPr>
          <w:sz w:val="20"/>
          <w:szCs w:val="20"/>
          <w:color w:val="auto"/>
        </w:rPr>
      </w:pPr>
      <w:r>
        <w:rPr>
          <w:rFonts w:ascii="Times New Roman" w:cs="Times New Roman" w:eastAsia="Times New Roman" w:hAnsi="Times New Roman"/>
          <w:sz w:val="13"/>
          <w:szCs w:val="13"/>
          <w:color w:val="auto"/>
        </w:rPr>
        <w:t>The 2019 Plan was subsequently amended in 2021 and 2023, with each amendment increasing the number of awards issuable under the plan. As of December 31, 2025, and December 31, 2024, there were 8,668,779 shares of common stock authorized to be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9019"/>
          </w:cols>
          <w:pgMar w:left="1440" w:top="572" w:right="1440" w:bottom="1440" w:gutter="0" w:footer="0" w:header="0"/>
        </w:sectPr>
      </w:pPr>
    </w:p>
    <w:bookmarkStart w:id="189" w:name="page190"/>
    <w:bookmarkEnd w:id="18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1059"/>
        <w:spacing w:after="0" w:line="278" w:lineRule="auto"/>
        <w:rPr>
          <w:sz w:val="20"/>
          <w:szCs w:val="20"/>
          <w:color w:val="auto"/>
        </w:rPr>
      </w:pPr>
      <w:r>
        <w:rPr>
          <w:rFonts w:ascii="Times New Roman" w:cs="Times New Roman" w:eastAsia="Times New Roman" w:hAnsi="Times New Roman"/>
          <w:sz w:val="14"/>
          <w:szCs w:val="14"/>
          <w:color w:val="auto"/>
        </w:rPr>
        <w:t>issued under the 2019 Plan, of which 1,329,263 and 1,702,707 respectively shares of common stock remained available for future grants under the 2019 Plan.</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Modification of Awards</w:t>
      </w:r>
    </w:p>
    <w:p>
      <w:pPr>
        <w:spacing w:after="0" w:line="173" w:lineRule="exact"/>
        <w:rPr>
          <w:sz w:val="20"/>
          <w:szCs w:val="20"/>
          <w:color w:val="auto"/>
        </w:rPr>
      </w:pPr>
    </w:p>
    <w:p>
      <w:pPr>
        <w:ind w:left="760" w:right="819" w:firstLine="249"/>
        <w:spacing w:after="0" w:line="292" w:lineRule="auto"/>
        <w:rPr>
          <w:sz w:val="20"/>
          <w:szCs w:val="20"/>
          <w:color w:val="auto"/>
        </w:rPr>
      </w:pPr>
      <w:r>
        <w:rPr>
          <w:rFonts w:ascii="Times New Roman" w:cs="Times New Roman" w:eastAsia="Times New Roman" w:hAnsi="Times New Roman"/>
          <w:sz w:val="13"/>
          <w:szCs w:val="13"/>
          <w:color w:val="auto"/>
        </w:rPr>
        <w:t>In January 2025, the BOD approved a modification to all outstanding awards held by current employees and non-employees, reducing the exercise price to $3.23 per share. A total of 4,663,721 options were modified, incremental expense from the modification was $2,583, of which $2,376 was recorded immediately on the modification date. There were no such modifications in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Share-Based Compensation Awards</w:t>
      </w:r>
    </w:p>
    <w:p>
      <w:pPr>
        <w:spacing w:after="0" w:line="173"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spacing w:after="0" w:line="142" w:lineRule="exact"/>
        <w:rPr>
          <w:sz w:val="20"/>
          <w:szCs w:val="20"/>
          <w:color w:val="auto"/>
        </w:rPr>
      </w:pPr>
    </w:p>
    <w:p>
      <w:pPr>
        <w:jc w:val="both"/>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spacing w:after="0" w:line="142"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years ended December 31, 2025, or 2024.</w:t>
      </w:r>
    </w:p>
    <w:p>
      <w:pPr>
        <w:spacing w:after="0" w:line="142" w:lineRule="exact"/>
        <w:rPr>
          <w:sz w:val="20"/>
          <w:szCs w:val="20"/>
          <w:color w:val="auto"/>
        </w:rPr>
      </w:pPr>
    </w:p>
    <w:p>
      <w:pPr>
        <w:ind w:left="760" w:right="1219" w:firstLine="249"/>
        <w:spacing w:after="0" w:line="278" w:lineRule="auto"/>
        <w:rPr>
          <w:sz w:val="20"/>
          <w:szCs w:val="20"/>
          <w:color w:val="auto"/>
        </w:rPr>
      </w:pPr>
      <w:r>
        <w:rPr>
          <w:rFonts w:ascii="Times New Roman" w:cs="Times New Roman" w:eastAsia="Times New Roman" w:hAnsi="Times New Roman"/>
          <w:sz w:val="14"/>
          <w:szCs w:val="14"/>
          <w:color w:val="auto"/>
        </w:rPr>
        <w:t>The assumptions made for purposes of estimating the fair value under the Black Scholes valuation model for stock options granted during the years ended December 31, 2025, and 2024 were as follows: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5"/>
        </w:trPr>
        <w:tc>
          <w:tcPr>
            <w:tcW w:w="3740" w:type="dxa"/>
            <w:vAlign w:val="bottom"/>
          </w:tcPr>
          <w:p>
            <w:pPr>
              <w:spacing w:after="0"/>
              <w:rPr>
                <w:sz w:val="10"/>
                <w:szCs w:val="10"/>
                <w:color w:val="auto"/>
              </w:rPr>
            </w:pPr>
          </w:p>
        </w:tc>
        <w:tc>
          <w:tcPr>
            <w:tcW w:w="140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10"/>
                <w:szCs w:val="10"/>
                <w:color w:val="auto"/>
              </w:rPr>
            </w:pPr>
          </w:p>
        </w:tc>
        <w:tc>
          <w:tcPr>
            <w:tcW w:w="3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7"/>
        </w:trPr>
        <w:tc>
          <w:tcPr>
            <w:tcW w:w="37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Expected term of options (years)</w:t>
            </w:r>
          </w:p>
        </w:tc>
        <w:tc>
          <w:tcPr>
            <w:tcW w:w="1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5.00</w:t>
            </w:r>
          </w:p>
        </w:tc>
        <w:tc>
          <w:tcPr>
            <w:tcW w:w="4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- 6.06</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5.16</w:t>
            </w:r>
          </w:p>
        </w:tc>
        <w:tc>
          <w:tcPr>
            <w:tcW w:w="3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- 6.07</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Risk free interest rate</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- 4.43 %</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- 4.51 %</w:t>
            </w:r>
          </w:p>
        </w:tc>
      </w:tr>
      <w:tr>
        <w:trPr>
          <w:trHeight w:val="16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w:t>
            </w:r>
          </w:p>
        </w:tc>
        <w:tc>
          <w:tcPr>
            <w:tcW w:w="64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w w:val="98"/>
              </w:rPr>
              <w:t>- 65.81 %</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- 63.77 %</w:t>
            </w:r>
          </w:p>
        </w:tc>
      </w:tr>
      <w:tr>
        <w:trPr>
          <w:trHeight w:val="166"/>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grant date fair value per share</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$9.67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shd w:val="clear" w:color="auto" w:fill="CCEEFF"/>
          </w:tcPr>
          <w:p>
            <w:pPr>
              <w:spacing w:after="0"/>
              <w:rPr>
                <w:sz w:val="14"/>
                <w:szCs w:val="14"/>
                <w:color w:val="auto"/>
              </w:rPr>
            </w:pPr>
          </w:p>
        </w:tc>
      </w:tr>
      <w:tr>
        <w:trPr>
          <w:trHeight w:val="18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Grant date fair value per share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$7.29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$2.99</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The following table provides stock-based compensation expense by class reflected in the Company’s consolidated statements of operations related to stock options (including stock options with performance conditions) for the years ended December 31, 2025, and 2024 (in thousands):</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2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4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r>
      <w:tr>
        <w:trPr>
          <w:trHeight w:val="115"/>
        </w:trPr>
        <w:tc>
          <w:tcPr>
            <w:tcW w:w="2780" w:type="dxa"/>
            <w:vAlign w:val="bottom"/>
            <w:tcBorders>
              <w:bottom w:val="single" w:sz="8" w:color="CCEEFF"/>
            </w:tcBorders>
          </w:tcPr>
          <w:p>
            <w:pPr>
              <w:spacing w:after="0"/>
              <w:rPr>
                <w:sz w:val="10"/>
                <w:szCs w:val="10"/>
                <w:color w:val="auto"/>
              </w:rPr>
            </w:pPr>
          </w:p>
        </w:tc>
        <w:tc>
          <w:tcPr>
            <w:tcW w:w="22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15"/>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0"/>
                <w:szCs w:val="10"/>
                <w:color w:val="auto"/>
              </w:rPr>
            </w:pPr>
          </w:p>
        </w:tc>
      </w:tr>
      <w:tr>
        <w:trPr>
          <w:trHeight w:val="157"/>
        </w:trPr>
        <w:tc>
          <w:tcPr>
            <w:tcW w:w="27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Research and development</w:t>
            </w:r>
          </w:p>
        </w:tc>
        <w:tc>
          <w:tcPr>
            <w:tcW w:w="2960" w:type="dxa"/>
            <w:vAlign w:val="bottom"/>
            <w:gridSpan w:val="2"/>
            <w:shd w:val="clear" w:color="auto" w:fill="CCEEFF"/>
          </w:tcPr>
          <w:p>
            <w:pPr>
              <w:jc w:val="right"/>
              <w:ind w:right="5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677</w:t>
            </w:r>
          </w:p>
        </w:tc>
      </w:tr>
      <w:tr>
        <w:trPr>
          <w:trHeight w:val="166"/>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8,448</w:t>
            </w:r>
          </w:p>
        </w:tc>
      </w:tr>
      <w:tr>
        <w:trPr>
          <w:trHeight w:val="157"/>
        </w:trPr>
        <w:tc>
          <w:tcPr>
            <w:tcW w:w="27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22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0"/>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9,449</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9,125</w:t>
            </w:r>
          </w:p>
        </w:tc>
      </w:tr>
      <w:tr>
        <w:trPr>
          <w:trHeight w:val="20"/>
        </w:trPr>
        <w:tc>
          <w:tcPr>
            <w:tcW w:w="2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709"/>
        </w:trPr>
        <w:tc>
          <w:tcPr>
            <w:tcW w:w="2780" w:type="dxa"/>
            <w:vAlign w:val="bottom"/>
          </w:tcPr>
          <w:p>
            <w:pPr>
              <w:spacing w:after="0"/>
              <w:rPr>
                <w:sz w:val="24"/>
                <w:szCs w:val="24"/>
                <w:color w:val="auto"/>
              </w:rPr>
            </w:pPr>
          </w:p>
        </w:tc>
        <w:tc>
          <w:tcPr>
            <w:tcW w:w="2960" w:type="dxa"/>
            <w:vAlign w:val="bottom"/>
            <w:gridSpan w:val="2"/>
          </w:tcPr>
          <w:p>
            <w:pPr>
              <w:jc w:val="right"/>
              <w:ind w:right="1800"/>
              <w:spacing w:after="0"/>
              <w:rPr>
                <w:sz w:val="20"/>
                <w:szCs w:val="20"/>
                <w:color w:val="auto"/>
              </w:rPr>
            </w:pPr>
            <w:r>
              <w:rPr>
                <w:rFonts w:ascii="Times New Roman" w:cs="Times New Roman" w:eastAsia="Times New Roman" w:hAnsi="Times New Roman"/>
                <w:sz w:val="14"/>
                <w:szCs w:val="14"/>
                <w:color w:val="auto"/>
              </w:rPr>
              <w:t>F-52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9019"/>
          </w:cols>
          <w:pgMar w:left="1440" w:top="572" w:right="1440" w:bottom="1440" w:gutter="0" w:footer="0" w:header="0"/>
        </w:sectPr>
      </w:pPr>
    </w:p>
    <w:bookmarkStart w:id="190" w:name="page191"/>
    <w:bookmarkEnd w:id="19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973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01945" cy="709739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year ended December 31, 2025:</w:t>
      </w:r>
    </w:p>
    <w:p>
      <w:pPr>
        <w:spacing w:after="0" w:line="186"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780" w:type="dxa"/>
            <w:vAlign w:val="bottom"/>
            <w:gridSpan w:val="2"/>
          </w:tcPr>
          <w:p>
            <w:pPr>
              <w:ind w:left="16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Weighted-Average</w:t>
            </w:r>
          </w:p>
        </w:tc>
        <w:tc>
          <w:tcPr>
            <w:tcW w:w="9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195"/>
              <w:spacing w:after="0" w:line="125"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10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1"/>
              <w:spacing w:after="0" w:line="125" w:lineRule="exact"/>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1"/>
                <w:szCs w:val="1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w w:val="99"/>
              </w:rPr>
              <w:t>Intrinsic Value</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780" w:type="dxa"/>
            <w:vAlign w:val="bottom"/>
            <w:gridSpan w:val="2"/>
          </w:tcPr>
          <w:p>
            <w:pPr>
              <w:ind w:left="16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Term (Years)</w:t>
            </w:r>
          </w:p>
        </w:tc>
        <w:tc>
          <w:tcPr>
            <w:tcW w:w="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7"/>
        </w:trPr>
        <w:tc>
          <w:tcPr>
            <w:tcW w:w="358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Outstanding as of December 31, 2024(1)</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5,085,269</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6.78</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7.28</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1,375,868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Cancelled or forfeited(2)</w:t>
            </w:r>
          </w:p>
        </w:tc>
        <w:tc>
          <w:tcPr>
            <w:tcW w:w="7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(908,888)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6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Outstanding as of December 31, 2025</w:t>
            </w:r>
          </w:p>
        </w:tc>
        <w:tc>
          <w:tcPr>
            <w:tcW w:w="7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5,546,722</w:t>
            </w:r>
          </w:p>
        </w:tc>
        <w:tc>
          <w:tcPr>
            <w:tcW w:w="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6.94</w:t>
            </w: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31,996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Options vested and expected to vest as of December 31,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2025(3)</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5,366,772</w:t>
            </w: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4,240,296</w:t>
            </w: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88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40" w:hanging="276"/>
        <w:spacing w:after="0"/>
        <w:tabs>
          <w:tab w:leader="none" w:pos="1040" w:val="left"/>
        </w:tabs>
        <w:numPr>
          <w:ilvl w:val="0"/>
          <w:numId w:val="8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245,628 of stock options subject to performance conditions</w:t>
      </w:r>
    </w:p>
    <w:p>
      <w:pPr>
        <w:spacing w:after="0" w:line="20" w:lineRule="exact"/>
        <w:rPr>
          <w:rFonts w:ascii="Times New Roman" w:cs="Times New Roman" w:eastAsia="Times New Roman" w:hAnsi="Times New Roman"/>
          <w:sz w:val="14"/>
          <w:szCs w:val="14"/>
          <w:color w:val="231F20"/>
        </w:rPr>
      </w:pPr>
    </w:p>
    <w:p>
      <w:pPr>
        <w:ind w:left="1020" w:hanging="256"/>
        <w:spacing w:after="0"/>
        <w:tabs>
          <w:tab w:leader="none" w:pos="1020" w:val="left"/>
        </w:tabs>
        <w:numPr>
          <w:ilvl w:val="0"/>
          <w:numId w:val="8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Includes 30,000 of forfeited stock options subject to performance conditions.</w:t>
      </w:r>
    </w:p>
    <w:p>
      <w:pPr>
        <w:spacing w:after="0" w:line="5" w:lineRule="exact"/>
        <w:rPr>
          <w:rFonts w:ascii="Times New Roman" w:cs="Times New Roman" w:eastAsia="Times New Roman" w:hAnsi="Times New Roman"/>
          <w:sz w:val="14"/>
          <w:szCs w:val="14"/>
          <w:color w:val="231F20"/>
        </w:rPr>
      </w:pPr>
    </w:p>
    <w:p>
      <w:pPr>
        <w:ind w:left="1020" w:hanging="256"/>
        <w:spacing w:after="0"/>
        <w:tabs>
          <w:tab w:leader="none" w:pos="1020" w:val="left"/>
        </w:tabs>
        <w:numPr>
          <w:ilvl w:val="0"/>
          <w:numId w:val="8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Does not include 90,000 stock options subject to performance conditions which are improbable as of December 31, 2025.</w:t>
      </w:r>
    </w:p>
    <w:p>
      <w:pPr>
        <w:spacing w:after="0" w:line="156" w:lineRule="exact"/>
        <w:rPr>
          <w:sz w:val="20"/>
          <w:szCs w:val="20"/>
          <w:color w:val="auto"/>
        </w:rPr>
      </w:pPr>
    </w:p>
    <w:p>
      <w:pPr>
        <w:ind w:left="760" w:right="959" w:firstLine="249"/>
        <w:spacing w:after="0" w:line="253" w:lineRule="auto"/>
        <w:rPr>
          <w:sz w:val="20"/>
          <w:szCs w:val="20"/>
          <w:color w:val="auto"/>
        </w:rPr>
      </w:pPr>
      <w:r>
        <w:rPr>
          <w:rFonts w:ascii="Times New Roman" w:cs="Times New Roman" w:eastAsia="Times New Roman" w:hAnsi="Times New Roman"/>
          <w:sz w:val="14"/>
          <w:szCs w:val="14"/>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December 31, 2025, and 2024 there was $7,426 and $10,514 of total unrecognized stock-based compensation expense to be recognized over a weighted- average period of 4 years, respectively. As of December 31, 2025, the Company had $656 of total unrecognized stock- based compensation expense included in the total above for stock options with performance conditions currently considered not probable of achievement.</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Restricted Stock Units (“RSUs”)</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Between February 2024 and July 2024, the Company issued a collective total of 1,446,116 RSUs subject to performance conditions, service conditions, and market conditions. No other RSUs have been historically issued. These awards were issued to several employees and one Director, and vesting is based on the achievement of performance targets, liquidity event targets, continued service requirements, and the Company’s share price. The performance target vesting criteria include business milestones that include development, commercial, financial, and production milestones. These RSUs also have a liquidity event vesting requirement where the Company must conduct a public offering through an IPO or SPAC, or the Company must sell substantially all its outstanding stock for a change of control to occur. Additionally, these RSUs require the recipients to provide continued services through at least the second anniversary of a change in control event. The number of RSUs vest in tranches based upon share price targets of the Company’s common stock as adjusted for in the RSU agreements.</w:t>
      </w:r>
    </w:p>
    <w:p>
      <w:pPr>
        <w:spacing w:after="0" w:line="147"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stock price target ranges of the four tranches of the RSUs are (1) $68.02 to $136.04, (2) $136.05 to $238.06, (3) $238.07 to $340.09, and (4) greater than $340.10. Additionally, the performance conditions, which are a total of 10 discrete development, commercial, financial, and production milestones, vest in the following tranches: completion of (1) 3-4 performance conditions, (2) 5-6 performance conditions, and (3) 7 or more performance conditions.</w:t>
      </w:r>
    </w:p>
    <w:p>
      <w:pPr>
        <w:spacing w:after="0" w:line="142" w:lineRule="exact"/>
        <w:rPr>
          <w:sz w:val="20"/>
          <w:szCs w:val="20"/>
          <w:color w:val="auto"/>
        </w:rPr>
      </w:pPr>
    </w:p>
    <w:p>
      <w:pPr>
        <w:ind w:left="760" w:right="799" w:firstLine="249"/>
        <w:spacing w:after="0" w:line="275" w:lineRule="auto"/>
        <w:rPr>
          <w:sz w:val="20"/>
          <w:szCs w:val="20"/>
          <w:color w:val="auto"/>
        </w:rPr>
      </w:pPr>
      <w:r>
        <w:rPr>
          <w:rFonts w:ascii="Times New Roman" w:cs="Times New Roman" w:eastAsia="Times New Roman" w:hAnsi="Times New Roman"/>
          <w:sz w:val="13"/>
          <w:szCs w:val="13"/>
          <w:color w:val="auto"/>
        </w:rPr>
        <w:t>The fair values of restricted stock units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Company estimated expected term based on the midpoint between the time of vesting and the remaining time to expiration of the RSU. Given the limited market trading history of the Company’s common stock, volatility is based on a weighted blend of (i) the average volatility of peer companies within the automotive and energy storage industries multiplied by a ratio of the Company’s volatility based on available stock price data as compared to the average volatility of the Company’s peers over the same period and (ii) our implied volatility from</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9019"/>
          </w:cols>
          <w:pgMar w:left="1440" w:top="572" w:right="1440" w:bottom="1440" w:gutter="0" w:footer="0" w:header="0"/>
        </w:sectPr>
      </w:pPr>
    </w:p>
    <w:bookmarkStart w:id="191" w:name="page192"/>
    <w:bookmarkEnd w:id="19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919"/>
        <w:spacing w:after="0" w:line="278" w:lineRule="auto"/>
        <w:rPr>
          <w:sz w:val="20"/>
          <w:szCs w:val="20"/>
          <w:color w:val="auto"/>
        </w:rPr>
      </w:pPr>
      <w:r>
        <w:rPr>
          <w:rFonts w:ascii="Times New Roman" w:cs="Times New Roman" w:eastAsia="Times New Roman" w:hAnsi="Times New Roman"/>
          <w:sz w:val="14"/>
          <w:szCs w:val="14"/>
          <w:color w:val="auto"/>
        </w:rPr>
        <w:t>exchange traded options. Cost of equity is calculated using (i) risk-free rate, (ii) average peer group market beta and (iii) the market-risk premium.</w:t>
      </w:r>
    </w:p>
    <w:p>
      <w:pPr>
        <w:spacing w:after="0" w:line="126" w:lineRule="exact"/>
        <w:rPr>
          <w:sz w:val="20"/>
          <w:szCs w:val="20"/>
          <w:color w:val="auto"/>
        </w:rPr>
      </w:pPr>
    </w:p>
    <w:p>
      <w:pPr>
        <w:ind w:left="760" w:right="1059" w:firstLine="249"/>
        <w:spacing w:after="0" w:line="278" w:lineRule="auto"/>
        <w:rPr>
          <w:sz w:val="20"/>
          <w:szCs w:val="20"/>
          <w:color w:val="auto"/>
        </w:rPr>
      </w:pPr>
      <w:r>
        <w:rPr>
          <w:rFonts w:ascii="Times New Roman" w:cs="Times New Roman" w:eastAsia="Times New Roman" w:hAnsi="Times New Roman"/>
          <w:sz w:val="14"/>
          <w:szCs w:val="14"/>
          <w:color w:val="auto"/>
        </w:rPr>
        <w:t>The following weighted average assumptions were used as inputs to the Monte Carlo simulation in determining the estimated grant-date fair value of the Company’s RSUs for the year ended December 31, 2024:</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6320" w:type="dxa"/>
            <w:vAlign w:val="bottom"/>
          </w:tcPr>
          <w:p>
            <w:pPr>
              <w:ind w:left="6220"/>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gridSpan w:val="2"/>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33"/>
        </w:trPr>
        <w:tc>
          <w:tcPr>
            <w:tcW w:w="6320" w:type="dxa"/>
            <w:vAlign w:val="bottom"/>
          </w:tcPr>
          <w:p>
            <w:pPr>
              <w:spacing w:after="0"/>
              <w:rPr>
                <w:sz w:val="11"/>
                <w:szCs w:val="11"/>
                <w:color w:val="auto"/>
              </w:rPr>
            </w:pPr>
          </w:p>
        </w:tc>
        <w:tc>
          <w:tcPr>
            <w:tcW w:w="1160" w:type="dxa"/>
            <w:vAlign w:val="bottom"/>
            <w:gridSpan w:val="2"/>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7"/>
        </w:trPr>
        <w:tc>
          <w:tcPr>
            <w:tcW w:w="63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Volatility</w:t>
            </w: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6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81"/>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Term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Company had 1,394,670 and 1,446,116 RSUs outstanding as of December 31, 2025 and December 31, 2024 respectively, all of which were granted during the year ended December 31, 2024. The grant date value of common stock for each RSU granted was $4.80 per share. The weighted average fair value of these awards on the respective grant dates in 2024 was $1.28 per share.</w:t>
      </w:r>
    </w:p>
    <w:p>
      <w:pPr>
        <w:spacing w:after="0" w:line="138"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As of December 31, 2025, none of the vesting conditions were determined to be probable to occur and therefore, the Company did not recognize any stock-based compensation expense related to these RSUs during the year-end December 31, 2025. As of December 31, 2025, the Company had approximately $1,785 of total unrecognized stock-based compensation expense for the RSUs subject to performance conditions considered not probable of achievement.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Restricted Stock Awards (“RSAs”)</w:t>
      </w:r>
    </w:p>
    <w:p>
      <w:pPr>
        <w:spacing w:after="0" w:line="173" w:lineRule="exact"/>
        <w:rPr>
          <w:sz w:val="20"/>
          <w:szCs w:val="20"/>
          <w:color w:val="auto"/>
        </w:rPr>
      </w:pPr>
    </w:p>
    <w:p>
      <w:pPr>
        <w:ind w:left="760" w:right="779" w:firstLine="249"/>
        <w:spacing w:after="0" w:line="283" w:lineRule="auto"/>
        <w:rPr>
          <w:sz w:val="20"/>
          <w:szCs w:val="20"/>
          <w:color w:val="auto"/>
        </w:rPr>
      </w:pPr>
      <w:r>
        <w:rPr>
          <w:rFonts w:ascii="Times New Roman" w:cs="Times New Roman" w:eastAsia="Times New Roman" w:hAnsi="Times New Roman"/>
          <w:sz w:val="13"/>
          <w:szCs w:val="13"/>
          <w:color w:val="auto"/>
        </w:rPr>
        <w:t>During the year ended December 31, 2025, the Company issued 17,910 shares of restricted common stock (RSAs) to a consultant. The RSAs vested immediately and the compensation expense was recognized upon vesting. The fair value of the RSAs was measured based on the fair value of the Company’s common stock on the grant date. The Company recognized RSA-related compensation expense of $86 during the year ended December 31, 2025. There were no outstanding RSAs as of December 31, 2025 and 2024.</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12 - INCOME TAXES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components of the Company’s loss before income taxes for the years ended December 31, 2025, and 2024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2040" w:type="dxa"/>
            <w:vAlign w:val="bottom"/>
            <w:gridSpan w:val="2"/>
          </w:tcPr>
          <w:p>
            <w:pPr>
              <w:jc w:val="right"/>
              <w:ind w:right="18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right"/>
              <w:ind w:right="41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gridSpan w:val="2"/>
          </w:tcPr>
          <w:p>
            <w:pPr>
              <w:jc w:val="right"/>
              <w:ind w:right="21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434"/>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1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Loss before income taxes:</w:t>
            </w:r>
          </w:p>
        </w:tc>
        <w:tc>
          <w:tcPr>
            <w:tcW w:w="17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Domestic</w:t>
            </w:r>
          </w:p>
        </w:tc>
        <w:tc>
          <w:tcPr>
            <w:tcW w:w="20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(74,059)</w:t>
            </w:r>
          </w:p>
        </w:tc>
        <w:tc>
          <w:tcPr>
            <w:tcW w:w="4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17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1780" w:type="dxa"/>
            <w:vAlign w:val="bottom"/>
          </w:tcPr>
          <w:p>
            <w:pPr>
              <w:spacing w:after="0"/>
              <w:rPr>
                <w:sz w:val="13"/>
                <w:szCs w:val="13"/>
                <w:color w:val="auto"/>
              </w:rPr>
            </w:pP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(73,845)</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5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(54,344)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9019"/>
          </w:cols>
          <w:pgMar w:left="1440" w:top="572" w:right="1440" w:bottom="1440" w:gutter="0" w:footer="0" w:header="0"/>
        </w:sectPr>
      </w:pPr>
    </w:p>
    <w:bookmarkStart w:id="192" w:name="page193"/>
    <w:bookmarkEnd w:id="19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643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01945" cy="706437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overall effective tax rate differs from the statutory US federal tax rate for the years ended December 31, 2025, and 2024:</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8"/>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117"/>
        </w:trPr>
        <w:tc>
          <w:tcPr>
            <w:tcW w:w="3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33"/>
        </w:trPr>
        <w:tc>
          <w:tcPr>
            <w:tcW w:w="3940" w:type="dxa"/>
            <w:vAlign w:val="bottom"/>
          </w:tcPr>
          <w:p>
            <w:pPr>
              <w:spacing w:after="0"/>
              <w:rPr>
                <w:sz w:val="11"/>
                <w:szCs w:val="11"/>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gridSpan w:val="3"/>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7"/>
        </w:trPr>
        <w:tc>
          <w:tcPr>
            <w:tcW w:w="39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U.S. federal statutory tax rate</w:t>
            </w:r>
          </w:p>
        </w:tc>
        <w:tc>
          <w:tcPr>
            <w:tcW w:w="10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(15,507)</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tax effects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66"/>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valuation allowance</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fair value of convertible promissory notes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6"/>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nontaxable or nondeductible items</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6"/>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(0.55)%</w:t>
            </w:r>
          </w:p>
        </w:tc>
      </w:tr>
      <w:tr>
        <w:trPr>
          <w:trHeight w:val="157"/>
        </w:trPr>
        <w:tc>
          <w:tcPr>
            <w:tcW w:w="394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Effective Tax Rate</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4"/>
        </w:trPr>
        <w:tc>
          <w:tcPr>
            <w:tcW w:w="3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gridSpan w:val="3"/>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w w:val="96"/>
              </w:rPr>
              <w:t>Year ended</w:t>
            </w:r>
          </w:p>
        </w:tc>
      </w:tr>
      <w:tr>
        <w:trPr>
          <w:trHeight w:val="133"/>
        </w:trPr>
        <w:tc>
          <w:tcPr>
            <w:tcW w:w="3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center"/>
              <w:ind w:right="25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7"/>
        </w:trPr>
        <w:tc>
          <w:tcPr>
            <w:tcW w:w="3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 of Pretax Loss</w:t>
            </w:r>
          </w:p>
        </w:tc>
        <w:tc>
          <w:tcPr>
            <w:tcW w:w="180" w:type="dxa"/>
            <w:vAlign w:val="bottom"/>
            <w:gridSpan w:val="2"/>
          </w:tcPr>
          <w:p>
            <w:pPr>
              <w:spacing w:after="0"/>
              <w:rPr>
                <w:sz w:val="13"/>
                <w:szCs w:val="13"/>
                <w:color w:val="auto"/>
              </w:rPr>
            </w:pPr>
          </w:p>
        </w:tc>
      </w:tr>
      <w:tr>
        <w:trPr>
          <w:trHeight w:val="16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Statutory US federal tax rate</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6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Foreign rate differential</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57"/>
        </w:trPr>
        <w:tc>
          <w:tcPr>
            <w:tcW w:w="394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Effective Tax Rate</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Significant components of the Company’s net deferred tax assets as of December 31, 2025, and 2024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400" w:type="dxa"/>
            <w:vAlign w:val="bottom"/>
            <w:vMerge w:val="restart"/>
          </w:tcPr>
          <w:p>
            <w:pPr>
              <w:ind w:left="530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gridSpan w:val="3"/>
          </w:tcPr>
          <w:p>
            <w:pPr>
              <w:jc w:val="right"/>
              <w:ind w:right="32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292"/>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4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54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Capitalized research and development costs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 compensation</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operating losses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Gross Deferred Tax Assets</w:t>
            </w: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66,221</w:t>
            </w:r>
          </w:p>
        </w:tc>
        <w:tc>
          <w:tcPr>
            <w:tcW w:w="180" w:type="dxa"/>
            <w:vAlign w:val="bottom"/>
            <w:gridSpan w:val="2"/>
            <w:shd w:val="clear" w:color="auto" w:fill="CCEEFF"/>
          </w:tcPr>
          <w:p>
            <w:pPr>
              <w:spacing w:after="0"/>
              <w:rPr>
                <w:sz w:val="13"/>
                <w:szCs w:val="13"/>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52,528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(64,142)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Deferred tax assets, net</w:t>
            </w: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2,079</w:t>
            </w:r>
          </w:p>
        </w:tc>
        <w:tc>
          <w:tcPr>
            <w:tcW w:w="180" w:type="dxa"/>
            <w:vAlign w:val="bottom"/>
            <w:gridSpan w:val="2"/>
            <w:shd w:val="clear" w:color="auto" w:fill="CCEEFF"/>
          </w:tcPr>
          <w:p>
            <w:pPr>
              <w:spacing w:after="0"/>
              <w:rPr>
                <w:sz w:val="13"/>
                <w:szCs w:val="13"/>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4,216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54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Unrealized exchange gain</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(2,079)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(4,216)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Deferred Tax Assets</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3"/>
                <w:szCs w:val="13"/>
                <w:color w:val="auto"/>
              </w:rPr>
            </w:pPr>
          </w:p>
        </w:tc>
        <w:tc>
          <w:tcPr>
            <w:tcW w:w="36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779" w:firstLine="249"/>
        <w:spacing w:after="0" w:line="279" w:lineRule="auto"/>
        <w:rPr>
          <w:sz w:val="20"/>
          <w:szCs w:val="20"/>
          <w:color w:val="auto"/>
        </w:rPr>
      </w:pPr>
      <w:r>
        <w:rPr>
          <w:rFonts w:ascii="Times New Roman" w:cs="Times New Roman" w:eastAsia="Times New Roman" w:hAnsi="Times New Roman"/>
          <w:sz w:val="13"/>
          <w:szCs w:val="13"/>
          <w:color w:val="auto"/>
        </w:rPr>
        <w:t>As of December 31, 2025, the Company had federal net operating loss carryforwards of $172,668, that have no expiration date and can be carried forward indefinitely but are limited in their usage to 80% of annual taxable income. As of December 31, 2025, the Company had state tax net operating loss carryforwards of $157,844, that are subject to begin to expire in 2039. At December 31, 2025, the Company had federal and state research and development tax credit carryforwards of $3,503 and $1,527, which begin to expire in 2039 and 2035, respectively. As of December 31, 2025, the Company had foreign net operating loss carryforwards of $3,867.</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F-55</w:t>
      </w:r>
    </w:p>
    <w:p>
      <w:pPr>
        <w:sectPr>
          <w:pgSz w:w="11900" w:h="16838" w:orient="portrait"/>
          <w:cols w:equalWidth="0" w:num="1">
            <w:col w:w="9019"/>
          </w:cols>
          <w:pgMar w:left="1440" w:top="572" w:right="1440" w:bottom="1440" w:gutter="0" w:footer="0" w:header="0"/>
        </w:sectPr>
      </w:pPr>
    </w:p>
    <w:bookmarkStart w:id="193" w:name="page194"/>
    <w:bookmarkEnd w:id="19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Future realization of the tax benefits of existing temporary differences and net operating loss carryforwards ultimately depends on the existence of sufficient taxable income within the carryforward period. As of December 31, 2025, the Company performed an evaluation to determine whether a valuation allowance was needed. The Company considered all available evidence, both positive and negative, which included the results of operations for the current and preceding years. Management has determined that it is more likely than not that the Company will not recognize the benefits of its federal and state deferred tax assets and, as a result, valuation allowance of $64,142 has been established at December 31, 2025.</w:t>
      </w:r>
    </w:p>
    <w:p>
      <w:pPr>
        <w:spacing w:after="0" w:line="145"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The valuation allowance increased by $15,830 and $12,870 during the years ended December 31, 2025 and 2024, respectively. The change in valuation allowance for the year ended December 31, 2025 of $15,830 relates to federal, state, and foreign jurisdictions in the amounts of $12,608, $3,222, and $0, respectively.</w:t>
      </w:r>
    </w:p>
    <w:p>
      <w:pPr>
        <w:spacing w:after="0" w:line="138"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The utilization of the Company’s net operating losses and tax credits may be subject to a U.S. federal limitation due to the “change in ownership provisions” under Section 382 of the Internal Revenue Code and other similar limitations in various state jurisdictions. Such limitations may result in the expiration of net operating loss carryforwards or tax credits before their utilization. The Company has not completed a study to assess whether an “ownership change” as defined in Section 382 has occurred or whether there have been multiple ownership changes since the Company’s inception. Future changes in the Company’s stock ownership, which may be outside of the Company’s control, may trigger an “ownership change.” In addition, future equity offerings or acquisitions that have equity as a component of the purchase price could result in an “ownership change.”</w:t>
      </w:r>
    </w:p>
    <w:p>
      <w:pPr>
        <w:spacing w:after="0" w:line="146"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The calculation of our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 As of December 31, 2025, we have not recorded any uncertain tax positions, accrued interest nor penalties in our consolidated financial statements.</w:t>
      </w:r>
    </w:p>
    <w:p>
      <w:pPr>
        <w:spacing w:after="0" w:line="142" w:lineRule="exact"/>
        <w:rPr>
          <w:sz w:val="20"/>
          <w:szCs w:val="20"/>
          <w:color w:val="auto"/>
        </w:rPr>
      </w:pPr>
    </w:p>
    <w:p>
      <w:pPr>
        <w:ind w:left="760" w:right="819" w:firstLine="249"/>
        <w:spacing w:after="0" w:line="279" w:lineRule="auto"/>
        <w:rPr>
          <w:sz w:val="20"/>
          <w:szCs w:val="20"/>
          <w:color w:val="auto"/>
        </w:rPr>
      </w:pPr>
      <w:r>
        <w:rPr>
          <w:rFonts w:ascii="Times New Roman" w:cs="Times New Roman" w:eastAsia="Times New Roman" w:hAnsi="Times New Roman"/>
          <w:sz w:val="13"/>
          <w:szCs w:val="13"/>
          <w:color w:val="auto"/>
        </w:rPr>
        <w:t>The Company files tax returns as prescribed by the tax laws of the jurisdictions in which it operates. In the normal course of business, the Company is subject to examination by federal, state and foreign jurisdictions, where applicable. There are currently no pending income tax examinations. The Company is open to federal tax examination under statute from 2022 to present. The Company is open to tax examination in other jurisdictions from 2022 to present. Carryforward attributes from prior years may still be adjusted upon examination by federal, state and/or foreign tax authorities to the extent utilized in an open tax year or in future periods.</w:t>
      </w:r>
    </w:p>
    <w:p>
      <w:pPr>
        <w:spacing w:after="0" w:line="128"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As of December 31, 2025, the Company has not provided for deferred income taxes on unremitted earnings of its foreign subsidiaries since these earnings are indefinitely reinvested. No deferred taxes have been provided on these amounts. It is impracticable to estimate the amount of the unrecognized deferred tax liability related to these earnings because such liability, if any, is dependent on the manner of repatriation (e.g., dividend, sale, or liquidation), the timing of such events, applicable tax treaties, withholding tax rates in various jurisdictions, and the amount of foreign tax credits available to offset potential U.S. taxes, none of which can be precisely determined at this time. Upon distribution of such earnings in the form of dividends or otherwise, the Company could be subject to taxes.</w:t>
      </w:r>
    </w:p>
    <w:p>
      <w:pPr>
        <w:spacing w:after="0" w:line="14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On July 4, 2025, the One Big Beautiful Bill Act (‘OBBBA’ or the ‘Act’) was enacted into law in the United States. The Act includes, among other provisions, changes to bonus depreciation rules, the treatment of research and experimental expenditures under Section 174A, limitations on the deductibility of interest under Section 163(j), and modifications to certain international tax regimes. The Company is required to account for the effects of changes in tax law in the period that includes the enactment date. Accordingly, during the year ended December 31, 2025, we remeasured our U.S. deferred tax assets and liabilities and corresponding valuation allowances to reflect the tax law changes under OBBBA. The net impact of the remeasurement was insignificant to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9019"/>
          </w:cols>
          <w:pgMar w:left="1440" w:top="571" w:right="1440" w:bottom="1440" w:gutter="0" w:footer="0" w:header="0"/>
        </w:sectPr>
      </w:pPr>
    </w:p>
    <w:bookmarkStart w:id="194" w:name="page195"/>
    <w:bookmarkEnd w:id="19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13 - NET LOSS PER COMMON SHARE</w:t>
      </w:r>
    </w:p>
    <w:p>
      <w:pPr>
        <w:spacing w:after="0" w:line="173"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Basic and diluted net loss per common share is computed by dividing net loss by the weighted average number of common shares outstanding during the period.</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Basic and diluted losses per share are calculated as follows (in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540" w:type="dxa"/>
            <w:vAlign w:val="bottom"/>
          </w:tcPr>
          <w:p>
            <w:pPr>
              <w:ind w:left="54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1"/>
                <w:szCs w:val="11"/>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15"/>
        </w:trPr>
        <w:tc>
          <w:tcPr>
            <w:tcW w:w="554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75"/>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74"/>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Numerator:</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 - basic and diluted</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(73,845)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5,026,704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5,009,250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 basic and diluted</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right="1039" w:firstLine="249"/>
        <w:spacing w:after="0" w:line="278" w:lineRule="auto"/>
        <w:rPr>
          <w:sz w:val="20"/>
          <w:szCs w:val="20"/>
          <w:color w:val="auto"/>
        </w:rPr>
      </w:pPr>
      <w:r>
        <w:rPr>
          <w:rFonts w:ascii="Times New Roman" w:cs="Times New Roman" w:eastAsia="Times New Roman" w:hAnsi="Times New Roman"/>
          <w:sz w:val="14"/>
          <w:szCs w:val="14"/>
          <w:color w:val="auto"/>
        </w:rPr>
        <w:t>The following common stock equivalents were excluded from the calculation of diluted loss per share attributable to common stockholders because their inclusion would have been anti-dilutive:</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900" w:type="dxa"/>
            <w:vAlign w:val="bottom"/>
          </w:tcPr>
          <w:p>
            <w:pPr>
              <w:ind w:left="5800"/>
              <w:spacing w:after="0"/>
              <w:rPr>
                <w:sz w:val="20"/>
                <w:szCs w:val="20"/>
                <w:color w:val="auto"/>
              </w:rPr>
            </w:pPr>
            <w:r>
              <w:rPr>
                <w:rFonts w:ascii="Times New Roman" w:cs="Times New Roman" w:eastAsia="Times New Roman" w:hAnsi="Times New Roman"/>
                <w:sz w:val="11"/>
                <w:szCs w:val="11"/>
                <w:b w:val="1"/>
                <w:bCs w:val="1"/>
                <w:color w:val="231F20"/>
              </w:rPr>
              <w:t>​​​</w:t>
            </w:r>
          </w:p>
        </w:tc>
        <w:tc>
          <w:tcPr>
            <w:tcW w:w="158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r>
      <w:tr>
        <w:trPr>
          <w:trHeight w:val="115"/>
        </w:trPr>
        <w:tc>
          <w:tcPr>
            <w:tcW w:w="5900" w:type="dxa"/>
            <w:vAlign w:val="bottom"/>
            <w:tcBorders>
              <w:bottom w:val="single" w:sz="8" w:color="CCEEFF"/>
            </w:tcBorders>
          </w:tcPr>
          <w:p>
            <w:pPr>
              <w:ind w:left="5800"/>
              <w:spacing w:after="0" w:line="115" w:lineRule="exact"/>
              <w:rPr>
                <w:sz w:val="20"/>
                <w:szCs w:val="20"/>
                <w:color w:val="auto"/>
              </w:rPr>
            </w:pPr>
            <w:r>
              <w:rPr>
                <w:rFonts w:ascii="Times New Roman" w:cs="Times New Roman" w:eastAsia="Times New Roman" w:hAnsi="Times New Roman"/>
                <w:sz w:val="11"/>
                <w:szCs w:val="11"/>
                <w:b w:val="1"/>
                <w:bCs w:val="1"/>
                <w:color w:val="231F20"/>
              </w:rPr>
              <w:t>​​​</w:t>
            </w:r>
          </w:p>
        </w:tc>
        <w:tc>
          <w:tcPr>
            <w:tcW w:w="700" w:type="dxa"/>
            <w:vAlign w:val="bottom"/>
            <w:tcBorders>
              <w:bottom w:val="single" w:sz="8" w:color="auto"/>
            </w:tcBorders>
          </w:tcPr>
          <w:p>
            <w:pPr>
              <w:jc w:val="right"/>
              <w:ind w:right="173"/>
              <w:spacing w:after="0" w:line="115" w:lineRule="exact"/>
              <w:rPr>
                <w:sz w:val="20"/>
                <w:szCs w:val="20"/>
                <w:color w:val="auto"/>
              </w:rPr>
            </w:pPr>
            <w:r>
              <w:rPr>
                <w:rFonts w:ascii="Times New Roman" w:cs="Times New Roman" w:eastAsia="Times New Roman" w:hAnsi="Times New Roman"/>
                <w:sz w:val="11"/>
                <w:szCs w:val="11"/>
                <w:b w:val="1"/>
                <w:bCs w:val="1"/>
                <w:color w:val="231F20"/>
              </w:rPr>
              <w:t>2025</w:t>
            </w:r>
          </w:p>
        </w:tc>
        <w:tc>
          <w:tcPr>
            <w:tcW w:w="180" w:type="dxa"/>
            <w:vAlign w:val="bottom"/>
            <w:tcBorders>
              <w:bottom w:val="single" w:sz="8" w:color="CCEEFF"/>
            </w:tcBorders>
          </w:tcPr>
          <w:p>
            <w:pPr>
              <w:ind w:lef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172"/>
              <w:spacing w:after="0" w:line="115" w:lineRule="exact"/>
              <w:rPr>
                <w:sz w:val="20"/>
                <w:szCs w:val="20"/>
                <w:color w:val="auto"/>
              </w:rPr>
            </w:pPr>
            <w:r>
              <w:rPr>
                <w:rFonts w:ascii="Times New Roman" w:cs="Times New Roman" w:eastAsia="Times New Roman" w:hAnsi="Times New Roman"/>
                <w:sz w:val="11"/>
                <w:szCs w:val="11"/>
                <w:b w:val="1"/>
                <w:bCs w:val="1"/>
                <w:color w:val="231F20"/>
              </w:rPr>
              <w:t>2024</w:t>
            </w:r>
          </w:p>
        </w:tc>
      </w:tr>
      <w:tr>
        <w:trPr>
          <w:trHeight w:val="157"/>
        </w:trPr>
        <w:tc>
          <w:tcPr>
            <w:tcW w:w="5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231F20"/>
              </w:rPr>
              <w:t>Series A-1 redeemable convertible preferred stock</w:t>
            </w:r>
          </w:p>
        </w:tc>
        <w:tc>
          <w:tcPr>
            <w:tcW w:w="7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231F20"/>
              </w:rPr>
              <w:t>1,234,568</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231F20"/>
              </w:rPr>
              <w:t>1,234,568</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231F20"/>
              </w:rPr>
              <w:t>Series A-2 redeemable convertible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2,362,204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2,362,204</w:t>
            </w:r>
          </w:p>
        </w:tc>
      </w:tr>
      <w:tr>
        <w:trPr>
          <w:trHeight w:val="16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Series B-1 redeemable convertible preferred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2,718,539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2,718,539</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231F20"/>
              </w:rPr>
              <w:t>Series C-1 redeemable convertible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3,570,724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3,570,724</w:t>
            </w:r>
          </w:p>
        </w:tc>
      </w:tr>
      <w:tr>
        <w:trPr>
          <w:trHeight w:val="16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Series C-2 redeemable convertible preferred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2,513,698</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2,513,698</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231F20"/>
              </w:rPr>
              <w:t>Series D redeemable convertible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5,950,204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5,950,204</w:t>
            </w:r>
          </w:p>
        </w:tc>
      </w:tr>
      <w:tr>
        <w:trPr>
          <w:trHeight w:val="16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Preferred stock warrants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295,558</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295,558</w:t>
            </w:r>
          </w:p>
        </w:tc>
      </w:tr>
      <w:tr>
        <w:trPr>
          <w:trHeight w:val="166"/>
        </w:trPr>
        <w:tc>
          <w:tcPr>
            <w:tcW w:w="5900" w:type="dxa"/>
            <w:vAlign w:val="bottom"/>
          </w:tcPr>
          <w:p>
            <w:pPr>
              <w:spacing w:after="0" w:line="166" w:lineRule="exact"/>
              <w:rPr>
                <w:sz w:val="20"/>
                <w:szCs w:val="20"/>
                <w:color w:val="auto"/>
              </w:rPr>
            </w:pPr>
            <w:r>
              <w:rPr>
                <w:rFonts w:ascii="Times New Roman" w:cs="Times New Roman" w:eastAsia="Times New Roman" w:hAnsi="Times New Roman"/>
                <w:sz w:val="13"/>
                <w:szCs w:val="13"/>
                <w:color w:val="231F20"/>
              </w:rPr>
              <w:t xml:space="preserve">Preferred stock issued upon conversion of convertible promissory notes </w:t>
            </w:r>
            <w:r>
              <w:rPr>
                <w:rFonts w:ascii="Times New Roman" w:cs="Times New Roman" w:eastAsia="Times New Roman" w:hAnsi="Times New Roman"/>
                <w:sz w:val="19"/>
                <w:szCs w:val="19"/>
                <w:color w:val="231F20"/>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560,024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6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Options to purchase common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5,546,772</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5,085,269</w:t>
            </w:r>
          </w:p>
        </w:tc>
      </w:tr>
      <w:tr>
        <w:trPr>
          <w:trHeight w:val="181"/>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231F20"/>
              </w:rPr>
              <w:t>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1,394,670</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1,446,116</w:t>
            </w:r>
          </w:p>
        </w:tc>
      </w:tr>
    </w:tbl>
    <w:p>
      <w:pPr>
        <w:spacing w:after="0" w:line="136" w:lineRule="exact"/>
        <w:rPr>
          <w:sz w:val="20"/>
          <w:szCs w:val="20"/>
          <w:color w:val="auto"/>
        </w:rPr>
      </w:pPr>
    </w:p>
    <w:p>
      <w:pPr>
        <w:ind w:left="1020" w:right="779" w:hanging="256"/>
        <w:spacing w:after="0" w:line="255" w:lineRule="auto"/>
        <w:tabs>
          <w:tab w:leader="none" w:pos="100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December 31, 2025. This assumption included consideration of the multiple conversion features and applying probability weightings to an assumed price of approximately $38 per share ($19 per share after applying the 50% discount).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14 - SEGMENT INFORMATION</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spacing w:after="0" w:line="142" w:lineRule="exact"/>
        <w:rPr>
          <w:sz w:val="20"/>
          <w:szCs w:val="20"/>
          <w:color w:val="auto"/>
        </w:rPr>
      </w:pPr>
    </w:p>
    <w:p>
      <w:pPr>
        <w:ind w:left="760" w:right="919" w:firstLine="249"/>
        <w:spacing w:after="0" w:line="318" w:lineRule="auto"/>
        <w:rPr>
          <w:sz w:val="20"/>
          <w:szCs w:val="20"/>
          <w:color w:val="auto"/>
        </w:rPr>
      </w:pPr>
      <w:r>
        <w:rPr>
          <w:rFonts w:ascii="Times New Roman" w:cs="Times New Roman" w:eastAsia="Times New Roman" w:hAnsi="Times New Roman"/>
          <w:sz w:val="13"/>
          <w:szCs w:val="13"/>
          <w:color w:val="auto"/>
        </w:rPr>
        <w:t>The key measure of segment profit and loss that the CODM uses to allocate resources and assess performance is the Company’s net loss. The table below shows a reconciliation of the Company’s net loss, including the significant expense categories regularly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9019"/>
          </w:cols>
          <w:pgMar w:left="1440" w:top="572" w:right="1440" w:bottom="1440" w:gutter="0" w:footer="0" w:header="0"/>
        </w:sectPr>
      </w:pPr>
    </w:p>
    <w:bookmarkStart w:id="195" w:name="page196"/>
    <w:bookmarkEnd w:id="19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1379"/>
        <w:spacing w:after="0" w:line="278" w:lineRule="auto"/>
        <w:rPr>
          <w:sz w:val="20"/>
          <w:szCs w:val="20"/>
          <w:color w:val="auto"/>
        </w:rPr>
      </w:pPr>
      <w:r>
        <w:rPr>
          <w:rFonts w:ascii="Times New Roman" w:cs="Times New Roman" w:eastAsia="Times New Roman" w:hAnsi="Times New Roman"/>
          <w:sz w:val="14"/>
          <w:szCs w:val="14"/>
          <w:color w:val="auto"/>
        </w:rPr>
        <w:t>provided to and reviewed by the CODM, as computed under U.S. GAAP to the Company’s total net loss in the consolidated statements of operations: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740" w:type="dxa"/>
            <w:vAlign w:val="bottom"/>
          </w:tcPr>
          <w:p>
            <w:pPr>
              <w:ind w:left="5660"/>
              <w:spacing w:after="0"/>
              <w:rPr>
                <w:sz w:val="20"/>
                <w:szCs w:val="20"/>
                <w:color w:val="auto"/>
              </w:rPr>
            </w:pPr>
            <w:r>
              <w:rPr>
                <w:rFonts w:ascii="Times New Roman" w:cs="Times New Roman" w:eastAsia="Times New Roman" w:hAnsi="Times New Roman"/>
                <w:sz w:val="11"/>
                <w:szCs w:val="11"/>
                <w:b w:val="1"/>
                <w:bCs w:val="1"/>
                <w:color w:val="231F20"/>
              </w:rPr>
              <w:t>​​​</w:t>
            </w:r>
          </w:p>
        </w:tc>
        <w:tc>
          <w:tcPr>
            <w:tcW w:w="160" w:type="dxa"/>
            <w:vAlign w:val="bottom"/>
          </w:tcPr>
          <w:p>
            <w:pPr>
              <w:spacing w:after="0"/>
              <w:rPr>
                <w:sz w:val="11"/>
                <w:szCs w:val="11"/>
                <w:color w:val="auto"/>
              </w:rPr>
            </w:pPr>
          </w:p>
        </w:tc>
        <w:tc>
          <w:tcPr>
            <w:tcW w:w="162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0" w:type="dxa"/>
            <w:vAlign w:val="bottom"/>
          </w:tcPr>
          <w:p>
            <w:pPr>
              <w:spacing w:after="0"/>
              <w:rPr>
                <w:sz w:val="1"/>
                <w:szCs w:val="1"/>
                <w:color w:val="auto"/>
              </w:rPr>
            </w:pPr>
          </w:p>
        </w:tc>
      </w:tr>
      <w:tr>
        <w:trPr>
          <w:trHeight w:val="115"/>
        </w:trPr>
        <w:tc>
          <w:tcPr>
            <w:tcW w:w="5740" w:type="dxa"/>
            <w:vAlign w:val="bottom"/>
          </w:tcPr>
          <w:p>
            <w:pPr>
              <w:ind w:left="56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231F20"/>
              </w:rPr>
              <w:t>2025</w:t>
            </w:r>
          </w:p>
        </w:tc>
        <w:tc>
          <w:tcPr>
            <w:tcW w:w="360" w:type="dxa"/>
            <w:vAlign w:val="bottom"/>
            <w:tcBorders>
              <w:top w:val="single" w:sz="8" w:color="auto"/>
            </w:tcBorders>
            <w:gridSpan w:val="2"/>
          </w:tcPr>
          <w:p>
            <w:pPr>
              <w:jc w:val="right"/>
              <w:ind w:right="128"/>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231F20"/>
              </w:rPr>
              <w:t>2024</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7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ind w:right="75"/>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Reimbursement from JDAs and others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Payroll expense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Occupancy expense</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Professional service expense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(4,146)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(3,671)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Research and development expense</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(3,646)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Depreciation expense</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(6,067)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(8,302)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Loss on impairment and lease termination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(17,063)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Other operating expense</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(1,685)</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4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231F20"/>
              </w:rPr>
              <w:t>Loss from operations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(63,588)</w:t>
            </w:r>
          </w:p>
        </w:tc>
        <w:tc>
          <w:tcPr>
            <w:tcW w:w="180" w:type="dxa"/>
            <w:vAlign w:val="bottom"/>
          </w:tcPr>
          <w:p>
            <w:pPr>
              <w:spacing w:after="0"/>
              <w:rPr>
                <w:sz w:val="13"/>
                <w:szCs w:val="13"/>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(56,520)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Total other income (expense), net</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(10,257)</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2,176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Net loss</w:t>
            </w: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(73,845)</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(54,344)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Assets provided to CODM are consistent with those reported on the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spacing w:after="0" w:line="138"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We have corrected certain amounts in the table below as of December 31, 2024, to correct an immaterial error in previously issued segment footnote disclosure by reclassifying certain amounts of machinery and equipment and accumulated depreciation that were located in the United States that were disclosed as located in South Korea. There was no impact on consolidated net property, plant and equipment, the consolidated balance sheets, the consolidated statements of operations, consolidated statements of comprehensive loss, or the consolidated statements of cash flows for any period presented.</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Long-lived assets by physical geographical location as of December 31, 2025, and 2024,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Long-Lived Asset Type</w:t>
            </w:r>
          </w:p>
        </w:tc>
        <w:tc>
          <w:tcPr>
            <w:tcW w:w="1140" w:type="dxa"/>
            <w:vAlign w:val="bottom"/>
          </w:tcPr>
          <w:p>
            <w:pPr>
              <w:ind w:left="10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0" w:type="dxa"/>
            <w:vAlign w:val="bottom"/>
          </w:tcPr>
          <w:p>
            <w:pPr>
              <w:spacing w:after="0"/>
              <w:rPr>
                <w:sz w:val="1"/>
                <w:szCs w:val="1"/>
                <w:color w:val="auto"/>
              </w:rPr>
            </w:pPr>
          </w:p>
        </w:tc>
      </w:tr>
      <w:tr>
        <w:trPr>
          <w:trHeight w:val="115"/>
        </w:trPr>
        <w:tc>
          <w:tcPr>
            <w:tcW w:w="4600" w:type="dxa"/>
            <w:vAlign w:val="bottom"/>
            <w:vMerge w:val="continue"/>
          </w:tcPr>
          <w:p>
            <w:pPr>
              <w:spacing w:after="0"/>
              <w:rPr>
                <w:sz w:val="10"/>
                <w:szCs w:val="10"/>
                <w:color w:val="auto"/>
              </w:rPr>
            </w:pPr>
          </w:p>
        </w:tc>
        <w:tc>
          <w:tcPr>
            <w:tcW w:w="1140" w:type="dxa"/>
            <w:vAlign w:val="bottom"/>
          </w:tcPr>
          <w:p>
            <w:pPr>
              <w:ind w:left="10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South Korea</w:t>
            </w:r>
          </w:p>
        </w:tc>
        <w:tc>
          <w:tcPr>
            <w:tcW w:w="200" w:type="dxa"/>
            <w:vAlign w:val="bottom"/>
            <w:gridSpan w:val="2"/>
          </w:tcPr>
          <w:p>
            <w:pPr>
              <w:jc w:val="right"/>
              <w:ind w:right="8"/>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2"/>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United States</w:t>
            </w: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1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10,680</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Computer and software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Building Fixtures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 (advances on property and equipment)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(4,589)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(8,212)</w:t>
            </w:r>
          </w:p>
        </w:tc>
        <w:tc>
          <w:tcPr>
            <w:tcW w:w="0" w:type="dxa"/>
            <w:vAlign w:val="bottom"/>
          </w:tcPr>
          <w:p>
            <w:pPr>
              <w:spacing w:after="0"/>
              <w:rPr>
                <w:sz w:val="1"/>
                <w:szCs w:val="1"/>
                <w:color w:val="auto"/>
              </w:rPr>
            </w:pPr>
          </w:p>
        </w:tc>
      </w:tr>
      <w:tr>
        <w:trPr>
          <w:trHeight w:val="157"/>
        </w:trPr>
        <w:tc>
          <w:tcPr>
            <w:tcW w:w="460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Net property, plant and equipment</w:t>
            </w:r>
          </w:p>
        </w:tc>
        <w:tc>
          <w:tcPr>
            <w:tcW w:w="1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12,015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9,261</w:t>
            </w: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0" w:type="dxa"/>
            <w:vAlign w:val="bottom"/>
          </w:tcPr>
          <w:p>
            <w:pPr>
              <w:spacing w:after="0"/>
              <w:rPr>
                <w:sz w:val="1"/>
                <w:szCs w:val="1"/>
                <w:color w:val="auto"/>
              </w:rPr>
            </w:pPr>
          </w:p>
        </w:tc>
      </w:tr>
      <w:tr>
        <w:trPr>
          <w:trHeight w:val="157"/>
        </w:trPr>
        <w:tc>
          <w:tcPr>
            <w:tcW w:w="46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Long-Lived Assets</w:t>
            </w:r>
          </w:p>
        </w:tc>
        <w:tc>
          <w:tcPr>
            <w:tcW w:w="1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12,015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16,837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9019"/>
          </w:cols>
          <w:pgMar w:left="1440" w:top="571" w:right="1440" w:bottom="1440" w:gutter="0" w:footer="0" w:header="0"/>
        </w:sectPr>
      </w:pPr>
    </w:p>
    <w:bookmarkStart w:id="196" w:name="page197"/>
    <w:bookmarkEnd w:id="19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6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Long-Lived Asset Type</w:t>
            </w:r>
          </w:p>
        </w:tc>
        <w:tc>
          <w:tcPr>
            <w:tcW w:w="1140" w:type="dxa"/>
            <w:vAlign w:val="bottom"/>
          </w:tcPr>
          <w:p>
            <w:pPr>
              <w:ind w:left="10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68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0" w:type="dxa"/>
            <w:vAlign w:val="bottom"/>
          </w:tcPr>
          <w:p>
            <w:pPr>
              <w:spacing w:after="0"/>
              <w:rPr>
                <w:sz w:val="1"/>
                <w:szCs w:val="1"/>
                <w:color w:val="auto"/>
              </w:rPr>
            </w:pPr>
          </w:p>
        </w:tc>
      </w:tr>
      <w:tr>
        <w:trPr>
          <w:trHeight w:val="115"/>
        </w:trPr>
        <w:tc>
          <w:tcPr>
            <w:tcW w:w="4600" w:type="dxa"/>
            <w:vAlign w:val="bottom"/>
            <w:vMerge w:val="continue"/>
          </w:tcPr>
          <w:p>
            <w:pPr>
              <w:spacing w:after="0"/>
              <w:rPr>
                <w:sz w:val="10"/>
                <w:szCs w:val="10"/>
                <w:color w:val="auto"/>
              </w:rPr>
            </w:pPr>
          </w:p>
        </w:tc>
        <w:tc>
          <w:tcPr>
            <w:tcW w:w="1140" w:type="dxa"/>
            <w:vAlign w:val="bottom"/>
          </w:tcPr>
          <w:p>
            <w:pPr>
              <w:ind w:left="10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South Korea</w:t>
            </w:r>
          </w:p>
        </w:tc>
        <w:tc>
          <w:tcPr>
            <w:tcW w:w="200" w:type="dxa"/>
            <w:vAlign w:val="bottom"/>
            <w:tcBorders>
              <w:top w:val="single" w:sz="8" w:color="auto"/>
            </w:tcBorders>
            <w:gridSpan w:val="2"/>
          </w:tcPr>
          <w:p>
            <w:pPr>
              <w:jc w:val="right"/>
              <w:ind w:right="8"/>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12"/>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United States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1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32,427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Computer and software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Building Fixtures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 (advances on property and equipment)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(2,448)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Net property, plant and equipment</w:t>
            </w:r>
          </w:p>
        </w:tc>
        <w:tc>
          <w:tcPr>
            <w:tcW w:w="1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13,316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34,374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Long-Lived Assets</w:t>
            </w: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13,316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49,910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760" w:right="899" w:firstLine="249"/>
        <w:spacing w:after="0" w:line="255" w:lineRule="auto"/>
        <w:rPr>
          <w:sz w:val="20"/>
          <w:szCs w:val="20"/>
          <w:color w:val="auto"/>
        </w:rPr>
      </w:pPr>
      <w:r>
        <w:rPr>
          <w:rFonts w:ascii="Times New Roman" w:cs="Times New Roman" w:eastAsia="Times New Roman" w:hAnsi="Times New Roman"/>
          <w:sz w:val="14"/>
          <w:szCs w:val="14"/>
          <w:color w:val="auto"/>
        </w:rPr>
        <w:t>The comparative fixed asset by physical geographical location information for the year ended December 31, 2024, presented in these financial statements has been revised to correct this presentation. The correction resulted in an increase in gross machinery and equipment and a decrease of accumulated depreciation for United States asset group and corresponding increases and decreases for South Korea asset group, with no change to the total property, plant and equipment, total accumulated depreciation, or total net book value previously reported.</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Capital expenditures by geographical location for the years ended December 31, 2025, and 2024, are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600" w:type="dxa"/>
            <w:vAlign w:val="bottom"/>
          </w:tcPr>
          <w:p>
            <w:pPr>
              <w:spacing w:after="0"/>
              <w:rPr>
                <w:sz w:val="11"/>
                <w:szCs w:val="11"/>
                <w:color w:val="auto"/>
              </w:rPr>
            </w:pP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2160" w:type="dxa"/>
            <w:vAlign w:val="bottom"/>
            <w:gridSpan w:val="9"/>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500" w:type="dxa"/>
            <w:vAlign w:val="bottom"/>
            <w:gridSpan w:val="2"/>
          </w:tcPr>
          <w:p>
            <w:pPr>
              <w:ind w:left="4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gridSpan w:val="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South Korea</w:t>
            </w:r>
          </w:p>
        </w:tc>
        <w:tc>
          <w:tcPr>
            <w:tcW w:w="80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United States</w:t>
            </w:r>
          </w:p>
        </w:tc>
        <w:tc>
          <w:tcPr>
            <w:tcW w:w="280" w:type="dxa"/>
            <w:vAlign w:val="bottom"/>
            <w:tcBorders>
              <w:top w:val="single" w:sz="8" w:color="auto"/>
            </w:tcBorders>
            <w:gridSpan w:val="2"/>
          </w:tcPr>
          <w:p>
            <w:pPr>
              <w:jc w:val="right"/>
              <w:ind w:right="88"/>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153"/>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231F20"/>
              </w:rPr>
              <w:t>Capital Expenditures, net</w:t>
            </w:r>
          </w:p>
        </w:tc>
        <w:tc>
          <w:tcPr>
            <w:tcW w:w="4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Property and equipment expenditures</w:t>
            </w: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 w:type="dxa"/>
            <w:vAlign w:val="bottom"/>
          </w:tcPr>
          <w:p>
            <w:pPr>
              <w:spacing w:after="0"/>
              <w:rPr>
                <w:sz w:val="14"/>
                <w:szCs w:val="14"/>
                <w:color w:val="auto"/>
              </w:rPr>
            </w:pP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Advances on property and equipment</w:t>
            </w: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Proceeds from disposal of property and equipment from lease termination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Proceeds from disposal of property and equipment</w:t>
            </w: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Total Capital Expenditures, net</w:t>
            </w:r>
          </w:p>
        </w:tc>
        <w:tc>
          <w:tcPr>
            <w:tcW w:w="480" w:type="dxa"/>
            <w:vAlign w:val="bottom"/>
          </w:tcPr>
          <w:p>
            <w:pPr>
              <w:spacing w:after="0"/>
              <w:rPr>
                <w:sz w:val="13"/>
                <w:szCs w:val="13"/>
                <w:color w:val="auto"/>
              </w:rPr>
            </w:pPr>
          </w:p>
        </w:tc>
        <w:tc>
          <w:tcPr>
            <w:tcW w:w="280" w:type="dxa"/>
            <w:vAlign w:val="bottom"/>
            <w:tcBorders>
              <w:top w:val="single" w:sz="8" w:color="auto"/>
              <w:bottom w:val="single" w:sz="8" w:color="auto"/>
            </w:tcBorders>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(1,444)</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(1,326)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00" w:type="dxa"/>
            <w:vAlign w:val="bottom"/>
          </w:tcPr>
          <w:p>
            <w:pPr>
              <w:spacing w:after="0"/>
              <w:rPr>
                <w:sz w:val="24"/>
                <w:szCs w:val="24"/>
                <w:color w:val="auto"/>
              </w:rPr>
            </w:pP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231F20"/>
              </w:rPr>
              <w:t>​​​</w:t>
            </w:r>
          </w:p>
        </w:tc>
        <w:tc>
          <w:tcPr>
            <w:tcW w:w="2160" w:type="dxa"/>
            <w:vAlign w:val="bottom"/>
            <w:gridSpan w:val="9"/>
          </w:tcPr>
          <w:p>
            <w:pPr>
              <w:ind w:left="180"/>
              <w:spacing w:after="0"/>
              <w:rPr>
                <w:sz w:val="20"/>
                <w:szCs w:val="20"/>
                <w:color w:val="auto"/>
              </w:rPr>
            </w:pPr>
            <w:r>
              <w:rPr>
                <w:rFonts w:ascii="Times New Roman" w:cs="Times New Roman" w:eastAsia="Times New Roman" w:hAnsi="Times New Roman"/>
                <w:sz w:val="11"/>
                <w:szCs w:val="11"/>
                <w:b w:val="1"/>
                <w:bCs w:val="1"/>
                <w:color w:val="231F20"/>
              </w:rPr>
              <w:t>Year Ended December 31, 2024</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500" w:type="dxa"/>
            <w:vAlign w:val="bottom"/>
            <w:gridSpan w:val="2"/>
          </w:tcPr>
          <w:p>
            <w:pPr>
              <w:ind w:left="4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gridSpan w:val="3"/>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231F20"/>
              </w:rPr>
              <w:t>South Korea</w:t>
            </w:r>
          </w:p>
        </w:tc>
        <w:tc>
          <w:tcPr>
            <w:tcW w:w="80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231F20"/>
              </w:rPr>
              <w:t>United States</w:t>
            </w:r>
          </w:p>
        </w:tc>
        <w:tc>
          <w:tcPr>
            <w:tcW w:w="280" w:type="dxa"/>
            <w:vAlign w:val="bottom"/>
            <w:tcBorders>
              <w:top w:val="single" w:sz="8" w:color="auto"/>
            </w:tcBorders>
            <w:gridSpan w:val="2"/>
          </w:tcPr>
          <w:p>
            <w:pPr>
              <w:jc w:val="right"/>
              <w:ind w:right="88"/>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153"/>
              <w:spacing w:after="0" w:line="115" w:lineRule="exact"/>
              <w:rPr>
                <w:sz w:val="20"/>
                <w:szCs w:val="20"/>
                <w:color w:val="auto"/>
              </w:rPr>
            </w:pPr>
            <w:r>
              <w:rPr>
                <w:rFonts w:ascii="Times New Roman" w:cs="Times New Roman" w:eastAsia="Times New Roman" w:hAnsi="Times New Roman"/>
                <w:sz w:val="11"/>
                <w:szCs w:val="11"/>
                <w:b w:val="1"/>
                <w:bCs w:val="1"/>
                <w:color w:val="231F20"/>
              </w:rPr>
              <w:t>Total</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231F20"/>
              </w:rPr>
              <w:t>Capital Expenditures, net</w:t>
            </w:r>
          </w:p>
        </w:tc>
        <w:tc>
          <w:tcPr>
            <w:tcW w:w="4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Property and equipment expenditures</w:t>
            </w: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68</w:t>
            </w:r>
          </w:p>
        </w:tc>
        <w:tc>
          <w:tcPr>
            <w:tcW w:w="40" w:type="dxa"/>
            <w:vAlign w:val="bottom"/>
          </w:tcPr>
          <w:p>
            <w:pPr>
              <w:spacing w:after="0"/>
              <w:rPr>
                <w:sz w:val="14"/>
                <w:szCs w:val="14"/>
                <w:color w:val="auto"/>
              </w:rPr>
            </w:pP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955</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Advances on property and equipment</w:t>
            </w: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960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Proceeds from disposal of property and equipment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Total Capital Expenditures, net</w:t>
            </w: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w:t>
            </w:r>
          </w:p>
        </w:tc>
        <w:tc>
          <w:tcPr>
            <w:tcW w:w="4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68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5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1,809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5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1,877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15 - RELATED PARTY TRANSACTIONS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Collaboration Arrangements</w:t>
      </w:r>
    </w:p>
    <w:p>
      <w:pPr>
        <w:spacing w:after="0" w:line="173" w:lineRule="exact"/>
        <w:rPr>
          <w:sz w:val="20"/>
          <w:szCs w:val="20"/>
          <w:color w:val="auto"/>
        </w:rPr>
      </w:pPr>
    </w:p>
    <w:p>
      <w:pPr>
        <w:ind w:left="760" w:right="999" w:firstLine="249"/>
        <w:spacing w:after="0" w:line="257" w:lineRule="auto"/>
        <w:rPr>
          <w:sz w:val="20"/>
          <w:szCs w:val="20"/>
          <w:color w:val="auto"/>
        </w:rPr>
      </w:pPr>
      <w:r>
        <w:rPr>
          <w:rFonts w:ascii="Times New Roman" w:cs="Times New Roman" w:eastAsia="Times New Roman" w:hAnsi="Times New Roman"/>
          <w:sz w:val="14"/>
          <w:szCs w:val="14"/>
          <w:color w:val="auto"/>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 See Note 3 and Note 2, respectively, for further details regarding those agreements.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9019"/>
          </w:cols>
          <w:pgMar w:left="1440" w:top="571" w:right="1440" w:bottom="1440" w:gutter="0" w:footer="0" w:header="0"/>
        </w:sectPr>
      </w:pPr>
    </w:p>
    <w:bookmarkStart w:id="197" w:name="page198"/>
    <w:bookmarkEnd w:id="19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Uwe Keller, a member of the Company’s Board of Directors, represents Mercedes-Benz who is an investor in the Company’s</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Preferred Stock and holder of Series D Warrants. As mentioned in Note 2, the Company entered into a JDA with Mercedes-Benz</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during the year-ended December 31, 2021. For the years ended December 31, 2025, and 2024, the Company received $110 and</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$2,613, respectively, in expense reimbursements for the services provided under the JDA with Mercedes-Benz which are recorded net</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within research and development expenses on the consolidated statements of operations. There were no amounts due from Mercedes-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Benz as of December 31, 2025. Amounts due from Mercedes-Benz totaled $4, which are included in receivables under collaboration</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agreements on the consolidated balance sheets as of December 31, 2024.</w:t>
      </w:r>
    </w:p>
    <w:p>
      <w:pPr>
        <w:spacing w:after="0" w:line="156"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Michael Bly, a member of the Company’s Board of Directors, represents Stellantis who is an investor in the Company’s Preferred Stock and holder of Series D Warrants. As mentioned in Note 2, the Company entered into a JDA with Stellantis during the year-ended December 31, 2021. For the years ended December 31, 2025, and 2024, the Company received $1,185 and $776, respectively in expense reimbursements for the services provided under the JDA with Stellantis which are recorded net within research and development expenses on the consolidated statements of operations. Amounts due from Stellantis totaled $1,000 and $577, which are included in receivables under collaboration agreements on the consolidated balance sheets as of December 31, 2025, and 2024, respectively.</w:t>
      </w:r>
    </w:p>
    <w:p>
      <w:pPr>
        <w:spacing w:after="0" w:line="146" w:lineRule="exact"/>
        <w:rPr>
          <w:sz w:val="20"/>
          <w:szCs w:val="20"/>
          <w:color w:val="auto"/>
        </w:rPr>
      </w:pPr>
    </w:p>
    <w:p>
      <w:pPr>
        <w:ind w:left="760" w:right="879" w:firstLine="249"/>
        <w:spacing w:after="0" w:line="274" w:lineRule="auto"/>
        <w:rPr>
          <w:sz w:val="20"/>
          <w:szCs w:val="20"/>
          <w:color w:val="auto"/>
        </w:rPr>
      </w:pPr>
      <w:r>
        <w:rPr>
          <w:rFonts w:ascii="Times New Roman" w:cs="Times New Roman" w:eastAsia="Times New Roman" w:hAnsi="Times New Roman"/>
          <w:sz w:val="13"/>
          <w:szCs w:val="13"/>
          <w:color w:val="auto"/>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During the year ended December 31, 2025, the Company prepaid $2,000 to Stellantis for these services. As of December 31, 2025, $160 is included in other non-current assets and $950 is included in prepaid expenses and other current assets on the consolidated balance sheets. During the year ended December 31, 2025, $890 of expense was recognized as part of the agreement and is included in research and development expenses on the consolidated statements of operations.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Secondary Share Sale</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In 2023, Hermitage Investment Fund 1 LP (“Hermitage”), an existing investor in Factorial, negotiated a sale purchase agreement with certain stockholders in the Company for the Series D price of $34.0131 per share, where the transfer of the shares occurred during the year ended December 31, 2024 (“Secondary Transactions”). Two of the stockholders that were a party of the transaction were certain trusts, of which Alex Yu, CTO, and Siyu Huang, CEO, are trustees, respectively. Specifically, Alex Yu sold 32,693 shares of Factorial Common Stock and Siyu Huang sold 39,930 shares of Factorial Common Stock, respectively. The fair value of the Factorial Common Stock at the time of the Secondary Transactions was $4.80 per share and the shares were sold for price of $34.0131 per share, leading to excess of fair value of $29.2131 per share. Additionally, the Company determined the excess paid over fair value was not for a purpose clearly other than compensation and therefore, recorded stock-based compensation for the year ended December 31, 2024 of $2,122 for the CEO and CTO related to the incremental fair value received by the employees.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Consulting Arrangements</w:t>
      </w:r>
    </w:p>
    <w:p>
      <w:pPr>
        <w:spacing w:after="0" w:line="173" w:lineRule="exact"/>
        <w:rPr>
          <w:sz w:val="20"/>
          <w:szCs w:val="20"/>
          <w:color w:val="auto"/>
        </w:rPr>
      </w:pPr>
    </w:p>
    <w:p>
      <w:pPr>
        <w:ind w:left="760" w:right="999" w:firstLine="249"/>
        <w:spacing w:after="0" w:line="255" w:lineRule="auto"/>
        <w:rPr>
          <w:sz w:val="20"/>
          <w:szCs w:val="20"/>
          <w:color w:val="auto"/>
        </w:rPr>
      </w:pPr>
      <w:r>
        <w:rPr>
          <w:rFonts w:ascii="Times New Roman" w:cs="Times New Roman" w:eastAsia="Times New Roman" w:hAnsi="Times New Roman"/>
          <w:sz w:val="14"/>
          <w:szCs w:val="14"/>
          <w:color w:val="auto"/>
        </w:rPr>
        <w:t>In March of 2020, the Company entered into a consulting services agreement with Joseph Taylor who also serves as Executive Chairman of the Company’s Board of Directors. For the years ended December 31, 2025 and 2024, the Company incurred $350 in expenses for consulting services provided by Joeseph Taylor recorded within selling, general and administrative expenses on the consolidated statements of operations. Amounts due to Joseph Taylor totaled $190 as of December 31, 2025, and are included in accounts payable. There were no amounts due to Joseph Taylor as of December 31, 2024.</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Stock Option Issuance</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Praveen Sahay, a member of the Company’s Board of Directors, represents WAVE Equity Partners who is an investor in the Company’s Preferred Stock. During the year ended December 31, 2025, the Company granted 50,000 stock options to Praveen Sahay for his services performed as a board member.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9019"/>
          </w:cols>
          <w:pgMar w:left="1440" w:top="572" w:right="1440" w:bottom="1440" w:gutter="0" w:footer="0" w:header="0"/>
        </w:sectPr>
      </w:pPr>
    </w:p>
    <w:bookmarkStart w:id="198" w:name="page199"/>
    <w:bookmarkEnd w:id="19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jc w:val="both"/>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Liad Meidar, a member of the Company’s Board of Directors, represents Gatemore Capital Management who is an investor in the Company’s Preferred Stock. During the year ended December 31, 2025, the Company granted 50,000 stock options to Liad Meidar for his services performed as a board member.</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w:t>
      </w:r>
    </w:p>
    <w:p>
      <w:pPr>
        <w:spacing w:after="0" w:line="173" w:lineRule="exact"/>
        <w:rPr>
          <w:sz w:val="20"/>
          <w:szCs w:val="20"/>
          <w:color w:val="auto"/>
        </w:rPr>
      </w:pPr>
    </w:p>
    <w:p>
      <w:pPr>
        <w:ind w:left="760" w:right="1259" w:firstLine="249"/>
        <w:spacing w:after="0" w:line="278" w:lineRule="auto"/>
        <w:rPr>
          <w:sz w:val="20"/>
          <w:szCs w:val="20"/>
          <w:color w:val="auto"/>
        </w:rPr>
      </w:pPr>
      <w:r>
        <w:rPr>
          <w:rFonts w:ascii="Times New Roman" w:cs="Times New Roman" w:eastAsia="Times New Roman" w:hAnsi="Times New Roman"/>
          <w:sz w:val="14"/>
          <w:szCs w:val="14"/>
          <w:color w:val="auto"/>
        </w:rPr>
        <w:t>The August 2025 Notes, as further described in Note 6, were issued to related parties with a principal balances as follows, Stellantis $2,000, Mercedes-Benz $2,000, and Gatemore Capital Management controlled entities $6,000.</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16 - SUBSEQUENT EVENTS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On December 17, 2025, Cartesian Growth Corporation III, a Cayman Islands exempted company (“CGC”), Fenway MS, Inc., a</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Delaware corporation (“Merger Sub”), and Factorial Inc., a Delaware corporation (“Factorial”), entered into a Business Combination</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Agreement (“BCA”). Merger Sub will merge with and into Factorial, with Factorial as the surviving company in the merger and, after</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giving effect to such merger, as a wholly-owned subsidiary of New Factorial (the “Merger”). Under the BCA, each outstanding</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Class A ordinary share of CGC (each, a “CGC Class A Share”), each outstanding Class B ordinary share of CGC and each outstanding</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preference share of CGC will be converted into one share of Series A Common Stock, par value $0.00001 per share, (the “PubCo</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Series A Common Stock”). Each share of Factorial Common Stock (excluding treasury shares, dissenting shares and shares held by</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Factorial Founders) issued and outstanding as of immediately prior to the Effective Time, will be automatically canceled and</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extinguished and exchanged for number of shares of PubCo Series A Common Stock equal to the Consideration Ratio, which is based</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on an implied Factorial equity value of $1,100,000. Each share of Factorial Common Stock held by the Factorial Founders issued and</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outstanding as of immediately prior to the Effective Time, will be automatically canceled and extinguished and exchanged for a</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number of shares of PubCo Series B Common Stock equal to the Consideration Ratio. Each share of Factorial Preferred Stock issued</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outstanding as of immediately prior to the Effective Time will be automatically canceled and extinguished and converted into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right to receive a number of shares of PubCo Series A Common Stock, par value $0.00001 per share, equal to the Consideration Ratio.</w:t>
      </w:r>
    </w:p>
    <w:p>
      <w:pPr>
        <w:spacing w:after="0" w:line="168"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Each option to purchase Factorial Common Stock (each, a “Factorial Option”), whether vested or unvested, will cease to represent the right to purchase Factorial Common Shares and will be canceled in exchange for options to purchase PubCo Series A Common Stock under the equity incentive plan to be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is outstanding with respect to Factorial Common Stock (each, a “Factorial RSU Award”), whether vested or unvested, will cease to have any rights in respect of the Factorial Common Stock and will be canceled in exchange for a restricted stock unit award under the PubCo Equity Incentive Plan that settles in a number of shares of PubCo Series A Common Stock in an amount and subject to such terms and conditions, in each case, as to be set forth on an allocation schedule, that will generally be subject to the same terms and conditions that applied to the corresponding Factorial RSU Award immediately prior to the Effective Time.</w:t>
      </w:r>
    </w:p>
    <w:p>
      <w:pPr>
        <w:spacing w:after="0" w:line="147"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The Business Combination is expected to close in mid-2026, following the receipt of the requisite approvals of CGC shareholders and Factorial stockholders and the fulfillment of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9019"/>
          </w:cols>
          <w:pgMar w:left="1440" w:top="572" w:right="1440" w:bottom="1440" w:gutter="0" w:footer="0" w:header="0"/>
        </w:sectPr>
      </w:pPr>
    </w:p>
    <w:bookmarkStart w:id="199" w:name="page200"/>
    <w:bookmarkEnd w:id="19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5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During January 2026, the Company entered into Convertible Promissory Note Agreements where they can receive proceeds up to $5,340 (“the January 2026 Notes”) from new investors. The January 2026 Notes will bear interest of 5% per annum and mature on January 1, 2029. As of the issuance of these financial statements, the Company has received proceeds of $4,300. The January 2026 Notes provide the holders with certain conversion features including: a mandatory conversion upon a qualified financing event, an optional conversion upon a non-qualified financing event, and an optional conversion upon an acquisition of the Company. The Company has elected the fair value option under ASC 825 for its issued Notes and accordingly measures these instruments at fair value on a recurring basis, with changes in fair value recognized in other income (expense) in the consolidated statements of operations.</w:t>
      </w:r>
    </w:p>
    <w:p>
      <w:pPr>
        <w:spacing w:after="0" w:line="144" w:lineRule="exact"/>
        <w:rPr>
          <w:sz w:val="20"/>
          <w:szCs w:val="20"/>
          <w:color w:val="auto"/>
        </w:rPr>
      </w:pPr>
    </w:p>
    <w:p>
      <w:pPr>
        <w:ind w:left="760" w:right="979" w:firstLine="249"/>
        <w:spacing w:after="0" w:line="257" w:lineRule="auto"/>
        <w:rPr>
          <w:sz w:val="20"/>
          <w:szCs w:val="20"/>
          <w:color w:val="auto"/>
        </w:rPr>
      </w:pPr>
      <w:r>
        <w:rPr>
          <w:rFonts w:ascii="Times New Roman" w:cs="Times New Roman" w:eastAsia="Times New Roman" w:hAnsi="Times New Roman"/>
          <w:sz w:val="14"/>
          <w:szCs w:val="14"/>
          <w:color w:val="auto"/>
        </w:rPr>
        <w:t>In January 2026, the Company entered into a new development agreement with an unaffiliated partner. The development agreement has various terms and conditions and has a term of two years; however, the unaffiliated partner has the right to terminate upon a change of control. The Company entered into this development agreement for purposes of assessing its technology through evaluation and testing of its batteries.</w:t>
      </w:r>
    </w:p>
    <w:p>
      <w:pPr>
        <w:spacing w:after="0" w:line="142"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9019"/>
          </w:cols>
          <w:pgMar w:left="1440" w:top="572" w:right="1440" w:bottom="1440" w:gutter="0" w:footer="0" w:header="0"/>
        </w:sectPr>
      </w:pPr>
    </w:p>
    <w:bookmarkStart w:id="200" w:name="page201"/>
    <w:bookmarkEnd w:id="20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BALANCE SHEETS</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5720" w:type="dxa"/>
            <w:vAlign w:val="bottom"/>
          </w:tcPr>
          <w:p>
            <w:pPr>
              <w:ind w:left="560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2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9"/>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
                <w:szCs w:val="1"/>
                <w:color w:val="auto"/>
                <w:w w:val="4294942296"/>
              </w:rPr>
              <w:t>​</w:t>
            </w:r>
          </w:p>
        </w:tc>
        <w:tc>
          <w:tcPr>
            <w:tcW w:w="74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396,210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624,163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Prepaid insurance - current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112,307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509,350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740,139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insurance – long term</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Investments held in Trust Account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285,868,994</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283,377,276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286,387,703</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284,154,850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127"/>
        </w:trPr>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Class A Ordinary Shares Subject to Possible Redemption, and Shareholders’ Deficit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offering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1,312,305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759,869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1,387,305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834,869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underwriting fee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13,140,000</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13,140,000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14,527,305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13,974,869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 (Note 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Class A ordinary shares subject to possible redemption, 27,600,000 shares at redemption value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approximately $10.36 and $10.27 per share as of March 31, 2026 and December 31, 2025, respectively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285,868,994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283,377,276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Preference shares, $0.0001 par value; 1,000,000 shares authorized; none issued and outstanding</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Class A ordinary shares, $0.0001 par value; 200,000,000 shares authorized; none issued and outstanding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(excluding 27,600,000 shares subject to possible redemption as of March 31, 2026 and December 31, 2025,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respectively)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B ordinary shares, $0.0001 par value; 20,000,000 shares authorized; 6,900,000 shares issued and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outstanding as of March 31, 2026 and December 31, 2025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(14,009,286)</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(13,197,985)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Shareholders’ Deficit</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(14,008,596)</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(13,197,295)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Class A Ordinary Shares Subject to Possible Redemption, and Shareholders’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286,387,703</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284,154,850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F-63</w:t>
      </w:r>
    </w:p>
    <w:p>
      <w:pPr>
        <w:sectPr>
          <w:pgSz w:w="11900" w:h="16838" w:orient="portrait"/>
          <w:cols w:equalWidth="0" w:num="1">
            <w:col w:w="9019"/>
          </w:cols>
          <w:pgMar w:left="1440" w:top="572" w:right="1440" w:bottom="1440" w:gutter="0" w:footer="0" w:header="0"/>
        </w:sectPr>
      </w:pPr>
    </w:p>
    <w:bookmarkStart w:id="201" w:name="page202"/>
    <w:bookmarkEnd w:id="20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STATEMENTS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520" w:type="dxa"/>
            <w:vAlign w:val="bottom"/>
            <w:vMerge w:val="restart"/>
          </w:tcPr>
          <w:p>
            <w:pPr>
              <w:ind w:left="54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15"/>
        </w:trPr>
        <w:tc>
          <w:tcPr>
            <w:tcW w:w="5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top w:val="single" w:sz="8" w:color="auto"/>
            </w:tcBorders>
            <w:gridSpan w:val="3"/>
          </w:tcPr>
          <w:p>
            <w:pPr>
              <w:jc w:val="right"/>
              <w:ind w:right="197"/>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General and administrative costs</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811,301</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2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(811,301)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earned on investments held in Trust Account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tcBorders>
              <w:bottom w:val="single" w:sz="8" w:color="CCEEFF"/>
            </w:tcBorders>
          </w:tcPr>
          <w:p>
            <w:pPr>
              <w:ind w:left="80"/>
              <w:spacing w:after="0" w:line="157" w:lineRule="exact"/>
              <w:rPr>
                <w:sz w:val="20"/>
                <w:szCs w:val="20"/>
                <w:color w:val="auto"/>
              </w:rPr>
            </w:pPr>
            <w:r>
              <w:rPr>
                <w:rFonts w:ascii="Times New Roman" w:cs="Times New Roman" w:eastAsia="Times New Roman" w:hAnsi="Times New Roman"/>
                <w:sz w:val="14"/>
                <w:szCs w:val="14"/>
                <w:color w:val="auto"/>
              </w:rPr>
              <w:t>Other income</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2,491,718</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1,680,417</w:t>
            </w:r>
          </w:p>
        </w:tc>
        <w:tc>
          <w:tcPr>
            <w:tcW w:w="36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5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weighted average shares outstanding, Class A ordinary shares subject to redemption</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27,600,000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 and diluted net income (loss) per share, Class A ordinary shares subject to</w:t>
            </w:r>
          </w:p>
        </w:tc>
        <w:tc>
          <w:tcPr>
            <w:tcW w:w="16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c>
          <w:tcPr>
            <w:tcW w:w="36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5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and diluted weighted average shares outstanding, Class B ordinary shares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and diluted net income (loss) per share, Class B ordinary shares</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0.05</w:t>
            </w:r>
          </w:p>
        </w:tc>
        <w:tc>
          <w:tcPr>
            <w:tcW w:w="36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F-64</w:t>
      </w:r>
    </w:p>
    <w:p>
      <w:pPr>
        <w:sectPr>
          <w:pgSz w:w="11900" w:h="16838" w:orient="portrait"/>
          <w:cols w:equalWidth="0" w:num="1">
            <w:col w:w="9019"/>
          </w:cols>
          <w:pgMar w:left="1440" w:top="572" w:right="1440" w:bottom="1440" w:gutter="0" w:footer="0" w:header="0"/>
        </w:sectPr>
      </w:pPr>
    </w:p>
    <w:bookmarkStart w:id="202" w:name="page203"/>
    <w:bookmarkEnd w:id="20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left="760" w:right="779"/>
        <w:spacing w:after="0" w:line="272" w:lineRule="auto"/>
        <w:rPr>
          <w:sz w:val="20"/>
          <w:szCs w:val="20"/>
          <w:color w:val="auto"/>
        </w:rPr>
      </w:pPr>
      <w:r>
        <w:rPr>
          <w:rFonts w:ascii="Times New Roman" w:cs="Times New Roman" w:eastAsia="Times New Roman" w:hAnsi="Times New Roman"/>
          <w:sz w:val="14"/>
          <w:szCs w:val="14"/>
          <w:b w:val="1"/>
          <w:bCs w:val="1"/>
          <w:color w:val="auto"/>
        </w:rPr>
        <w:t>CARTESIAN GROWTH CORPORATION III CONDENSED STATEMENTS OF CHANGES IN SHAREHOLDERS’ DEFICIT (UNAUDITED)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left="477"/>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940" w:type="dxa"/>
            <w:vAlign w:val="bottom"/>
          </w:tcPr>
          <w:p>
            <w:pPr>
              <w:ind w:left="8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80" w:type="dxa"/>
            <w:vAlign w:val="bottom"/>
          </w:tcPr>
          <w:p>
            <w:pPr>
              <w:jc w:val="right"/>
              <w:ind w:right="177"/>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0"/>
                <w:szCs w:val="10"/>
                <w:color w:val="auto"/>
              </w:rPr>
            </w:pPr>
          </w:p>
        </w:tc>
        <w:tc>
          <w:tcPr>
            <w:tcW w:w="660" w:type="dxa"/>
            <w:vAlign w:val="bottom"/>
          </w:tcPr>
          <w:p>
            <w:pPr>
              <w:jc w:val="right"/>
              <w:ind w:right="17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gridSpan w:val="2"/>
          </w:tcPr>
          <w:p>
            <w:pPr>
              <w:jc w:val="right"/>
              <w:ind w:right="6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ind w:right="77"/>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gridSpan w:val="2"/>
          </w:tcPr>
          <w:p>
            <w:pPr>
              <w:jc w:val="right"/>
              <w:ind w:right="5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17"/>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gridSpan w:val="2"/>
          </w:tcPr>
          <w:p>
            <w:pPr>
              <w:jc w:val="right"/>
              <w:ind w:right="3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9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88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6,900,000</w:t>
            </w:r>
          </w:p>
        </w:tc>
        <w:tc>
          <w:tcPr>
            <w:tcW w:w="140" w:type="dxa"/>
            <w:vAlign w:val="bottom"/>
            <w:vMerge w:val="continue"/>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690</w:t>
            </w:r>
          </w:p>
        </w:tc>
        <w:tc>
          <w:tcPr>
            <w:tcW w:w="2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CCEEFF"/>
            </w:tcBorders>
            <w:shd w:val="clear" w:color="auto" w:fill="CCEEFF"/>
          </w:tcPr>
          <w:p>
            <w:pPr>
              <w:jc w:val="right"/>
              <w:ind w:right="17"/>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right w:val="single" w:sz="8" w:color="CCEEFF"/>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(13,197,985)</w:t>
            </w:r>
          </w:p>
        </w:tc>
        <w:tc>
          <w:tcPr>
            <w:tcW w:w="960" w:type="dxa"/>
            <w:vAlign w:val="bottom"/>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(13,197,295)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0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Remeasurement of Class A ordinary shares to</w:t>
            </w:r>
          </w:p>
        </w:tc>
        <w:tc>
          <w:tcPr>
            <w:tcW w:w="6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 amount</w:t>
            </w:r>
          </w:p>
        </w:tc>
        <w:tc>
          <w:tcPr>
            <w:tcW w:w="9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tcBorders>
              <w:left w:val="single" w:sz="8" w:color="CCEEFF"/>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1,680,417</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March 31, 2026</w:t>
            </w:r>
          </w:p>
        </w:tc>
        <w:tc>
          <w:tcPr>
            <w:tcW w:w="9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6,900,000</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(14,009,286)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(14,008,596)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80" w:type="dxa"/>
            <w:vAlign w:val="bottom"/>
          </w:tcPr>
          <w:p>
            <w:pPr>
              <w:spacing w:after="0"/>
              <w:rPr>
                <w:sz w:val="24"/>
                <w:szCs w:val="24"/>
                <w:color w:val="auto"/>
              </w:rPr>
            </w:pPr>
          </w:p>
        </w:tc>
        <w:tc>
          <w:tcPr>
            <w:tcW w:w="3660" w:type="dxa"/>
            <w:vAlign w:val="bottom"/>
            <w:gridSpan w:val="9"/>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left="4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940" w:type="dxa"/>
            <w:vAlign w:val="bottom"/>
          </w:tcPr>
          <w:p>
            <w:pPr>
              <w:ind w:left="8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680" w:type="dxa"/>
            <w:vAlign w:val="bottom"/>
          </w:tcPr>
          <w:p>
            <w:pPr>
              <w:jc w:val="right"/>
              <w:ind w:right="157"/>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2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154"/>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gridSpan w:val="2"/>
          </w:tcPr>
          <w:p>
            <w:pPr>
              <w:jc w:val="right"/>
              <w:ind w:right="4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177"/>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gridSpan w:val="2"/>
          </w:tcPr>
          <w:p>
            <w:pPr>
              <w:jc w:val="right"/>
              <w:ind w:right="3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197"/>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gridSpan w:val="2"/>
          </w:tcPr>
          <w:p>
            <w:pPr>
              <w:jc w:val="right"/>
              <w:ind w:right="3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7"/>
        </w:trPr>
        <w:tc>
          <w:tcPr>
            <w:tcW w:w="18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3"/>
                <w:szCs w:val="13"/>
                <w:b w:val="1"/>
                <w:bCs w:val="1"/>
                <w:color w:val="auto"/>
              </w:rPr>
              <w:t>Balance – January 1, 2025</w:t>
            </w:r>
            <w:r>
              <w:rPr>
                <w:rFonts w:ascii="Times New Roman" w:cs="Times New Roman" w:eastAsia="Times New Roman" w:hAnsi="Times New Roman"/>
                <w:sz w:val="18"/>
                <w:szCs w:val="18"/>
                <w:b w:val="1"/>
                <w:bCs w:val="1"/>
                <w:color w:val="auto"/>
                <w:vertAlign w:val="superscript"/>
              </w:rPr>
              <w:t>(1)(2)</w:t>
            </w:r>
          </w:p>
        </w:tc>
        <w:tc>
          <w:tcPr>
            <w:tcW w:w="940" w:type="dxa"/>
            <w:vAlign w:val="bottom"/>
            <w:tcBorders>
              <w:top w:val="single" w:sz="8" w:color="CCEEFF"/>
            </w:tcBorders>
            <w:shd w:val="clear" w:color="auto" w:fill="CCEEFF"/>
          </w:tcPr>
          <w:p>
            <w:pPr>
              <w:ind w:left="8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left w:val="single" w:sz="8" w:color="CCEEFF"/>
            </w:tcBorders>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6,900,000</w:t>
            </w:r>
          </w:p>
        </w:tc>
        <w:tc>
          <w:tcPr>
            <w:tcW w:w="140" w:type="dxa"/>
            <w:vAlign w:val="bottom"/>
            <w:tcBorders>
              <w:top w:val="single" w:sz="8" w:color="CCEEFF"/>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left w:val="single" w:sz="8" w:color="CCEEFF"/>
            </w:tcBorders>
            <w:shd w:val="clear" w:color="auto" w:fill="CCEEFF"/>
          </w:tcPr>
          <w:p>
            <w:pPr>
              <w:jc w:val="right"/>
              <w:ind w:right="39"/>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690</w:t>
            </w:r>
          </w:p>
        </w:tc>
        <w:tc>
          <w:tcPr>
            <w:tcW w:w="160" w:type="dxa"/>
            <w:vAlign w:val="bottom"/>
            <w:tcBorders>
              <w:top w:val="single" w:sz="8" w:color="CCEEFF"/>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24,310</w:t>
            </w:r>
          </w:p>
        </w:tc>
        <w:tc>
          <w:tcPr>
            <w:tcW w:w="140" w:type="dxa"/>
            <w:vAlign w:val="bottom"/>
            <w:tcBorders>
              <w:top w:val="single" w:sz="8" w:color="CCEEFF"/>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(42,620)</w:t>
            </w:r>
          </w:p>
        </w:tc>
        <w:tc>
          <w:tcPr>
            <w:tcW w:w="140" w:type="dxa"/>
            <w:vAlign w:val="bottom"/>
            <w:tcBorders>
              <w:top w:val="single" w:sz="8" w:color="CCEEFF"/>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(17,620)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CEEFF"/>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tcBorders>
              <w:left w:val="single" w:sz="8" w:color="CCEEFF"/>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Balance – March 31, 2025</w:t>
            </w:r>
            <w:r>
              <w:rPr>
                <w:rFonts w:ascii="Times New Roman" w:cs="Times New Roman" w:eastAsia="Times New Roman" w:hAnsi="Times New Roman"/>
                <w:sz w:val="19"/>
                <w:szCs w:val="19"/>
                <w:b w:val="1"/>
                <w:bCs w:val="1"/>
                <w:color w:val="auto"/>
                <w:vertAlign w:val="superscript"/>
              </w:rPr>
              <w:t>(1)(2)</w:t>
            </w:r>
          </w:p>
        </w:tc>
        <w:tc>
          <w:tcPr>
            <w:tcW w:w="9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6,900,000</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88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20" w:right="779" w:hanging="256"/>
        <w:spacing w:after="0" w:line="253" w:lineRule="auto"/>
        <w:tabs>
          <w:tab w:leader="none" w:pos="10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 2025, pursuant to a share recapitalization, the Company issued an additional 1,150,000 founder shares to the Sponsor (with DirectorCo waiving its entitlement to be issued additional founder shares in connection therewith and directing its allotment to be issued to the Sponsor), resulting in the Company’s initial shareholders holding an aggregate of 6,900,000 founder shares. All share and per share data have been retrospectively presented.</w:t>
      </w:r>
    </w:p>
    <w:p>
      <w:pPr>
        <w:spacing w:after="0" w:line="1" w:lineRule="exact"/>
        <w:rPr>
          <w:rFonts w:ascii="Times New Roman" w:cs="Times New Roman" w:eastAsia="Times New Roman" w:hAnsi="Times New Roman"/>
          <w:sz w:val="14"/>
          <w:szCs w:val="14"/>
          <w:color w:val="auto"/>
        </w:rPr>
      </w:pPr>
    </w:p>
    <w:p>
      <w:pPr>
        <w:ind w:left="1020" w:right="779" w:hanging="256"/>
        <w:spacing w:after="0" w:line="250" w:lineRule="auto"/>
        <w:tabs>
          <w:tab w:leader="none" w:pos="10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up to 900,000 founder shares that were subject to forfeiture by the Sponsor depending on the extent to which the underwriters’ over-allotment option was exercised. On May 2, 2025, the underwriters exercised their over-allotment option in full, which was settled as part of the closing of the Initial Public Offering. As such, 900,000 founder shares are no longer subject to forfeiture by the Sponsor.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F-65</w:t>
      </w:r>
    </w:p>
    <w:p>
      <w:pPr>
        <w:sectPr>
          <w:pgSz w:w="11900" w:h="16838" w:orient="portrait"/>
          <w:cols w:equalWidth="0" w:num="1">
            <w:col w:w="9019"/>
          </w:cols>
          <w:pgMar w:left="1440" w:top="572" w:right="1440" w:bottom="1440" w:gutter="0" w:footer="0" w:header="0"/>
        </w:sectPr>
      </w:pPr>
    </w:p>
    <w:bookmarkStart w:id="203" w:name="page204"/>
    <w:bookmarkEnd w:id="20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520" w:type="dxa"/>
            <w:vAlign w:val="bottom"/>
            <w:vMerge w:val="restart"/>
          </w:tcPr>
          <w:p>
            <w:pPr>
              <w:ind w:left="54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15"/>
        </w:trPr>
        <w:tc>
          <w:tcPr>
            <w:tcW w:w="5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top w:val="single" w:sz="8" w:color="auto"/>
            </w:tcBorders>
            <w:gridSpan w:val="2"/>
          </w:tcPr>
          <w:p>
            <w:pPr>
              <w:jc w:val="right"/>
              <w:ind w:right="18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tcBorders>
          </w:tcPr>
          <w:p>
            <w:pPr>
              <w:jc w:val="right"/>
              <w:ind w:right="271"/>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1,680,417</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Payment of operation costs through promissory note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earned on marketable securities held in Trust Account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Long term prepaid insurance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552,436</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(227,953)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(227,953)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 Beginning of period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624,163</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2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 End of period</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396,210</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services contributed by Sponsor through promissory note – related party</w:t>
            </w:r>
          </w:p>
        </w:tc>
        <w:tc>
          <w:tcPr>
            <w:tcW w:w="1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Remeasurement of Class A ordinary shares to redemption 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 paid by Sponsor in exchange for issuance of Class B ordinary shares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Deferred costs included in accrued offering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offering costs paid through promissory note – related party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 applied to prepaid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underwriting fee payable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9019"/>
          </w:cols>
          <w:pgMar w:left="1440" w:top="572" w:right="1440" w:bottom="1440" w:gutter="0" w:footer="0" w:header="0"/>
        </w:sectPr>
      </w:pPr>
    </w:p>
    <w:bookmarkStart w:id="204" w:name="page205"/>
    <w:bookmarkEnd w:id="20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 DESCRIPTION OF ORGANIZATION AND BUSINESS OPERATIONS</w:t>
      </w:r>
    </w:p>
    <w:p>
      <w:pPr>
        <w:spacing w:after="0" w:line="173"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spacing w:after="0" w:line="145"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As of March 31, 2026, the Company has not commenced any operations. All activity for the period from October 29, 2024 (inception) through March 31, 2026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(as defined below). The Company has selected December 31 as its fiscal year end.</w:t>
      </w:r>
    </w:p>
    <w:p>
      <w:pPr>
        <w:spacing w:after="0" w:line="14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one-half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spacing w:after="0" w:line="148" w:lineRule="exact"/>
        <w:rPr>
          <w:sz w:val="20"/>
          <w:szCs w:val="20"/>
          <w:color w:val="auto"/>
        </w:rPr>
      </w:pPr>
    </w:p>
    <w:p>
      <w:pPr>
        <w:ind w:left="760" w:right="1359" w:firstLine="249"/>
        <w:spacing w:after="0" w:line="278" w:lineRule="auto"/>
        <w:rPr>
          <w:sz w:val="20"/>
          <w:szCs w:val="20"/>
          <w:color w:val="auto"/>
        </w:rPr>
      </w:pPr>
      <w:r>
        <w:rPr>
          <w:rFonts w:ascii="Times New Roman" w:cs="Times New Roman" w:eastAsia="Times New Roman" w:hAnsi="Times New Roman"/>
          <w:sz w:val="14"/>
          <w:szCs w:val="14"/>
          <w:color w:val="auto"/>
        </w:rPr>
        <w:t>Transaction costs amounted to $18,821,468, consisting of $4,800,000 of cash underwriting fee, $13,140,000 of deferred underwriting fee and $881,468 of other offering costs.</w:t>
      </w:r>
    </w:p>
    <w:p>
      <w:pPr>
        <w:spacing w:after="0" w:line="126"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The Company’s Business Combination must be with one or more target businesses that together have a fair market value equal to at least 80% of the net balance in the Trust Account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9019"/>
          </w:cols>
          <w:pgMar w:left="1440" w:top="572" w:right="1440" w:bottom="1440" w:gutter="0" w:footer="0" w:header="0"/>
        </w:sectPr>
      </w:pPr>
    </w:p>
    <w:bookmarkStart w:id="205" w:name="page206"/>
    <w:bookmarkEnd w:id="20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760" w:right="819" w:firstLine="249"/>
        <w:spacing w:after="0" w:line="249" w:lineRule="auto"/>
        <w:rPr>
          <w:sz w:val="20"/>
          <w:szCs w:val="20"/>
          <w:color w:val="auto"/>
        </w:rPr>
      </w:pPr>
      <w:r>
        <w:rPr>
          <w:rFonts w:ascii="Times New Roman" w:cs="Times New Roman" w:eastAsia="Times New Roman" w:hAnsi="Times New Roman"/>
          <w:sz w:val="14"/>
          <w:szCs w:val="14"/>
          <w:color w:val="auto"/>
        </w:rPr>
        <w:t>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spacing w:after="0" w:line="147"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two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spacing w:after="0" w:line="147"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spacing w:after="0" w:line="138"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F-68</w:t>
      </w:r>
    </w:p>
    <w:p>
      <w:pPr>
        <w:sectPr>
          <w:pgSz w:w="11900" w:h="16838" w:orient="portrait"/>
          <w:cols w:equalWidth="0" w:num="1">
            <w:col w:w="9019"/>
          </w:cols>
          <w:pgMar w:left="1440" w:top="571" w:right="1440" w:bottom="1440" w:gutter="0" w:footer="0" w:header="0"/>
        </w:sectPr>
      </w:pPr>
    </w:p>
    <w:bookmarkStart w:id="206" w:name="page207"/>
    <w:bookmarkEnd w:id="20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760" w:right="799" w:firstLine="249"/>
        <w:spacing w:after="0" w:line="272" w:lineRule="auto"/>
        <w:rPr>
          <w:sz w:val="20"/>
          <w:szCs w:val="20"/>
          <w:color w:val="auto"/>
        </w:rPr>
      </w:pPr>
      <w:r>
        <w:rPr>
          <w:rFonts w:ascii="Times New Roman" w:cs="Times New Roman" w:eastAsia="Times New Roman" w:hAnsi="Times New Roman"/>
          <w:sz w:val="13"/>
          <w:szCs w:val="13"/>
          <w:color w:val="auto"/>
        </w:rPr>
        <w:t>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w:t>
      </w:r>
    </w:p>
    <w:p>
      <w:pPr>
        <w:spacing w:after="0" w:line="2" w:lineRule="exact"/>
        <w:rPr>
          <w:sz w:val="20"/>
          <w:szCs w:val="20"/>
          <w:color w:val="auto"/>
        </w:rPr>
      </w:pPr>
    </w:p>
    <w:p>
      <w:pPr>
        <w:ind w:left="760" w:right="779" w:firstLine="4"/>
        <w:spacing w:after="0" w:line="248" w:lineRule="auto"/>
        <w:tabs>
          <w:tab w:leader="none" w:pos="100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Exchange Act of 1934, as amended (the “Exchange Act”), which would not be voted in favor of approving the Business Combination) in favor of the initial Business Combination.</w:t>
      </w:r>
    </w:p>
    <w:p>
      <w:pPr>
        <w:spacing w:after="0" w:line="150" w:lineRule="exact"/>
        <w:rPr>
          <w:sz w:val="20"/>
          <w:szCs w:val="20"/>
          <w:color w:val="auto"/>
        </w:rPr>
      </w:pPr>
    </w:p>
    <w:p>
      <w:pPr>
        <w:ind w:left="760" w:right="839" w:firstLine="249"/>
        <w:spacing w:after="0" w:line="271" w:lineRule="auto"/>
        <w:rPr>
          <w:sz w:val="20"/>
          <w:szCs w:val="20"/>
          <w:color w:val="auto"/>
        </w:rPr>
      </w:pPr>
      <w:r>
        <w:rPr>
          <w:rFonts w:ascii="Times New Roman" w:cs="Times New Roman" w:eastAsia="Times New Roman" w:hAnsi="Times New Roman"/>
          <w:sz w:val="13"/>
          <w:szCs w:val="13"/>
          <w:color w:val="auto"/>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73" w:lineRule="exact"/>
        <w:rPr>
          <w:sz w:val="20"/>
          <w:szCs w:val="20"/>
          <w:color w:val="auto"/>
        </w:rPr>
      </w:pPr>
    </w:p>
    <w:p>
      <w:pPr>
        <w:ind w:left="760" w:right="859" w:firstLine="249"/>
        <w:spacing w:after="0" w:line="251"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47" w:lineRule="exact"/>
        <w:rPr>
          <w:sz w:val="20"/>
          <w:szCs w:val="20"/>
          <w:color w:val="auto"/>
        </w:rPr>
      </w:pPr>
    </w:p>
    <w:p>
      <w:pPr>
        <w:ind w:left="760" w:right="899" w:firstLine="249"/>
        <w:spacing w:after="0" w:line="257" w:lineRule="auto"/>
        <w:rPr>
          <w:sz w:val="20"/>
          <w:szCs w:val="20"/>
          <w:color w:val="auto"/>
        </w:rPr>
      </w:pPr>
      <w:r>
        <w:rPr>
          <w:rFonts w:ascii="Times New Roman" w:cs="Times New Roman" w:eastAsia="Times New Roman" w:hAnsi="Times New Roman"/>
          <w:sz w:val="14"/>
          <w:szCs w:val="14"/>
          <w:color w:val="auto"/>
        </w:rPr>
        <w:t>The accompanying unaudited condensed financial statements should be read in conjunction with the Company’s Annual Report on Form 10-K for the year ended December 31, 2025, as filed with the SEC on March 23, 2026. The interim results for the three months ended March 31, 2026 and 2025 are not necessarily indicative of the results to be expected for the year ending December 31, 2026 or for any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F-69</w:t>
      </w:r>
    </w:p>
    <w:p>
      <w:pPr>
        <w:sectPr>
          <w:pgSz w:w="11900" w:h="16838" w:orient="portrait"/>
          <w:cols w:equalWidth="0" w:num="1">
            <w:col w:w="9019"/>
          </w:cols>
          <w:pgMar w:left="1440" w:top="572" w:right="1440" w:bottom="1440" w:gutter="0" w:footer="0" w:header="0"/>
        </w:sectPr>
      </w:pPr>
    </w:p>
    <w:bookmarkStart w:id="207" w:name="page208"/>
    <w:bookmarkEnd w:id="20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 and Going Concern</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Company’s liquidity needs up to March 31, 2026 had been satisfied through the loan from the Sponsor under an unsecured promissory note (the “Sponsor Promissory Note”) of up to $250,000 (see Note 5). As of March 31, 2026, the Company had $396,210 cash and a working capital deficit of $877,955.</w:t>
      </w:r>
    </w:p>
    <w:p>
      <w:pPr>
        <w:spacing w:after="0" w:line="138" w:lineRule="exact"/>
        <w:rPr>
          <w:sz w:val="20"/>
          <w:szCs w:val="20"/>
          <w:color w:val="auto"/>
        </w:rPr>
      </w:pPr>
    </w:p>
    <w:p>
      <w:pPr>
        <w:ind w:left="760" w:right="859" w:firstLine="249"/>
        <w:spacing w:after="0" w:line="277" w:lineRule="auto"/>
        <w:rPr>
          <w:sz w:val="20"/>
          <w:szCs w:val="20"/>
          <w:color w:val="auto"/>
        </w:rPr>
      </w:pPr>
      <w:r>
        <w:rPr>
          <w:rFonts w:ascii="Times New Roman" w:cs="Times New Roman" w:eastAsia="Times New Roman" w:hAnsi="Times New Roman"/>
          <w:sz w:val="13"/>
          <w:szCs w:val="13"/>
          <w:color w:val="auto"/>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the Company had no borrowings under the Working Capital Loans.</w:t>
      </w:r>
    </w:p>
    <w:p>
      <w:pPr>
        <w:spacing w:after="0" w:line="128" w:lineRule="exact"/>
        <w:rPr>
          <w:sz w:val="20"/>
          <w:szCs w:val="20"/>
          <w:color w:val="auto"/>
        </w:rPr>
      </w:pPr>
    </w:p>
    <w:p>
      <w:pPr>
        <w:ind w:left="760" w:right="97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Company’s assessment of going concern considerations in accordance with Accounting Standards Codification (“ASC”) 205-40, “Presentation of Financial Statements - Going Concern,” management has determined that the Company’s liquidity condition raises substantial doubt about the Company’s ability to continue as a going concern. No adjustments have been made to the carrying amounts of assets or liabilities should the Company be required to liquidate after the Completion Window.</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73" w:lineRule="exact"/>
        <w:rPr>
          <w:sz w:val="20"/>
          <w:szCs w:val="20"/>
          <w:color w:val="auto"/>
        </w:rPr>
      </w:pPr>
    </w:p>
    <w:p>
      <w:pPr>
        <w:ind w:left="760" w:right="919" w:firstLine="249"/>
        <w:spacing w:after="0" w:line="255" w:lineRule="auto"/>
        <w:rPr>
          <w:sz w:val="20"/>
          <w:szCs w:val="20"/>
          <w:color w:val="auto"/>
        </w:rPr>
      </w:pPr>
      <w:r>
        <w:rPr>
          <w:rFonts w:ascii="Times New Roman" w:cs="Times New Roman" w:eastAsia="Times New Roman" w:hAnsi="Times New Roman"/>
          <w:sz w:val="14"/>
          <w:szCs w:val="14"/>
          <w:color w:val="auto"/>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unaudited condensed financial statements (see Note 9).</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173" w:lineRule="exact"/>
        <w:rPr>
          <w:sz w:val="20"/>
          <w:szCs w:val="20"/>
          <w:color w:val="auto"/>
        </w:rPr>
      </w:pPr>
    </w:p>
    <w:p>
      <w:pPr>
        <w:ind w:left="760" w:right="919" w:firstLine="249"/>
        <w:spacing w:after="0" w:line="252" w:lineRule="auto"/>
        <w:rPr>
          <w:sz w:val="20"/>
          <w:szCs w:val="20"/>
          <w:color w:val="auto"/>
        </w:rPr>
      </w:pPr>
      <w:r>
        <w:rPr>
          <w:rFonts w:ascii="Times New Roman" w:cs="Times New Roman" w:eastAsia="Times New Roman" w:hAnsi="Times New Roman"/>
          <w:sz w:val="14"/>
          <w:szCs w:val="14"/>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46" w:lineRule="exact"/>
        <w:rPr>
          <w:sz w:val="20"/>
          <w:szCs w:val="20"/>
          <w:color w:val="auto"/>
        </w:rPr>
      </w:pPr>
    </w:p>
    <w:p>
      <w:pPr>
        <w:ind w:left="760" w:right="899" w:firstLine="249"/>
        <w:spacing w:after="0" w:line="250"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9019"/>
          </w:cols>
          <w:pgMar w:left="1440" w:top="571" w:right="1440" w:bottom="1440" w:gutter="0" w:footer="0" w:header="0"/>
        </w:sectPr>
      </w:pPr>
    </w:p>
    <w:bookmarkStart w:id="208" w:name="page209"/>
    <w:bookmarkEnd w:id="20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73"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spacing w:after="0" w:line="142" w:lineRule="exact"/>
        <w:rPr>
          <w:sz w:val="20"/>
          <w:szCs w:val="20"/>
          <w:color w:val="auto"/>
        </w:rPr>
      </w:pPr>
    </w:p>
    <w:p>
      <w:pPr>
        <w:jc w:val="both"/>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73"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The Company considers all short-term investments with an original maturity of three months or less when purchased to be cash equivalents. The Company had $396,210 and $624,163 in cash and no cash equivalents as of March 31, 2026 and December 31, 2025, respectively.</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Investments Held in Trust Account</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As of March 31, 2026 and December 31, 2025, the assets held in the Trust Account, amounting to $285,868,994 and</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$283,377,276, respectively, were held in mutual funds primarily invested in U.S. Treasury Bills with a maturity of 185 days or less.</w:t>
      </w:r>
    </w:p>
    <w:p>
      <w:pPr>
        <w:spacing w:after="0" w:line="156" w:lineRule="exact"/>
        <w:rPr>
          <w:sz w:val="20"/>
          <w:szCs w:val="20"/>
          <w:color w:val="auto"/>
        </w:rPr>
      </w:pPr>
    </w:p>
    <w:p>
      <w:pPr>
        <w:jc w:val="both"/>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Investments held in the Trust Account are presented at fair value at each condensed balance sheet date, with unrealized gains and losses resulting from changes in fair value included in earnings as a component of interest and dividend income earned on investments held in the Trust Account in the accompanying statements of operations.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Offering Costs</w:t>
      </w:r>
    </w:p>
    <w:p>
      <w:pPr>
        <w:spacing w:after="0" w:line="173"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F-71</w:t>
      </w:r>
    </w:p>
    <w:p>
      <w:pPr>
        <w:sectPr>
          <w:pgSz w:w="11900" w:h="16838" w:orient="portrait"/>
          <w:cols w:equalWidth="0" w:num="1">
            <w:col w:w="9019"/>
          </w:cols>
          <w:pgMar w:left="1440" w:top="572" w:right="1440" w:bottom="1440" w:gutter="0" w:footer="0" w:header="0"/>
        </w:sectPr>
      </w:pPr>
    </w:p>
    <w:bookmarkStart w:id="209" w:name="page210"/>
    <w:bookmarkEnd w:id="20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42" w:lineRule="exact"/>
        <w:rPr>
          <w:sz w:val="20"/>
          <w:szCs w:val="20"/>
          <w:color w:val="auto"/>
        </w:rPr>
      </w:pPr>
    </w:p>
    <w:p>
      <w:pPr>
        <w:jc w:val="both"/>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fair value of the Company’s assets and liabilities, which qualify as financial instruments under FASB ASC 820, “Fair Value Measurements and Disclosures,” approximates the carrying amounts represented in the condensed balance sheets, primarily due to its short-term nature.</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42"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1"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6" w:lineRule="exact"/>
        <w:rPr>
          <w:sz w:val="20"/>
          <w:szCs w:val="20"/>
          <w:color w:val="auto"/>
        </w:rPr>
      </w:pPr>
    </w:p>
    <w:p>
      <w:pPr>
        <w:ind w:left="760" w:right="819" w:firstLine="249"/>
        <w:spacing w:after="0" w:line="262" w:lineRule="auto"/>
        <w:rPr>
          <w:sz w:val="20"/>
          <w:szCs w:val="20"/>
          <w:color w:val="auto"/>
        </w:rPr>
      </w:pPr>
      <w:r>
        <w:rPr>
          <w:rFonts w:ascii="Times New Roman" w:cs="Times New Roman" w:eastAsia="Times New Roman" w:hAnsi="Times New Roman"/>
          <w:sz w:val="14"/>
          <w:szCs w:val="14"/>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Class A Ordinary Shares Subject to Possible Redemption</w:t>
      </w:r>
    </w:p>
    <w:p>
      <w:pPr>
        <w:spacing w:after="0" w:line="142" w:lineRule="exact"/>
        <w:rPr>
          <w:sz w:val="20"/>
          <w:szCs w:val="20"/>
          <w:color w:val="auto"/>
        </w:rPr>
      </w:pPr>
    </w:p>
    <w:p>
      <w:pPr>
        <w:ind w:left="760" w:right="779" w:firstLine="249"/>
        <w:spacing w:after="0" w:line="271" w:lineRule="auto"/>
        <w:rPr>
          <w:sz w:val="20"/>
          <w:szCs w:val="20"/>
          <w:color w:val="auto"/>
        </w:rPr>
      </w:pPr>
      <w:r>
        <w:rPr>
          <w:rFonts w:ascii="Times New Roman" w:cs="Times New Roman" w:eastAsia="Times New Roman" w:hAnsi="Times New Roman"/>
          <w:sz w:val="13"/>
          <w:szCs w:val="13"/>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the Company’s condensed balance sheets. As of March 31, 2026 and December 31, 2025, the Class A ordinary shares subject to possible redemption reflected in the condensed balance sheets are reconciled in the following table:</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3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276,000,000</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allocated to public warrants</w:t>
            </w: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(3,132,600)</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issuance cost</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(18,586,890)</w:t>
            </w: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w:t>
            </w: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Remeasurement of carrying value to redemption value</w:t>
            </w: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29,096,766</w:t>
            </w:r>
          </w:p>
        </w:tc>
      </w:tr>
      <w:tr>
        <w:trPr>
          <w:trHeight w:val="157"/>
        </w:trPr>
        <w:tc>
          <w:tcPr>
            <w:tcW w:w="53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Class A ordinary shares subject to possible redemption, December 31, 2025</w:t>
            </w:r>
          </w:p>
        </w:tc>
        <w:tc>
          <w:tcPr>
            <w:tcW w:w="12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283,377,276</w:t>
            </w:r>
          </w:p>
        </w:tc>
      </w:tr>
      <w:tr>
        <w:trPr>
          <w:trHeight w:val="16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Remeasurement of carrying value to redemption value</w:t>
            </w: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2,491,718</w:t>
            </w:r>
          </w:p>
        </w:tc>
      </w:tr>
      <w:tr>
        <w:trPr>
          <w:trHeight w:val="157"/>
        </w:trPr>
        <w:tc>
          <w:tcPr>
            <w:tcW w:w="53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Class A ordinary shares subject to possible redemption, March 31, 2026</w:t>
            </w:r>
          </w:p>
        </w:tc>
        <w:tc>
          <w:tcPr>
            <w:tcW w:w="1240" w:type="dxa"/>
            <w:vAlign w:val="bottom"/>
            <w:gridSpan w:val="2"/>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285,868,994</w:t>
            </w:r>
          </w:p>
        </w:tc>
      </w:tr>
      <w:tr>
        <w:trPr>
          <w:trHeight w:val="20"/>
        </w:trPr>
        <w:tc>
          <w:tcPr>
            <w:tcW w:w="5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9019"/>
          </w:cols>
          <w:pgMar w:left="1440" w:top="572" w:right="1440" w:bottom="1440" w:gutter="0" w:footer="0" w:header="0"/>
        </w:sectPr>
      </w:pPr>
    </w:p>
    <w:bookmarkStart w:id="210" w:name="page211"/>
    <w:bookmarkEnd w:id="21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Warrant Instruments</w:t>
      </w:r>
    </w:p>
    <w:p>
      <w:pPr>
        <w:spacing w:after="0" w:line="173" w:lineRule="exact"/>
        <w:rPr>
          <w:sz w:val="20"/>
          <w:szCs w:val="20"/>
          <w:color w:val="auto"/>
        </w:rPr>
      </w:pPr>
    </w:p>
    <w:p>
      <w:pPr>
        <w:ind w:left="760" w:right="919" w:firstLine="249"/>
        <w:spacing w:after="0" w:line="292" w:lineRule="auto"/>
        <w:rPr>
          <w:sz w:val="20"/>
          <w:szCs w:val="20"/>
          <w:color w:val="auto"/>
        </w:rPr>
      </w:pPr>
      <w:r>
        <w:rPr>
          <w:rFonts w:ascii="Times New Roman" w:cs="Times New Roman" w:eastAsia="Times New Roman" w:hAnsi="Times New Roman"/>
          <w:sz w:val="13"/>
          <w:szCs w:val="13"/>
          <w:color w:val="auto"/>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Net Income (Loss) per Ordinary Share</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(loss) per ordinary share is computed by dividing net income (loss)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spacing w:after="0" w:line="142"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the Company did not have any dilutive securities or other contracts that could, potentially, be exercised or converted into ordinary shares that then share in the earnings of the Company.</w:t>
      </w:r>
    </w:p>
    <w:p>
      <w:pPr>
        <w:spacing w:after="0" w:line="142" w:lineRule="exact"/>
        <w:rPr>
          <w:sz w:val="20"/>
          <w:szCs w:val="20"/>
          <w:color w:val="auto"/>
        </w:rPr>
      </w:pPr>
    </w:p>
    <w:p>
      <w:pPr>
        <w:ind w:left="760" w:right="89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reflects the calculation of basic and diluted net income (loss) per ordinary share (in dollars, except per share amounts):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5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spacing w:after="0"/>
              <w:rPr>
                <w:sz w:val="11"/>
                <w:szCs w:val="11"/>
                <w:color w:val="auto"/>
              </w:rPr>
            </w:pPr>
          </w:p>
        </w:tc>
        <w:tc>
          <w:tcPr>
            <w:tcW w:w="2000" w:type="dxa"/>
            <w:vAlign w:val="bottom"/>
            <w:gridSpan w:val="11"/>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w w:val="99"/>
              </w:rPr>
              <w:t>For the Three Months Ended March 31,</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6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66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17"/>
              <w:spacing w:after="0" w:line="106"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Non-</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11"/>
                <w:szCs w:val="1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Pr>
          <w:p>
            <w:pPr>
              <w:spacing w:after="0"/>
              <w:rPr>
                <w:sz w:val="11"/>
                <w:szCs w:val="11"/>
                <w:color w:val="auto"/>
              </w:rPr>
            </w:pP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57"/>
        </w:trPr>
        <w:tc>
          <w:tcPr>
            <w:tcW w:w="3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Basic and diluted net income (loss) per ordinary share</w:t>
            </w:r>
          </w:p>
        </w:tc>
        <w:tc>
          <w:tcPr>
            <w:tcW w:w="5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7"/>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Numerator: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3"/>
          </w:tcPr>
          <w:p>
            <w:pPr>
              <w:jc w:val="right"/>
              <w:ind w:right="128"/>
              <w:spacing w:after="0"/>
              <w:rPr>
                <w:sz w:val="20"/>
                <w:szCs w:val="20"/>
                <w:color w:val="auto"/>
              </w:rPr>
            </w:pPr>
            <w:r>
              <w:rPr>
                <w:rFonts w:ascii="Times New Roman" w:cs="Times New Roman" w:eastAsia="Times New Roman" w:hAnsi="Times New Roman"/>
                <w:sz w:val="1"/>
                <w:szCs w:val="1"/>
                <w:color w:val="auto"/>
                <w:w w:val="4294942296"/>
              </w:rPr>
              <w:t>​</w:t>
            </w:r>
          </w:p>
        </w:tc>
        <w:tc>
          <w:tcPr>
            <w:tcW w:w="66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Allocation of net income (loss)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1,344,334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71"/>
              </w:rPr>
              <w:t>—</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27,600,000</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71"/>
              </w:rPr>
              <w:t>—</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Basic and diluted net income (loss) per ordinary share</w:t>
            </w:r>
          </w:p>
        </w:tc>
        <w:tc>
          <w:tcPr>
            <w:tcW w:w="56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ind w:left="500"/>
              <w:spacing w:after="0" w:line="157" w:lineRule="exact"/>
              <w:rPr>
                <w:sz w:val="20"/>
                <w:szCs w:val="20"/>
                <w:color w:val="auto"/>
              </w:rPr>
            </w:pPr>
            <w:r>
              <w:rPr>
                <w:rFonts w:ascii="Times New Roman" w:cs="Times New Roman" w:eastAsia="Times New Roman" w:hAnsi="Times New Roman"/>
                <w:sz w:val="14"/>
                <w:szCs w:val="14"/>
                <w:color w:val="auto"/>
                <w:w w:val="71"/>
              </w:rPr>
              <w:t>—</w:t>
            </w: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3" w:lineRule="exact"/>
        <w:rPr>
          <w:sz w:val="20"/>
          <w:szCs w:val="20"/>
          <w:color w:val="auto"/>
        </w:rPr>
      </w:pPr>
    </w:p>
    <w:p>
      <w:pPr>
        <w:ind w:left="760" w:right="839" w:firstLine="249"/>
        <w:spacing w:after="0" w:line="278" w:lineRule="auto"/>
        <w:rPr>
          <w:sz w:val="20"/>
          <w:szCs w:val="20"/>
          <w:color w:val="auto"/>
        </w:rPr>
      </w:pPr>
      <w:r>
        <w:rPr>
          <w:rFonts w:ascii="Times New Roman" w:cs="Times New Roman" w:eastAsia="Times New Roman" w:hAnsi="Times New Roman"/>
          <w:sz w:val="14"/>
          <w:szCs w:val="14"/>
          <w:color w:val="auto"/>
        </w:rPr>
        <w:t>Management does not believe that any recently issued, but not effective, accounting standards, if currently adopted, would have a material effect on the Company’s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F-73</w:t>
      </w:r>
    </w:p>
    <w:p>
      <w:pPr>
        <w:sectPr>
          <w:pgSz w:w="11900" w:h="16838" w:orient="portrait"/>
          <w:cols w:equalWidth="0" w:num="1">
            <w:col w:w="9019"/>
          </w:cols>
          <w:pgMar w:left="1440" w:top="572" w:right="1440" w:bottom="1440" w:gutter="0" w:footer="0" w:header="0"/>
        </w:sectPr>
      </w:pPr>
    </w:p>
    <w:bookmarkStart w:id="211" w:name="page212"/>
    <w:bookmarkEnd w:id="21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3. INITIAL PUBLIC OFFERING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Pursuant to the Initial Public Offering on May 5, 2025, the Company sold 27,600,000 Units, which includes a full exercise by the</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underwriters of their over-allotment option of 3,600,000 Units at a purchase price of $10.00 per Unit, generating gross proceeds of</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$276,000,000. Each Unit consists of one Class A ordinary share and one-half of one redeemable warrant. Each whole warrant entitles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holder to purchase one Class A ordinary share at a price of $11.50 per share, subject to adjustment. Each warrant will become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exercisable 30 days after the completion of the initial Business Combination and will expire five years after the completion of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initial Business Combination, or earlier upon redemption or liquidation.</w:t>
      </w:r>
    </w:p>
    <w:p>
      <w:pPr>
        <w:spacing w:after="0" w:line="154" w:lineRule="exact"/>
        <w:rPr>
          <w:sz w:val="20"/>
          <w:szCs w:val="20"/>
          <w:color w:val="auto"/>
        </w:rPr>
      </w:pPr>
    </w:p>
    <w:p>
      <w:pPr>
        <w:ind w:left="760" w:right="819" w:firstLine="24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Warrants — </w:t>
      </w:r>
      <w:r>
        <w:rPr>
          <w:rFonts w:ascii="Times New Roman" w:cs="Times New Roman" w:eastAsia="Times New Roman" w:hAnsi="Times New Roman"/>
          <w:sz w:val="14"/>
          <w:szCs w:val="14"/>
          <w:color w:val="auto"/>
        </w:rPr>
        <w:t>As of March 31, 2026 and December 31, 2025, there were 20,600,000 warrants outstanding, including 13,800,000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public warrants and 6,800,000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spacing w:after="0" w:line="141"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Under the terms of the warrant agreement, the Company has agreed that, as soon as practicable, but in no event later than</w:t>
      </w:r>
    </w:p>
    <w:p>
      <w:pPr>
        <w:spacing w:after="0" w:line="20" w:lineRule="exact"/>
        <w:rPr>
          <w:sz w:val="20"/>
          <w:szCs w:val="20"/>
          <w:color w:val="auto"/>
        </w:rPr>
      </w:pPr>
    </w:p>
    <w:p>
      <w:pPr>
        <w:ind w:left="760" w:right="779"/>
        <w:spacing w:after="0" w:line="248" w:lineRule="auto"/>
        <w:rPr>
          <w:sz w:val="20"/>
          <w:szCs w:val="20"/>
          <w:color w:val="auto"/>
        </w:rPr>
      </w:pPr>
      <w:r>
        <w:rPr>
          <w:rFonts w:ascii="Times New Roman" w:cs="Times New Roman" w:eastAsia="Times New Roman" w:hAnsi="Times New Roman"/>
          <w:sz w:val="14"/>
          <w:szCs w:val="14"/>
          <w:color w:val="auto"/>
        </w:rPr>
        <w:t>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spacing w:after="0" w:line="149"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F-74</w:t>
      </w:r>
    </w:p>
    <w:p>
      <w:pPr>
        <w:sectPr>
          <w:pgSz w:w="11900" w:h="16838" w:orient="portrait"/>
          <w:cols w:equalWidth="0" w:num="1">
            <w:col w:w="9019"/>
          </w:cols>
          <w:pgMar w:left="1440" w:top="572" w:right="1440" w:bottom="1440" w:gutter="0" w:footer="0" w:header="0"/>
        </w:sectPr>
      </w:pPr>
    </w:p>
    <w:bookmarkStart w:id="212" w:name="page213"/>
    <w:bookmarkEnd w:id="21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right="939" w:firstLine="249"/>
        <w:spacing w:after="0" w:line="281" w:lineRule="auto"/>
        <w:rPr>
          <w:sz w:val="20"/>
          <w:szCs w:val="20"/>
          <w:color w:val="auto"/>
        </w:rPr>
      </w:pPr>
      <w:r>
        <w:rPr>
          <w:rFonts w:ascii="Times New Roman" w:cs="Times New Roman" w:eastAsia="Times New Roman" w:hAnsi="Times New Roman"/>
          <w:sz w:val="14"/>
          <w:szCs w:val="14"/>
          <w:i w:val="1"/>
          <w:iCs w:val="1"/>
          <w:color w:val="auto"/>
        </w:rPr>
        <w:t>Redemption of Warrants When the Price per Class A Ordinary Share Equals or Exceeds $18.00</w:t>
      </w:r>
      <w:r>
        <w:rPr>
          <w:rFonts w:ascii="Times New Roman" w:cs="Times New Roman" w:eastAsia="Times New Roman" w:hAnsi="Times New Roman"/>
          <w:sz w:val="14"/>
          <w:szCs w:val="14"/>
          <w:color w:val="auto"/>
        </w:rPr>
        <w:t>: The Company may redeem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warrants:</w:t>
      </w:r>
    </w:p>
    <w:p>
      <w:pPr>
        <w:spacing w:after="0" w:line="124" w:lineRule="exact"/>
        <w:rPr>
          <w:sz w:val="20"/>
          <w:szCs w:val="20"/>
          <w:color w:val="auto"/>
        </w:rPr>
      </w:pPr>
    </w:p>
    <w:p>
      <w:pPr>
        <w:ind w:left="1280" w:hanging="246"/>
        <w:spacing w:after="0"/>
        <w:tabs>
          <w:tab w:leader="none" w:pos="12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20"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5" w:lineRule="exact"/>
        <w:rPr>
          <w:rFonts w:ascii="Times New Roman" w:cs="Times New Roman" w:eastAsia="Times New Roman" w:hAnsi="Times New Roman"/>
          <w:sz w:val="14"/>
          <w:szCs w:val="14"/>
          <w:color w:val="auto"/>
        </w:rPr>
      </w:pPr>
    </w:p>
    <w:p>
      <w:pPr>
        <w:ind w:left="1280" w:hanging="246"/>
        <w:spacing w:after="0"/>
        <w:tabs>
          <w:tab w:leader="none" w:pos="12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 (the “30-day redemption period”); and</w:t>
      </w:r>
    </w:p>
    <w:p>
      <w:pPr>
        <w:spacing w:after="0" w:line="5" w:lineRule="exact"/>
        <w:rPr>
          <w:rFonts w:ascii="Times New Roman" w:cs="Times New Roman" w:eastAsia="Times New Roman" w:hAnsi="Times New Roman"/>
          <w:sz w:val="14"/>
          <w:szCs w:val="14"/>
          <w:color w:val="auto"/>
        </w:rPr>
      </w:pPr>
    </w:p>
    <w:p>
      <w:pPr>
        <w:ind w:left="1280" w:right="859" w:hanging="246"/>
        <w:spacing w:after="0" w:line="250" w:lineRule="auto"/>
        <w:tabs>
          <w:tab w:leader="none" w:pos="12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Company’s initial Business Combination and ending three business days before the Company sends the notice of redemption to the warrant holders.</w:t>
      </w:r>
    </w:p>
    <w:p>
      <w:pPr>
        <w:spacing w:after="0" w:line="145" w:lineRule="exact"/>
        <w:rPr>
          <w:sz w:val="20"/>
          <w:szCs w:val="20"/>
          <w:color w:val="auto"/>
        </w:rPr>
      </w:pPr>
    </w:p>
    <w:p>
      <w:pPr>
        <w:ind w:left="760" w:right="799" w:firstLine="249"/>
        <w:spacing w:after="0" w:line="271" w:lineRule="auto"/>
        <w:rPr>
          <w:sz w:val="20"/>
          <w:szCs w:val="20"/>
          <w:color w:val="auto"/>
        </w:rPr>
      </w:pPr>
      <w:r>
        <w:rPr>
          <w:rFonts w:ascii="Times New Roman" w:cs="Times New Roman" w:eastAsia="Times New Roman" w:hAnsi="Times New Roman"/>
          <w:sz w:val="13"/>
          <w:szCs w:val="13"/>
          <w:color w:val="auto"/>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spacing w:after="0" w:line="135"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4. PRIVATE PLACEMENT</w:t>
      </w:r>
    </w:p>
    <w:p>
      <w:pPr>
        <w:spacing w:after="0" w:line="173" w:lineRule="exact"/>
        <w:rPr>
          <w:sz w:val="20"/>
          <w:szCs w:val="20"/>
          <w:color w:val="auto"/>
        </w:rPr>
      </w:pPr>
    </w:p>
    <w:p>
      <w:pPr>
        <w:ind w:left="760" w:right="799" w:firstLine="249"/>
        <w:spacing w:after="0" w:line="253" w:lineRule="auto"/>
        <w:rPr>
          <w:sz w:val="20"/>
          <w:szCs w:val="20"/>
          <w:color w:val="auto"/>
        </w:rPr>
      </w:pPr>
      <w:r>
        <w:rPr>
          <w:rFonts w:ascii="Times New Roman" w:cs="Times New Roman" w:eastAsia="Times New Roman" w:hAnsi="Times New Roman"/>
          <w:sz w:val="14"/>
          <w:szCs w:val="14"/>
          <w:color w:val="auto"/>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F-75</w:t>
      </w:r>
    </w:p>
    <w:p>
      <w:pPr>
        <w:sectPr>
          <w:pgSz w:w="11900" w:h="16838" w:orient="portrait"/>
          <w:cols w:equalWidth="0" w:num="1">
            <w:col w:w="9019"/>
          </w:cols>
          <w:pgMar w:left="1440" w:top="571" w:right="1440" w:bottom="1440" w:gutter="0" w:footer="0" w:header="0"/>
        </w:sectPr>
      </w:pPr>
    </w:p>
    <w:bookmarkStart w:id="213" w:name="page214"/>
    <w:bookmarkEnd w:id="21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the Initial Public Offering in accordance with Financial Industry Regulatory Authority (“FINRA”) Rule 5110(g)(8).</w:t>
      </w:r>
    </w:p>
    <w:p>
      <w:pPr>
        <w:spacing w:after="0" w:line="146"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spacing w:after="0" w:line="3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5. RELATED PARTY TRANSACTIONS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Founder Shares</w:t>
      </w:r>
    </w:p>
    <w:p>
      <w:pPr>
        <w:spacing w:after="0" w:line="173"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spacing w:after="0" w:line="144"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F-76</w:t>
      </w:r>
    </w:p>
    <w:p>
      <w:pPr>
        <w:sectPr>
          <w:pgSz w:w="11900" w:h="16838" w:orient="portrait"/>
          <w:cols w:equalWidth="0" w:num="1">
            <w:col w:w="9019"/>
          </w:cols>
          <w:pgMar w:left="1440" w:top="572" w:right="1440" w:bottom="1440" w:gutter="0" w:footer="0" w:header="0"/>
        </w:sectPr>
      </w:pPr>
    </w:p>
    <w:bookmarkStart w:id="214" w:name="page215"/>
    <w:bookmarkEnd w:id="21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Promissory Note — Related Party</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Administrative Services Agreement</w:t>
      </w:r>
    </w:p>
    <w:p>
      <w:pPr>
        <w:spacing w:after="0" w:line="173" w:lineRule="exact"/>
        <w:rPr>
          <w:sz w:val="20"/>
          <w:szCs w:val="20"/>
          <w:color w:val="auto"/>
        </w:rPr>
      </w:pPr>
    </w:p>
    <w:p>
      <w:pPr>
        <w:ind w:left="760" w:right="859" w:firstLine="249"/>
        <w:spacing w:after="0" w:line="255" w:lineRule="auto"/>
        <w:rPr>
          <w:sz w:val="20"/>
          <w:szCs w:val="20"/>
          <w:color w:val="auto"/>
        </w:rPr>
      </w:pPr>
      <w:r>
        <w:rPr>
          <w:rFonts w:ascii="Times New Roman" w:cs="Times New Roman" w:eastAsia="Times New Roman" w:hAnsi="Times New Roman"/>
          <w:sz w:val="14"/>
          <w:szCs w:val="14"/>
          <w:color w:val="auto"/>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three months ended March 31, 2026 and 2025, the Company incurred $30,000 and $0, respectively, in fees for these services. As of March 31, 2026 and December 31, 2025, the Company had accrued $60,000 and $30,000 on the condensed balance sheets, respectively.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Related Party Loans</w:t>
      </w:r>
    </w:p>
    <w:p>
      <w:pPr>
        <w:spacing w:after="0" w:line="173"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March 31, 2026 and December 31, 2025, no such Working Capital Loans were outstanding.</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6. COMMITMENTS AND CONTINGENCIES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and Uncertainties</w:t>
      </w:r>
    </w:p>
    <w:p>
      <w:pPr>
        <w:spacing w:after="0" w:line="173" w:lineRule="exact"/>
        <w:rPr>
          <w:sz w:val="20"/>
          <w:szCs w:val="20"/>
          <w:color w:val="auto"/>
        </w:rPr>
      </w:pPr>
    </w:p>
    <w:p>
      <w:pPr>
        <w:ind w:left="760" w:right="959" w:firstLine="249"/>
        <w:spacing w:after="0" w:line="253" w:lineRule="auto"/>
        <w:rPr>
          <w:sz w:val="20"/>
          <w:szCs w:val="20"/>
          <w:color w:val="auto"/>
        </w:rPr>
      </w:pPr>
      <w:r>
        <w:rPr>
          <w:rFonts w:ascii="Times New Roman" w:cs="Times New Roman" w:eastAsia="Times New Roman" w:hAnsi="Times New Roman"/>
          <w:sz w:val="14"/>
          <w:szCs w:val="14"/>
          <w:color w:val="auto"/>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spacing w:after="0" w:line="145"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the provisions of the OBBB and determined that adoption of the new law did not have a material impact on its unaudited condensed financial statements or related disclosures.</w:t>
      </w:r>
    </w:p>
    <w:p>
      <w:pPr>
        <w:spacing w:after="0" w:line="142" w:lineRule="exact"/>
        <w:rPr>
          <w:sz w:val="20"/>
          <w:szCs w:val="20"/>
          <w:color w:val="auto"/>
        </w:rPr>
      </w:pPr>
    </w:p>
    <w:p>
      <w:pPr>
        <w:jc w:val="both"/>
        <w:ind w:left="760" w:right="959" w:firstLine="249"/>
        <w:spacing w:after="0" w:line="262" w:lineRule="auto"/>
        <w:rPr>
          <w:sz w:val="20"/>
          <w:szCs w:val="20"/>
          <w:color w:val="auto"/>
        </w:rPr>
      </w:pPr>
      <w:r>
        <w:rPr>
          <w:rFonts w:ascii="Times New Roman" w:cs="Times New Roman" w:eastAsia="Times New Roman" w:hAnsi="Times New Roman"/>
          <w:sz w:val="14"/>
          <w:szCs w:val="14"/>
          <w:color w:val="auto"/>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F-77</w:t>
      </w:r>
    </w:p>
    <w:p>
      <w:pPr>
        <w:sectPr>
          <w:pgSz w:w="11900" w:h="16838" w:orient="portrait"/>
          <w:cols w:equalWidth="0" w:num="1">
            <w:col w:w="9019"/>
          </w:cols>
          <w:pgMar w:left="1440" w:top="571" w:right="1440" w:bottom="1440" w:gutter="0" w:footer="0" w:header="0"/>
        </w:sectPr>
      </w:pPr>
    </w:p>
    <w:bookmarkStart w:id="215" w:name="page216"/>
    <w:bookmarkEnd w:id="21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Underwriting Agreement</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spacing w:after="0" w:line="142" w:lineRule="exact"/>
        <w:rPr>
          <w:sz w:val="20"/>
          <w:szCs w:val="20"/>
          <w:color w:val="auto"/>
        </w:rPr>
      </w:pPr>
    </w:p>
    <w:p>
      <w:pPr>
        <w:ind w:left="760" w:right="959" w:firstLine="249"/>
        <w:spacing w:after="0" w:line="278" w:lineRule="auto"/>
        <w:rPr>
          <w:sz w:val="20"/>
          <w:szCs w:val="20"/>
          <w:color w:val="auto"/>
        </w:rPr>
      </w:pPr>
      <w:r>
        <w:rPr>
          <w:rFonts w:ascii="Times New Roman" w:cs="Times New Roman" w:eastAsia="Times New Roman" w:hAnsi="Times New Roman"/>
          <w:sz w:val="14"/>
          <w:szCs w:val="14"/>
          <w:color w:val="auto"/>
        </w:rPr>
        <w:t>The underwriters were entitled to a cash underwriting discount of $4,800,000, which was paid in cash to the underwriters at the closing of the Initial Public Offering.</w:t>
      </w:r>
    </w:p>
    <w:p>
      <w:pPr>
        <w:spacing w:after="0" w:line="126" w:lineRule="exact"/>
        <w:rPr>
          <w:sz w:val="20"/>
          <w:szCs w:val="20"/>
          <w:color w:val="auto"/>
        </w:rPr>
      </w:pPr>
    </w:p>
    <w:p>
      <w:pPr>
        <w:jc w:val="both"/>
        <w:ind w:left="760" w:right="839" w:firstLine="249"/>
        <w:spacing w:after="0" w:line="283" w:lineRule="auto"/>
        <w:rPr>
          <w:sz w:val="20"/>
          <w:szCs w:val="20"/>
          <w:color w:val="auto"/>
        </w:rPr>
      </w:pPr>
      <w:r>
        <w:rPr>
          <w:rFonts w:ascii="Times New Roman" w:cs="Times New Roman" w:eastAsia="Times New Roman" w:hAnsi="Times New Roman"/>
          <w:sz w:val="13"/>
          <w:szCs w:val="13"/>
          <w:color w:val="auto"/>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spacing w:after="0" w:line="126"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Business Combination Agreement</w:t>
      </w:r>
    </w:p>
    <w:p>
      <w:pPr>
        <w:spacing w:after="0" w:line="173" w:lineRule="exact"/>
        <w:rPr>
          <w:sz w:val="20"/>
          <w:szCs w:val="20"/>
          <w:color w:val="auto"/>
        </w:rPr>
      </w:pPr>
    </w:p>
    <w:p>
      <w:pPr>
        <w:ind w:left="760" w:right="879" w:firstLine="249"/>
        <w:spacing w:after="0" w:line="252" w:lineRule="auto"/>
        <w:rPr>
          <w:sz w:val="20"/>
          <w:szCs w:val="20"/>
          <w:color w:val="auto"/>
        </w:rPr>
      </w:pPr>
      <w:r>
        <w:rPr>
          <w:rFonts w:ascii="Times New Roman" w:cs="Times New Roman" w:eastAsia="Times New Roman" w:hAnsi="Times New Roman"/>
          <w:sz w:val="14"/>
          <w:szCs w:val="14"/>
          <w:color w:val="auto"/>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the Company and Factorial. The Business Combination is expected to close in mid-2026, following the receipt of the requisite approvals of the Company’s shareholders and Factorial stockholders and the fulfillment of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F-78</w:t>
      </w:r>
    </w:p>
    <w:p>
      <w:pPr>
        <w:sectPr>
          <w:pgSz w:w="11900" w:h="16838" w:orient="portrait"/>
          <w:cols w:equalWidth="0" w:num="1">
            <w:col w:w="9019"/>
          </w:cols>
          <w:pgMar w:left="1440" w:top="571" w:right="1440" w:bottom="1440" w:gutter="0" w:footer="0" w:header="0"/>
        </w:sectPr>
      </w:pPr>
    </w:p>
    <w:bookmarkStart w:id="216" w:name="page217"/>
    <w:bookmarkEnd w:id="21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Amendment to Business Combination Agreement</w:t>
      </w:r>
    </w:p>
    <w:p>
      <w:pPr>
        <w:spacing w:after="0" w:line="173"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redemption of the Company’s shares in connection with the Closing of the Business Combination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shares in connection with the PIPE Financing (as defined below), and consequently update the definition of “Nasdaq Proposal” to read “Nasdaq Proposals;” and (D) amend and restate Sections 5.21 and 5.22 of the Business Combination Agreement to remove the provisions related to an exchange of the Company’s Public Warrants and Private Placement Warrants (the “Warrant Exchange”).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Sponsor Support Agreement</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bylaws to of New Factorial become effective at the closing of the Business Combination, and (vi) waive redemption rights with respect to the Sponsor Shares, in each case, on the terms and subject to the conditions set forth in the Sponsor Support Agreement.</w:t>
      </w:r>
    </w:p>
    <w:p>
      <w:pPr>
        <w:spacing w:after="0" w:line="145"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color w:val="auto"/>
        </w:rPr>
        <w:t>On March 26, 2026, Sponsor and Factorial entered into an Amendment to the Sponsor Support Agreement (the “SSA Amendment”). The SSA Amendment (a) deletes the provision in Section 1 of the Sponsor Support Agreement that required the Sponsor, until the closing of the Business Combination or the earlier termination of the Business Combination Agreement, to cause all of its Private Placement Warrants to be present for quorum purposes at any meeting or written consent of the Company warrant holders and to vote or consent such warrants in favor of the warrant agreement amendment contemplated by the Warrant Exchange; and (b) amends and restates Section 2 of the Sponsor Support Agreement in its entirety to read “[Reserved.],” thereby removing the provisions relating to the Warrant Exchange.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PIPE Financing</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F-79</w:t>
      </w:r>
    </w:p>
    <w:p>
      <w:pPr>
        <w:sectPr>
          <w:pgSz w:w="11900" w:h="16838" w:orient="portrait"/>
          <w:cols w:equalWidth="0" w:num="1">
            <w:col w:w="9019"/>
          </w:cols>
          <w:pgMar w:left="1440" w:top="572" w:right="1440" w:bottom="1440" w:gutter="0" w:footer="0" w:header="0"/>
        </w:sectPr>
      </w:pPr>
    </w:p>
    <w:bookmarkStart w:id="217" w:name="page218"/>
    <w:bookmarkEnd w:id="21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Pursuant to the Investor Stock Purchase Agreements, the PIPE Investors agreed to subscribe for and purchase, and the Company</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agreed to issue and sell to the PIPE Investors, at the closing of the Business Combination, an aggregate of 9,927,184 shares of New</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Factorial Series A Common Stock, at an average subscription price of $10.08 per share (assuming a Redemption Price (as defined in</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the Company’s certificate of incorporation) of $10.30 per share) for aggregate gross proceeds of $100,000,000 (the “PIPE Financing”).</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The Institutional Investor subscribed for 7,500,000 shares of New Factorial Series A Common Stock at a subscription price of $10.00</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 share, and the Sponsor Investor subscribed for 2,427,184 shares of New Factorial Series A Common Stock (assuming a</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Redemption Price of $10.30 per share) at a subscription price equal to the Redemption Price. Pursuant to the Investor Stock Purchase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Agreements, the Sponsor will transfer at the closing of the Business Combination (which transfer may be indirectly through forfeiture</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reissuance) an aggregate of 750,000 shares of New Factorial Series A Common Stock to the Institutional Investor and 250,000</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shares of New Factorial Series A Common Stock to the Sponsor Investor. The average subscription prices are $9.09 per share and</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$9.34 per share for the Institutional Investor and the Sponsor Investor, respectively, assuming a Redemption Price of $10.30 per share</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taking into account the foregoing transfers from the Sponsor.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73" w:lineRule="exact"/>
        <w:rPr>
          <w:sz w:val="20"/>
          <w:szCs w:val="20"/>
          <w:color w:val="auto"/>
        </w:rPr>
      </w:pPr>
    </w:p>
    <w:p>
      <w:pPr>
        <w:ind w:left="760" w:right="839" w:firstLine="249"/>
        <w:spacing w:after="0" w:line="274" w:lineRule="auto"/>
        <w:rPr>
          <w:sz w:val="20"/>
          <w:szCs w:val="20"/>
          <w:color w:val="auto"/>
        </w:rPr>
      </w:pPr>
      <w:r>
        <w:rPr>
          <w:rFonts w:ascii="Times New Roman" w:cs="Times New Roman" w:eastAsia="Times New Roman" w:hAnsi="Times New Roman"/>
          <w:sz w:val="13"/>
          <w:szCs w:val="13"/>
          <w:color w:val="auto"/>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7. SHAREHOLDERS’ DEFICIT</w:t>
      </w:r>
    </w:p>
    <w:p>
      <w:pPr>
        <w:spacing w:after="0" w:line="171" w:lineRule="exact"/>
        <w:rPr>
          <w:sz w:val="20"/>
          <w:szCs w:val="20"/>
          <w:color w:val="auto"/>
        </w:rPr>
      </w:pPr>
    </w:p>
    <w:p>
      <w:pPr>
        <w:ind w:left="760" w:right="839" w:firstLine="24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Preference Shares </w:t>
      </w:r>
      <w:r>
        <w:rPr>
          <w:rFonts w:ascii="Times New Roman" w:cs="Times New Roman" w:eastAsia="Times New Roman" w:hAnsi="Times New Roman"/>
          <w:sz w:val="14"/>
          <w:szCs w:val="14"/>
          <w:color w:val="auto"/>
        </w:rPr>
        <w:t>— The Company is authorized to issue a total of 1,000,000 preference shares at par value of $0.0001 each.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March 31, 2026 and December 31, 2025, there were no preference shares issued or outstanding.</w:t>
      </w:r>
    </w:p>
    <w:p>
      <w:pPr>
        <w:spacing w:after="0" w:line="122" w:lineRule="exact"/>
        <w:rPr>
          <w:sz w:val="20"/>
          <w:szCs w:val="20"/>
          <w:color w:val="auto"/>
        </w:rPr>
      </w:pPr>
    </w:p>
    <w:p>
      <w:pPr>
        <w:ind w:left="760" w:right="959" w:firstLine="24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Class A Ordinary Shares — </w:t>
      </w:r>
      <w:r>
        <w:rPr>
          <w:rFonts w:ascii="Times New Roman" w:cs="Times New Roman" w:eastAsia="Times New Roman" w:hAnsi="Times New Roman"/>
          <w:sz w:val="14"/>
          <w:szCs w:val="14"/>
          <w:color w:val="auto"/>
        </w:rPr>
        <w:t>The Company is authorized to issue a total of 200,000,000 Class A ordinary shares at par value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$0.0001 each. At March 31, 2026 and December 31, 2025, there were no shares of Class A ordinary shares issued or outstanding, excluding the 27,600,000 shares subject to possible redemption, respectively.</w:t>
      </w:r>
    </w:p>
    <w:p>
      <w:pPr>
        <w:spacing w:after="0" w:line="134" w:lineRule="exact"/>
        <w:rPr>
          <w:sz w:val="20"/>
          <w:szCs w:val="20"/>
          <w:color w:val="auto"/>
        </w:rPr>
      </w:pPr>
    </w:p>
    <w:p>
      <w:pPr>
        <w:ind w:left="760" w:right="819" w:firstLine="24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Class B Ordinary Shares — </w:t>
      </w:r>
      <w:r>
        <w:rPr>
          <w:rFonts w:ascii="Times New Roman" w:cs="Times New Roman" w:eastAsia="Times New Roman" w:hAnsi="Times New Roman"/>
          <w:sz w:val="14"/>
          <w:szCs w:val="14"/>
          <w:color w:val="auto"/>
        </w:rPr>
        <w:t>The Company is authorized to issue a total of 20,000,000 Class B ordinary shares at par value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spacing w:after="0" w:line="146" w:lineRule="exact"/>
        <w:rPr>
          <w:sz w:val="20"/>
          <w:szCs w:val="20"/>
          <w:color w:val="auto"/>
        </w:rPr>
      </w:pPr>
    </w:p>
    <w:p>
      <w:pPr>
        <w:ind w:left="760" w:right="859" w:firstLine="249"/>
        <w:spacing w:after="0" w:line="274" w:lineRule="auto"/>
        <w:rPr>
          <w:sz w:val="20"/>
          <w:szCs w:val="20"/>
          <w:color w:val="auto"/>
        </w:rPr>
      </w:pPr>
      <w:r>
        <w:rPr>
          <w:rFonts w:ascii="Times New Roman" w:cs="Times New Roman" w:eastAsia="Times New Roman" w:hAnsi="Times New Roman"/>
          <w:sz w:val="13"/>
          <w:szCs w:val="13"/>
          <w:color w:val="auto"/>
        </w:rPr>
        <w:t>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F-80</w:t>
      </w:r>
    </w:p>
    <w:p>
      <w:pPr>
        <w:sectPr>
          <w:pgSz w:w="11900" w:h="16838" w:orient="portrait"/>
          <w:cols w:equalWidth="0" w:num="1">
            <w:col w:w="9019"/>
          </w:cols>
          <w:pgMar w:left="1440" w:top="572" w:right="1440" w:bottom="1440" w:gutter="0" w:footer="0" w:header="0"/>
        </w:sectPr>
      </w:pPr>
    </w:p>
    <w:bookmarkStart w:id="218" w:name="page219"/>
    <w:bookmarkEnd w:id="21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p>
      <w:pPr>
        <w:ind w:left="760" w:right="839"/>
        <w:spacing w:after="0" w:line="252" w:lineRule="auto"/>
        <w:rPr>
          <w:sz w:val="20"/>
          <w:szCs w:val="20"/>
          <w:color w:val="auto"/>
        </w:rPr>
      </w:pPr>
      <w:r>
        <w:rPr>
          <w:rFonts w:ascii="Times New Roman" w:cs="Times New Roman" w:eastAsia="Times New Roman" w:hAnsi="Times New Roman"/>
          <w:sz w:val="14"/>
          <w:szCs w:val="14"/>
          <w:color w:val="auto"/>
        </w:rPr>
        <w:t>aggregate, 20%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spacing w:after="0" w:line="92"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w:t>
      </w:r>
    </w:p>
    <w:p>
      <w:pPr>
        <w:spacing w:after="0" w:line="91"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F-81</w:t>
      </w:r>
    </w:p>
    <w:p>
      <w:pPr>
        <w:sectPr>
          <w:pgSz w:w="11900" w:h="16838" w:orient="portrait"/>
          <w:cols w:equalWidth="0" w:num="1">
            <w:col w:w="9019"/>
          </w:cols>
          <w:pgMar w:left="1440" w:top="572" w:right="1440" w:bottom="1440" w:gutter="0" w:footer="0" w:header="0"/>
        </w:sectPr>
      </w:pPr>
    </w:p>
    <w:bookmarkStart w:id="219" w:name="page220"/>
    <w:bookmarkEnd w:id="21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8. FAIR VALUE MEASUREMENTS</w:t>
      </w:r>
    </w:p>
    <w:p>
      <w:pPr>
        <w:spacing w:after="0" w:line="173" w:lineRule="exact"/>
        <w:rPr>
          <w:sz w:val="20"/>
          <w:szCs w:val="20"/>
          <w:color w:val="auto"/>
        </w:rPr>
      </w:pPr>
    </w:p>
    <w:p>
      <w:pPr>
        <w:ind w:left="760" w:right="899" w:firstLine="249"/>
        <w:spacing w:after="0" w:line="252" w:lineRule="auto"/>
        <w:rPr>
          <w:sz w:val="20"/>
          <w:szCs w:val="20"/>
          <w:color w:val="auto"/>
        </w:rPr>
      </w:pPr>
      <w:r>
        <w:rPr>
          <w:rFonts w:ascii="Times New Roman" w:cs="Times New Roman" w:eastAsia="Times New Roman" w:hAnsi="Times New Roman"/>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6" w:lineRule="exact"/>
        <w:rPr>
          <w:sz w:val="20"/>
          <w:szCs w:val="20"/>
          <w:color w:val="auto"/>
        </w:rPr>
      </w:pPr>
    </w:p>
    <w:p>
      <w:pPr>
        <w:jc w:val="both"/>
        <w:ind w:left="1260" w:right="779" w:hanging="498"/>
        <w:spacing w:after="0" w:line="262"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8" w:lineRule="exact"/>
        <w:rPr>
          <w:sz w:val="20"/>
          <w:szCs w:val="20"/>
          <w:color w:val="auto"/>
        </w:rPr>
      </w:pPr>
    </w:p>
    <w:p>
      <w:pPr>
        <w:ind w:left="1260" w:right="919" w:hanging="498"/>
        <w:spacing w:after="0" w:line="278"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6" w:lineRule="exact"/>
        <w:rPr>
          <w:sz w:val="20"/>
          <w:szCs w:val="20"/>
          <w:color w:val="auto"/>
        </w:rPr>
      </w:pPr>
    </w:p>
    <w:p>
      <w:pPr>
        <w:ind w:left="1260" w:right="1199" w:hanging="498"/>
        <w:spacing w:after="0" w:line="278" w:lineRule="auto"/>
        <w:rPr>
          <w:sz w:val="20"/>
          <w:szCs w:val="20"/>
          <w:color w:val="auto"/>
        </w:rPr>
      </w:pPr>
      <w:r>
        <w:rPr>
          <w:rFonts w:ascii="Times New Roman" w:cs="Times New Roman" w:eastAsia="Times New Roman" w:hAnsi="Times New Roman"/>
          <w:sz w:val="14"/>
          <w:szCs w:val="14"/>
          <w:color w:val="auto"/>
        </w:rPr>
        <w:t>Level 3: Unobservable inputs based on assessment of the assumptions that market participants would use in pricing the asset or liability.</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360" w:type="dxa"/>
            <w:vAlign w:val="bottom"/>
          </w:tcPr>
          <w:p>
            <w:pPr>
              <w:ind w:left="430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Level</w:t>
            </w:r>
          </w:p>
        </w:tc>
        <w:tc>
          <w:tcPr>
            <w:tcW w:w="20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r>
      <w:tr>
        <w:trPr>
          <w:trHeight w:val="157"/>
        </w:trPr>
        <w:tc>
          <w:tcPr>
            <w:tcW w:w="43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285,868,994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283,377,276</w:t>
            </w:r>
          </w:p>
        </w:tc>
      </w:tr>
    </w:tbl>
    <w:p>
      <w:pPr>
        <w:spacing w:after="0" w:line="151"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The fair value of the public warrants at issuance was $3,132,600 or $0.227 per public warrant. The fair value of the private warrants at issuance was $1,567,638 or $0.231 per private warrant. The fair value of public and private warrants were determined using Monte Carlo Simulation Model. The public and private warrants have been classified within shareholders’ deficit and will not require remeasurement after issuance.</w:t>
      </w:r>
    </w:p>
    <w:p>
      <w:pPr>
        <w:spacing w:after="0" w:line="142" w:lineRule="exact"/>
        <w:rPr>
          <w:sz w:val="20"/>
          <w:szCs w:val="20"/>
          <w:color w:val="auto"/>
        </w:rPr>
      </w:pPr>
    </w:p>
    <w:p>
      <w:pPr>
        <w:ind w:left="760" w:right="97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presents the quantitative information regarding market assumptions used in the valuation of the public and private warrants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00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May 5, 2025</w:t>
            </w:r>
          </w:p>
        </w:tc>
      </w:tr>
      <w:tr>
        <w:trPr>
          <w:trHeight w:val="157"/>
        </w:trPr>
        <w:tc>
          <w:tcPr>
            <w:tcW w:w="50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Volatility</w:t>
            </w:r>
          </w:p>
        </w:tc>
        <w:tc>
          <w:tcPr>
            <w:tcW w:w="1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3.79 %</w:t>
            </w: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implied likelihood of completing a Business Combination</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Share price</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12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terms (Yrs)</w:t>
            </w: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market implied likelihood of completing a Business Combination was determined by analyzing the quoted market prices of the rights for similar companies that included rights in their units. The criteria used was: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Criteria</w:t>
            </w:r>
          </w:p>
        </w:tc>
        <w:tc>
          <w:tcPr>
            <w:tcW w:w="1840" w:type="dxa"/>
            <w:vAlign w:val="bottom"/>
          </w:tcPr>
          <w:p>
            <w:pPr>
              <w:ind w:left="1740"/>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Low</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High</w:t>
            </w:r>
          </w:p>
        </w:tc>
      </w:tr>
      <w:tr>
        <w:trPr>
          <w:trHeight w:val="157"/>
        </w:trPr>
        <w:tc>
          <w:tcPr>
            <w:tcW w:w="34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IPO proceeds ($M)</w:t>
            </w:r>
          </w:p>
        </w:tc>
        <w:tc>
          <w:tcPr>
            <w:tcW w:w="18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250</w:t>
            </w: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Warrant coverage</w:t>
            </w:r>
          </w:p>
        </w:tc>
        <w:tc>
          <w:tcPr>
            <w:tcW w:w="1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coverage (per unit)</w:t>
            </w:r>
          </w:p>
        </w:tc>
        <w:tc>
          <w:tcPr>
            <w:tcW w:w="18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8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Remaining months to complete</w:t>
            </w:r>
          </w:p>
        </w:tc>
        <w:tc>
          <w:tcPr>
            <w:tcW w:w="1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F-82</w:t>
      </w:r>
    </w:p>
    <w:p>
      <w:pPr>
        <w:sectPr>
          <w:pgSz w:w="11900" w:h="16838" w:orient="portrait"/>
          <w:cols w:equalWidth="0" w:num="1">
            <w:col w:w="9019"/>
          </w:cols>
          <w:pgMar w:left="1440" w:top="572" w:right="1440" w:bottom="1440" w:gutter="0" w:footer="0" w:header="0"/>
        </w:sectPr>
      </w:pPr>
    </w:p>
    <w:bookmarkStart w:id="220" w:name="page221"/>
    <w:bookmarkEnd w:id="22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CARTESIAN GROWTH CORPORATION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9. SEGMENT INFORMATION</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spacing w:after="0" w:line="142" w:lineRule="exact"/>
        <w:rPr>
          <w:sz w:val="20"/>
          <w:szCs w:val="20"/>
          <w:color w:val="auto"/>
        </w:rPr>
      </w:pPr>
    </w:p>
    <w:p>
      <w:pPr>
        <w:jc w:val="both"/>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spacing w:after="0" w:line="138" w:lineRule="exact"/>
        <w:rPr>
          <w:sz w:val="20"/>
          <w:szCs w:val="20"/>
          <w:color w:val="auto"/>
        </w:rPr>
      </w:pPr>
    </w:p>
    <w:p>
      <w:pPr>
        <w:jc w:val="both"/>
        <w:ind w:left="760" w:right="879" w:firstLine="249"/>
        <w:spacing w:after="0" w:line="292" w:lineRule="auto"/>
        <w:rPr>
          <w:sz w:val="20"/>
          <w:szCs w:val="20"/>
          <w:color w:val="auto"/>
        </w:rPr>
      </w:pPr>
      <w:r>
        <w:rPr>
          <w:rFonts w:ascii="Times New Roman" w:cs="Times New Roman" w:eastAsia="Times New Roman" w:hAnsi="Times New Roman"/>
          <w:sz w:val="13"/>
          <w:szCs w:val="13"/>
          <w:color w:val="auto"/>
        </w:rPr>
        <w:t>The CODM assesses performance for the single segment and decides how to allocate resources based on net income or loss. The measure of segment assets is reported on the condensed balance sheets as total assets. When evaluating the Company’s performance and making key decisions regarding resource allocation the CODM reviews several key metrics, which include the following:</w:t>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000" w:type="dxa"/>
            <w:vAlign w:val="bottom"/>
          </w:tcPr>
          <w:p>
            <w:pPr>
              <w:spacing w:after="0"/>
              <w:rPr>
                <w:sz w:val="11"/>
                <w:szCs w:val="11"/>
                <w:color w:val="auto"/>
              </w:rPr>
            </w:pPr>
          </w:p>
        </w:tc>
        <w:tc>
          <w:tcPr>
            <w:tcW w:w="1280" w:type="dxa"/>
            <w:vAlign w:val="bottom"/>
            <w:gridSpan w:val="3"/>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 w:type="dxa"/>
            <w:vAlign w:val="bottom"/>
          </w:tcPr>
          <w:p>
            <w:pPr>
              <w:spacing w:after="0"/>
              <w:rPr>
                <w:sz w:val="11"/>
                <w:szCs w:val="11"/>
                <w:color w:val="auto"/>
              </w:rPr>
            </w:pPr>
          </w:p>
        </w:tc>
        <w:tc>
          <w:tcPr>
            <w:tcW w:w="20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r>
      <w:tr>
        <w:trPr>
          <w:trHeight w:val="157"/>
        </w:trPr>
        <w:tc>
          <w:tcPr>
            <w:tcW w:w="40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Cash</w:t>
            </w:r>
          </w:p>
        </w:tc>
        <w:tc>
          <w:tcPr>
            <w:tcW w:w="1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396,210</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624,163</w:t>
            </w:r>
          </w:p>
        </w:tc>
      </w:tr>
      <w:tr>
        <w:trPr>
          <w:trHeight w:val="18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1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285,868,994</w:t>
            </w:r>
          </w:p>
        </w:tc>
        <w:tc>
          <w:tcPr>
            <w:tcW w:w="2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283,377,276</w:t>
            </w:r>
          </w:p>
        </w:tc>
      </w:tr>
      <w:tr>
        <w:trPr>
          <w:trHeight w:val="296"/>
        </w:trPr>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15"/>
        </w:trPr>
        <w:tc>
          <w:tcPr>
            <w:tcW w:w="4000" w:type="dxa"/>
            <w:vAlign w:val="bottom"/>
          </w:tcPr>
          <w:p>
            <w:pPr>
              <w:spacing w:after="0"/>
              <w:rPr>
                <w:sz w:val="10"/>
                <w:szCs w:val="10"/>
                <w:color w:val="auto"/>
              </w:rPr>
            </w:pPr>
          </w:p>
        </w:tc>
        <w:tc>
          <w:tcPr>
            <w:tcW w:w="1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940" w:type="dxa"/>
            <w:vAlign w:val="bottom"/>
          </w:tcPr>
          <w:p>
            <w:pPr>
              <w:jc w:val="right"/>
              <w:ind w:right="337"/>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Pr>
          <w:p>
            <w:pPr>
              <w:spacing w:after="0"/>
              <w:rPr>
                <w:sz w:val="10"/>
                <w:szCs w:val="10"/>
                <w:color w:val="auto"/>
              </w:rPr>
            </w:pPr>
          </w:p>
        </w:tc>
        <w:tc>
          <w:tcPr>
            <w:tcW w:w="200" w:type="dxa"/>
            <w:vAlign w:val="bottom"/>
            <w:gridSpan w:val="3"/>
          </w:tcPr>
          <w:p>
            <w:pPr>
              <w:jc w:val="right"/>
              <w:ind w:right="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375"/>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7"/>
        </w:trPr>
        <w:tc>
          <w:tcPr>
            <w:tcW w:w="40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General and administrative costs</w:t>
            </w:r>
          </w:p>
        </w:tc>
        <w:tc>
          <w:tcPr>
            <w:tcW w:w="11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811,301</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20,449</w:t>
            </w:r>
          </w:p>
        </w:tc>
      </w:tr>
      <w:tr>
        <w:trPr>
          <w:trHeight w:val="18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Interest earned on investments held in Trust Account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2,491,718</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6"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General and administrative costs are reviewed and monitored by the CODM to manage and forecast cash to ensure enough capital is available to complete a Business Combination or similar transaction within the Completion Window.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10. SUBSEQUENT EVENTS</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The Company evaluated subsequent events and transactions that occurred after the condensed balance sheet date and through the date that the unaudited condensed financial statements were issued. Based upon this review, the Company did not identify any subsequent events that would have required adjustment or disclosure in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F-83</w:t>
      </w:r>
    </w:p>
    <w:p>
      <w:pPr>
        <w:sectPr>
          <w:pgSz w:w="11900" w:h="16838" w:orient="portrait"/>
          <w:cols w:equalWidth="0" w:num="1">
            <w:col w:w="9019"/>
          </w:cols>
          <w:pgMar w:left="1440" w:top="572" w:right="1440" w:bottom="1440" w:gutter="0" w:footer="0" w:header="0"/>
        </w:sectPr>
      </w:pPr>
    </w:p>
    <w:bookmarkStart w:id="221" w:name="page222"/>
    <w:bookmarkEnd w:id="22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79" w:lineRule="exact"/>
        <w:rPr>
          <w:sz w:val="20"/>
          <w:szCs w:val="20"/>
          <w:color w:val="auto"/>
        </w:rPr>
      </w:pPr>
    </w:p>
    <w:tbl>
      <w:tblPr>
        <w:tblLayout w:type="fixed"/>
        <w:tblInd w:w="760" w:type="dxa"/>
        <w:tblCellMar>
          <w:top w:w="0" w:type="dxa"/>
          <w:left w:w="0" w:type="dxa"/>
          <w:bottom w:w="0" w:type="dxa"/>
          <w:right w:w="0" w:type="dxa"/>
        </w:tblCellMar>
      </w:tblPr>
      <w:tr>
        <w:trPr>
          <w:trHeight w:val="127"/>
        </w:trPr>
        <w:tc>
          <w:tcPr>
            <w:tcW w:w="5580" w:type="dxa"/>
            <w:vAlign w:val="bottom"/>
            <w:vMerge w:val="restart"/>
          </w:tcPr>
          <w:p>
            <w:pPr>
              <w:ind w:left="54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5"/>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March 31, 2026   ​​​​December 31, 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5"/>
        </w:trPr>
        <w:tc>
          <w:tcPr>
            <w:tcW w:w="558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ASSETS</w:t>
            </w: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25,449</w:t>
            </w:r>
          </w:p>
        </w:tc>
        <w:tc>
          <w:tcPr>
            <w:tcW w:w="400" w:type="dxa"/>
            <w:vAlign w:val="bottom"/>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28,891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Receivables under collaboration agreements (includes $0 and $1,000 as related party as of March 31, 2026, and December 31,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2025, respectively)</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transaction costs</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3,468</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Prepaid expenses and other current assets (includes $910 and $1,110 as related party as of March 31, 2026, and December 31,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2025, respectively)</w:t>
            </w: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1,718</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33,995</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32,891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8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20,206</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color w:val="auto"/>
              </w:rPr>
              <w:t>Operating lease right-of-use assets, net</w:t>
            </w:r>
          </w:p>
        </w:tc>
        <w:tc>
          <w:tcPr>
            <w:tcW w:w="8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7,266</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non-current assets (related party)</w:t>
            </w: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80" w:type="dxa"/>
            <w:vAlign w:val="bottom"/>
            <w:tcBorders>
              <w:bottom w:val="single" w:sz="8" w:color="CCEEFF"/>
            </w:tcBorders>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8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62,391</w:t>
            </w:r>
          </w:p>
        </w:tc>
        <w:tc>
          <w:tcPr>
            <w:tcW w:w="160" w:type="dxa"/>
            <w:vAlign w:val="bottom"/>
            <w:tcBorders>
              <w:bottom w:val="single" w:sz="8" w:color="CCEEFF"/>
            </w:tcBorders>
            <w:gridSpan w:val="2"/>
          </w:tcPr>
          <w:p>
            <w:pPr>
              <w:spacing w:after="0"/>
              <w:rPr>
                <w:sz w:val="12"/>
                <w:szCs w:val="12"/>
                <w:color w:val="auto"/>
              </w:rPr>
            </w:pPr>
          </w:p>
        </w:tc>
        <w:tc>
          <w:tcPr>
            <w:tcW w:w="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62,784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5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LIABILITIES, REDEEMABLE CONVERTIBLE PREFERRED STOCK &amp; STOCKHOLDERS’ DEFICIT</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Accounts payable (includes $30 and $190 as related party, as of March 31, 2026, and December 31, 2025, respectively)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w:t>
            </w:r>
          </w:p>
        </w:tc>
        <w:tc>
          <w:tcPr>
            <w:tcW w:w="400" w:type="dxa"/>
            <w:vAlign w:val="bottom"/>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color w:val="auto"/>
              </w:rPr>
              <w:t>Accrued expenses</w:t>
            </w:r>
          </w:p>
        </w:tc>
        <w:tc>
          <w:tcPr>
            <w:tcW w:w="8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4,128</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liabilities, current portion</w:t>
            </w: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8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80" w:type="dxa"/>
            <w:vAlign w:val="bottom"/>
          </w:tcPr>
          <w:p>
            <w:pPr>
              <w:spacing w:after="0"/>
              <w:rPr>
                <w:sz w:val="9"/>
                <w:szCs w:val="9"/>
                <w:color w:val="auto"/>
              </w:rPr>
            </w:pPr>
          </w:p>
        </w:tc>
        <w:tc>
          <w:tcPr>
            <w:tcW w:w="80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6,185</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5,079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liabilities, net of current portion</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6,817</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color w:val="auto"/>
              </w:rPr>
              <w:t>Convertible promissory notes - related parties, at fair value</w:t>
            </w:r>
          </w:p>
        </w:tc>
        <w:tc>
          <w:tcPr>
            <w:tcW w:w="8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20,296</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Convertible promissory notes, at fair value</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Warrant liabilities for Series B-1 and Series D redeemable convertible preferred stock (includes $2,803 and $2,770 to related</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parties as of March 31, 2026, and December 31, 2025, respectively)</w:t>
            </w: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3,484</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41,382</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34,526</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5"/>
        </w:trPr>
        <w:tc>
          <w:tcPr>
            <w:tcW w:w="558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Commitments and contingencies (Note 8)</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Redeemable convertible preferred stock (Note 9):</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Series A-1 redeemable convertible preferred stock, $0.0001 par value; 1,234,568 shares authorized, issued and outstanding as</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March 31, 2026, and December 31, 2025. Liquidation preference of $3,000 as of March 31, 2026, and December 31, 2025</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Series A-2 redeemable convertible preferred stock, $0.0001 par value; 2,362,204 shares authorized, issued and outstanding as of</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March 31, 2026, and December 31, 2025. Liquidation preference of $6,000 as March 31, 2026, and December 31, 2025</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Series B-1 redeemable convertible preferred stock, $0.0001 par value; 2,738,469 shares authorized; 2,718,539 shares issued and</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outstanding as of March 31, 2026, and December 31, 2025. Liquidation preference of $22,166 as of March 31, 2026, and</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December 31, 2025</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Series C-1 redeemable convertible preferred stock, $0.0001 par value; 3,570,724 shares authorized, issued and outstanding as of</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March 31, 2026, and December 31, 2025. Liquidation preference of $28,423 as of March 31, 2026, and December 31, 2025</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28,303</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Series C-2 redeemable convertible preferred stock, $0.0001 par value; 2,513,698 shares authorized, issued and outstanding as of</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March 31, 2026, and December 31, 2025. Liquidation preference of $26,857 as of March 31, 2026, and December 31, 2025</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26,013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D redeemable convertible preferred stock, $0.0001 par value; 7,625,734 shares authorized; 5,950,204 shares issued and</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outstanding as of March 31, 2026, and December 31, 2025. Liquidation preference of $202,385 as of March 31, 2026, and</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December 31, 2025</w:t>
            </w: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192,185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192,185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80" w:type="dxa"/>
            <w:vAlign w:val="bottom"/>
            <w:tcBorders>
              <w:bottom w:val="single" w:sz="8" w:color="CCEEFF"/>
            </w:tcBorders>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redeemable convertible preferred stock</w:t>
            </w: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249,652</w:t>
            </w: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249,652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5"/>
        </w:trPr>
        <w:tc>
          <w:tcPr>
            <w:tcW w:w="55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Common stock, $0.0001 par value; 32,000,000 shares authorized as of March 31, 2026, and December 31, 2025. 5,068,690 and</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5,039,438 shares issued and outstanding as of March 31, 2026, and December 31, 2025, respectively</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36,285</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8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(264,151)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(255,576)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(743)</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Treasury stock, at cost; 108,466 shares as of March 31, 2026, and December 31, 2025</w:t>
            </w: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5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Total stockholders’ deficit</w:t>
            </w: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(228,643)</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(221,394)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58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TOTAL LIABILITIES, REDEEMABLE CONVERTIBLE PREFERRED STOCK &amp; STOCKHOLDERS’ DEFICIT</w:t>
            </w:r>
          </w:p>
        </w:tc>
        <w:tc>
          <w:tcPr>
            <w:tcW w:w="8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62,391</w:t>
            </w: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2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62,784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F-84</w:t>
      </w:r>
    </w:p>
    <w:p>
      <w:pPr>
        <w:sectPr>
          <w:pgSz w:w="11900" w:h="16838" w:orient="portrait"/>
          <w:cols w:equalWidth="0" w:num="1">
            <w:col w:w="9019"/>
          </w:cols>
          <w:pgMar w:left="1440" w:top="571" w:right="1440"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(UNAUDITED)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580" w:type="dxa"/>
            <w:vAlign w:val="bottom"/>
          </w:tcPr>
          <w:p>
            <w:pPr>
              <w:spacing w:after="0"/>
              <w:rPr>
                <w:sz w:val="11"/>
                <w:szCs w:val="11"/>
                <w:color w:val="auto"/>
              </w:rPr>
            </w:pPr>
          </w:p>
        </w:tc>
        <w:tc>
          <w:tcPr>
            <w:tcW w:w="1940" w:type="dxa"/>
            <w:vAlign w:val="bottom"/>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   Three Months Ended March 31,</w:t>
            </w:r>
          </w:p>
        </w:tc>
        <w:tc>
          <w:tcPr>
            <w:tcW w:w="0" w:type="dxa"/>
            <w:vAlign w:val="bottom"/>
          </w:tcPr>
          <w:p>
            <w:pPr>
              <w:spacing w:after="0"/>
              <w:rPr>
                <w:sz w:val="1"/>
                <w:szCs w:val="1"/>
                <w:color w:val="auto"/>
              </w:rPr>
            </w:pPr>
          </w:p>
        </w:tc>
      </w:tr>
      <w:tr>
        <w:trPr>
          <w:trHeight w:val="115"/>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Borders>
              <w:top w:val="single" w:sz="8" w:color="auto"/>
            </w:tcBorders>
            <w:gridSpan w:val="2"/>
          </w:tcPr>
          <w:p>
            <w:pPr>
              <w:jc w:val="right"/>
              <w:ind w:right="6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tcBorders>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Research and development, net (includes $0 and $24 of related party research and development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reimbursement, net, during the three months ended March 31, 2026, and 2025, respectively)</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Selling, general and administrative (includes $88 and $44 of related party expenses, during the three</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months ended March 31, 2026, and 2025, respectively)</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(6,491)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(13,122)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income, net: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Financing costs related to issuance of convertible promissory notes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promissory notes – related parties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convertible promissory notes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Change in fair value of warrant liabilities (includes related party loss of $33 and $0 during the three</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months ended March 31, 2026, and 2025, respectively)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(expenses) income, net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other (expenses) income, net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(2,084)</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Loss before provision for income taxes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(8,575)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(12,870)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58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(8,575)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5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Net loss attributable to common stockholders - basic and diluted (Note 12)</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(8,575)</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(12,870)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 basic and diluted (Note 12)</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(1.70)</w:t>
            </w:r>
          </w:p>
        </w:tc>
        <w:tc>
          <w:tcPr>
            <w:tcW w:w="1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(2.57)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5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Weighted-average common stock outstanding - basic and diluted (Note 12)</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5,056,994</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5,016,149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F-85</w:t>
      </w:r>
    </w:p>
    <w:p>
      <w:pPr>
        <w:sectPr>
          <w:pgSz w:w="11900" w:h="16838" w:orient="portrait"/>
          <w:cols w:equalWidth="0" w:num="1">
            <w:col w:w="9019"/>
          </w:cols>
          <w:pgMar w:left="1440" w:top="572" w:right="1440" w:bottom="1440" w:gutter="0" w:footer="0" w:header="0"/>
        </w:sectPr>
      </w:pPr>
    </w:p>
    <w:bookmarkStart w:id="223" w:name="page224"/>
    <w:bookmarkEnd w:id="22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 (UNAUDITED)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200" w:type="dxa"/>
            <w:vAlign w:val="bottom"/>
          </w:tcPr>
          <w:p>
            <w:pPr>
              <w:spacing w:after="0"/>
              <w:rPr>
                <w:sz w:val="11"/>
                <w:szCs w:val="11"/>
                <w:color w:val="auto"/>
              </w:rPr>
            </w:pPr>
          </w:p>
        </w:tc>
        <w:tc>
          <w:tcPr>
            <w:tcW w:w="3320" w:type="dxa"/>
            <w:vAlign w:val="bottom"/>
            <w:gridSpan w:val="8"/>
          </w:tcPr>
          <w:p>
            <w:pPr>
              <w:ind w:left="1420"/>
              <w:spacing w:after="0"/>
              <w:rPr>
                <w:sz w:val="20"/>
                <w:szCs w:val="20"/>
                <w:color w:val="auto"/>
              </w:rPr>
            </w:pPr>
            <w:r>
              <w:rPr>
                <w:rFonts w:ascii="Times New Roman" w:cs="Times New Roman" w:eastAsia="Times New Roman" w:hAnsi="Times New Roman"/>
                <w:sz w:val="11"/>
                <w:szCs w:val="11"/>
                <w:b w:val="1"/>
                <w:bCs w:val="1"/>
                <w:color w:val="auto"/>
              </w:rPr>
              <w:t>​​​   Three Months Ended March 31,</w:t>
            </w:r>
          </w:p>
        </w:tc>
        <w:tc>
          <w:tcPr>
            <w:tcW w:w="0" w:type="dxa"/>
            <w:vAlign w:val="bottom"/>
          </w:tcPr>
          <w:p>
            <w:pPr>
              <w:spacing w:after="0"/>
              <w:rPr>
                <w:sz w:val="1"/>
                <w:szCs w:val="1"/>
                <w:color w:val="auto"/>
              </w:rPr>
            </w:pPr>
          </w:p>
        </w:tc>
      </w:tr>
      <w:tr>
        <w:trPr>
          <w:trHeight w:val="115"/>
        </w:trPr>
        <w:tc>
          <w:tcPr>
            <w:tcW w:w="4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top w:val="single" w:sz="8" w:color="auto"/>
            </w:tcBorders>
            <w:gridSpan w:val="2"/>
          </w:tcPr>
          <w:p>
            <w:pPr>
              <w:jc w:val="right"/>
              <w:ind w:right="128"/>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5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(8,575)</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(12,870)</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5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0" w:type="dxa"/>
            <w:vAlign w:val="bottom"/>
            <w:tcBorders>
              <w:bottom w:val="single" w:sz="8" w:color="CCEEFF"/>
            </w:tcBorders>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1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(298)</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5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(8,873)</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(12,862)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Comprehensive loss attributable to stockholders</w:t>
            </w:r>
          </w:p>
        </w:tc>
        <w:tc>
          <w:tcPr>
            <w:tcW w:w="154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(8,873)</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(12,862)</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F-86</w:t>
      </w:r>
    </w:p>
    <w:p>
      <w:pPr>
        <w:sectPr>
          <w:pgSz w:w="11900" w:h="16838" w:orient="portrait"/>
          <w:cols w:equalWidth="0" w:num="1">
            <w:col w:w="9019"/>
          </w:cols>
          <w:pgMar w:left="1440" w:top="572"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281940</wp:posOffset>
            </wp:positionH>
            <wp:positionV relativeFrom="page">
              <wp:posOffset>171450</wp:posOffset>
            </wp:positionV>
            <wp:extent cx="6985635" cy="5401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85635" cy="540194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DEFICIT (UNAUDITED)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0" w:type="dxa"/>
            <w:vAlign w:val="bottom"/>
            <w:gridSpan w:val="5"/>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8"/>
              </w:rPr>
              <w:t>COMMON STOCK</w:t>
            </w: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TOTAL</w:t>
            </w:r>
          </w:p>
        </w:tc>
      </w:tr>
      <w:tr>
        <w:trPr>
          <w:trHeight w:val="133"/>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$0.0001 PAR VALUE</w:t>
            </w:r>
          </w:p>
        </w:tc>
        <w:tc>
          <w:tcPr>
            <w:tcW w:w="120" w:type="dxa"/>
            <w:vAlign w:val="bottom"/>
          </w:tcPr>
          <w:p>
            <w:pPr>
              <w:spacing w:after="0"/>
              <w:rPr>
                <w:sz w:val="11"/>
                <w:szCs w:val="11"/>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$0.0001 PAR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PAID-IN</w:t>
            </w:r>
          </w:p>
        </w:tc>
        <w:tc>
          <w:tcPr>
            <w:tcW w:w="6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1"/>
                <w:szCs w:val="1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6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 SHARES</w:t>
            </w:r>
          </w:p>
        </w:tc>
        <w:tc>
          <w:tcPr>
            <w:tcW w:w="62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​SHARES</w:t>
            </w:r>
          </w:p>
        </w:tc>
        <w:tc>
          <w:tcPr>
            <w:tcW w:w="600" w:type="dxa"/>
            <w:vAlign w:val="bottom"/>
            <w:gridSpan w:val="3"/>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100" w:type="dxa"/>
            <w:vAlign w:val="bottom"/>
            <w:gridSpan w:val="4"/>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 INCOME (LOSS)</w:t>
            </w:r>
          </w:p>
        </w:tc>
        <w:tc>
          <w:tcPr>
            <w:tcW w:w="700" w:type="dxa"/>
            <w:vAlign w:val="bottom"/>
            <w:gridSpan w:val="4"/>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 AT COST</w:t>
            </w:r>
          </w:p>
        </w:tc>
        <w:tc>
          <w:tcPr>
            <w:tcW w:w="2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r>
      <w:tr>
        <w:trPr>
          <w:trHeight w:val="115"/>
        </w:trPr>
        <w:tc>
          <w:tcPr>
            <w:tcW w:w="27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18,349,937</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249,652</w:t>
            </w: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5,039,438</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5"/>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tcBorders>
            <w:shd w:val="clear" w:color="auto" w:fill="CCEEFF"/>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34,661</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(255,576)</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(445)</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(221,394)</w:t>
            </w:r>
          </w:p>
        </w:tc>
        <w:tc>
          <w:tcPr>
            <w:tcW w:w="20" w:type="dxa"/>
            <w:vAlign w:val="bottom"/>
          </w:tcPr>
          <w:p>
            <w:pPr>
              <w:spacing w:after="0"/>
              <w:rPr>
                <w:sz w:val="10"/>
                <w:szCs w:val="10"/>
                <w:color w:val="auto"/>
              </w:rPr>
            </w:pPr>
          </w:p>
        </w:tc>
      </w:tr>
      <w:tr>
        <w:trPr>
          <w:trHeight w:val="125"/>
        </w:trPr>
        <w:tc>
          <w:tcPr>
            <w:tcW w:w="27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Issuance from stock option exercises</w:t>
            </w: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29,252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90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90</w:t>
            </w:r>
          </w:p>
        </w:tc>
        <w:tc>
          <w:tcPr>
            <w:tcW w:w="20" w:type="dxa"/>
            <w:vAlign w:val="bottom"/>
          </w:tcPr>
          <w:p>
            <w:pPr>
              <w:spacing w:after="0"/>
              <w:rPr>
                <w:sz w:val="10"/>
                <w:szCs w:val="10"/>
                <w:color w:val="auto"/>
              </w:rPr>
            </w:pPr>
          </w:p>
        </w:tc>
      </w:tr>
      <w:tr>
        <w:trPr>
          <w:trHeight w:val="125"/>
        </w:trPr>
        <w:tc>
          <w:tcPr>
            <w:tcW w:w="27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Stock based compensation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1,534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1,534</w:t>
            </w:r>
          </w:p>
        </w:tc>
        <w:tc>
          <w:tcPr>
            <w:tcW w:w="20" w:type="dxa"/>
            <w:vAlign w:val="bottom"/>
          </w:tcPr>
          <w:p>
            <w:pPr>
              <w:spacing w:after="0"/>
              <w:rPr>
                <w:sz w:val="10"/>
                <w:szCs w:val="10"/>
                <w:color w:val="auto"/>
              </w:rPr>
            </w:pPr>
          </w:p>
        </w:tc>
      </w:tr>
      <w:tr>
        <w:trPr>
          <w:trHeight w:val="125"/>
        </w:trPr>
        <w:tc>
          <w:tcPr>
            <w:tcW w:w="27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1"/>
                <w:szCs w:val="11"/>
                <w:color w:val="auto"/>
              </w:rPr>
              <w:t>(298)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(298)</w:t>
            </w:r>
          </w:p>
        </w:tc>
        <w:tc>
          <w:tcPr>
            <w:tcW w:w="20" w:type="dxa"/>
            <w:vAlign w:val="bottom"/>
          </w:tcPr>
          <w:p>
            <w:pPr>
              <w:spacing w:after="0"/>
              <w:rPr>
                <w:sz w:val="10"/>
                <w:szCs w:val="10"/>
                <w:color w:val="auto"/>
              </w:rPr>
            </w:pPr>
          </w:p>
        </w:tc>
      </w:tr>
      <w:tr>
        <w:trPr>
          <w:trHeight w:val="135"/>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(8,575)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(8,575)</w:t>
            </w:r>
          </w:p>
        </w:tc>
        <w:tc>
          <w:tcPr>
            <w:tcW w:w="20" w:type="dxa"/>
            <w:vAlign w:val="bottom"/>
          </w:tcPr>
          <w:p>
            <w:pPr>
              <w:spacing w:after="0"/>
              <w:rPr>
                <w:sz w:val="11"/>
                <w:szCs w:val="1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18,349,937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249,652</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5,068,690</w:t>
            </w:r>
          </w:p>
        </w:tc>
        <w:tc>
          <w:tcPr>
            <w:tcW w:w="1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5"/>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36,285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(264,151)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(743)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(228,643)</w:t>
            </w:r>
          </w:p>
        </w:tc>
        <w:tc>
          <w:tcPr>
            <w:tcW w:w="20" w:type="dxa"/>
            <w:vAlign w:val="bottom"/>
          </w:tcPr>
          <w:p>
            <w:pPr>
              <w:spacing w:after="0"/>
              <w:rPr>
                <w:sz w:val="10"/>
                <w:szCs w:val="10"/>
                <w:color w:val="auto"/>
              </w:rPr>
            </w:pPr>
          </w:p>
        </w:tc>
      </w:tr>
      <w:tr>
        <w:trPr>
          <w:trHeight w:val="304"/>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9"/>
              </w:rPr>
              <w:t>REDEEMABLE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jc w:val="center"/>
              <w:ind w:right="65"/>
              <w:spacing w:after="0" w:line="125"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0" w:type="dxa"/>
            <w:vAlign w:val="bottom"/>
            <w:gridSpan w:val="5"/>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8"/>
              </w:rPr>
              <w:t>COMMON STOCK</w:t>
            </w: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TOTAL</w:t>
            </w:r>
          </w:p>
        </w:tc>
      </w:tr>
      <w:tr>
        <w:trPr>
          <w:trHeight w:val="133"/>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9"/>
              </w:rPr>
              <w:t>$0.0001 PAR VALUE</w:t>
            </w:r>
          </w:p>
        </w:tc>
        <w:tc>
          <w:tcPr>
            <w:tcW w:w="1200" w:type="dxa"/>
            <w:vAlign w:val="bottom"/>
            <w:gridSpan w:val="5"/>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9"/>
              </w:rPr>
              <w:t>$0.0001 PAR VALUE</w:t>
            </w:r>
          </w:p>
        </w:tc>
        <w:tc>
          <w:tcPr>
            <w:tcW w:w="10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PAID-IN</w:t>
            </w:r>
          </w:p>
        </w:tc>
        <w:tc>
          <w:tcPr>
            <w:tcW w:w="6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1"/>
                <w:szCs w:val="1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 SHARES</w:t>
            </w:r>
          </w:p>
        </w:tc>
        <w:tc>
          <w:tcPr>
            <w:tcW w:w="62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​SHARES</w:t>
            </w:r>
          </w:p>
        </w:tc>
        <w:tc>
          <w:tcPr>
            <w:tcW w:w="600" w:type="dxa"/>
            <w:vAlign w:val="bottom"/>
            <w:tcBorders>
              <w:top w:val="single" w:sz="8" w:color="auto"/>
            </w:tcBorders>
            <w:gridSpan w:val="3"/>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100" w:type="dxa"/>
            <w:vAlign w:val="bottom"/>
            <w:gridSpan w:val="4"/>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 INCOME (LOSS)</w:t>
            </w:r>
          </w:p>
        </w:tc>
        <w:tc>
          <w:tcPr>
            <w:tcW w:w="700" w:type="dxa"/>
            <w:vAlign w:val="bottom"/>
            <w:gridSpan w:val="4"/>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 AT COST</w:t>
            </w:r>
          </w:p>
        </w:tc>
        <w:tc>
          <w:tcPr>
            <w:tcW w:w="2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r>
      <w:tr>
        <w:trPr>
          <w:trHeight w:val="115"/>
        </w:trPr>
        <w:tc>
          <w:tcPr>
            <w:tcW w:w="27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18,349,937</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249,652</w:t>
            </w: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5,016,051</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5"/>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tcBorders>
            <w:shd w:val="clear" w:color="auto" w:fill="CCEEFF"/>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25,193</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(181,731)</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76</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(156,496)</w:t>
            </w:r>
          </w:p>
        </w:tc>
        <w:tc>
          <w:tcPr>
            <w:tcW w:w="20" w:type="dxa"/>
            <w:vAlign w:val="bottom"/>
          </w:tcPr>
          <w:p>
            <w:pPr>
              <w:spacing w:after="0"/>
              <w:rPr>
                <w:sz w:val="10"/>
                <w:szCs w:val="10"/>
                <w:color w:val="auto"/>
              </w:rPr>
            </w:pPr>
          </w:p>
        </w:tc>
      </w:tr>
      <w:tr>
        <w:trPr>
          <w:trHeight w:val="125"/>
        </w:trPr>
        <w:tc>
          <w:tcPr>
            <w:tcW w:w="27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Issuance from stock option exercises</w:t>
            </w: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0"/>
                <w:szCs w:val="10"/>
                <w:color w:val="auto"/>
              </w:rPr>
            </w:pPr>
          </w:p>
        </w:tc>
      </w:tr>
      <w:tr>
        <w:trPr>
          <w:trHeight w:val="125"/>
        </w:trPr>
        <w:tc>
          <w:tcPr>
            <w:tcW w:w="27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Stock based compensation</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3,857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rPr>
              <w:t>3,857</w:t>
            </w:r>
          </w:p>
        </w:tc>
        <w:tc>
          <w:tcPr>
            <w:tcW w:w="20" w:type="dxa"/>
            <w:vAlign w:val="bottom"/>
          </w:tcPr>
          <w:p>
            <w:pPr>
              <w:spacing w:after="0"/>
              <w:rPr>
                <w:sz w:val="10"/>
                <w:szCs w:val="10"/>
                <w:color w:val="auto"/>
              </w:rPr>
            </w:pPr>
          </w:p>
        </w:tc>
      </w:tr>
      <w:tr>
        <w:trPr>
          <w:trHeight w:val="125"/>
        </w:trPr>
        <w:tc>
          <w:tcPr>
            <w:tcW w:w="27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12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05"/>
              <w:spacing w:after="0" w:line="12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w:t>
            </w:r>
          </w:p>
        </w:tc>
        <w:tc>
          <w:tcPr>
            <w:tcW w:w="20" w:type="dxa"/>
            <w:vAlign w:val="bottom"/>
          </w:tcPr>
          <w:p>
            <w:pPr>
              <w:spacing w:after="0"/>
              <w:rPr>
                <w:sz w:val="10"/>
                <w:szCs w:val="10"/>
                <w:color w:val="auto"/>
              </w:rPr>
            </w:pPr>
          </w:p>
        </w:tc>
      </w:tr>
      <w:tr>
        <w:trPr>
          <w:trHeight w:val="135"/>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(12,870)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20" w:type="dxa"/>
            <w:vAlign w:val="bottom"/>
          </w:tcPr>
          <w:p>
            <w:pPr>
              <w:spacing w:after="0"/>
              <w:rPr>
                <w:sz w:val="11"/>
                <w:szCs w:val="11"/>
                <w:color w:val="auto"/>
              </w:rPr>
            </w:pPr>
          </w:p>
        </w:tc>
      </w:tr>
      <w:tr>
        <w:trPr>
          <w:trHeight w:val="115"/>
        </w:trPr>
        <w:tc>
          <w:tcPr>
            <w:tcW w:w="27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18,349,937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249,652</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5,016,351</w:t>
            </w:r>
          </w:p>
        </w:tc>
        <w:tc>
          <w:tcPr>
            <w:tcW w:w="1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5"/>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29,052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(194,601)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(165,499)</w:t>
            </w:r>
          </w:p>
        </w:tc>
        <w:tc>
          <w:tcPr>
            <w:tcW w:w="20" w:type="dxa"/>
            <w:vAlign w:val="bottom"/>
            <w:tcBorders>
              <w:bottom w:val="single" w:sz="8" w:color="auto"/>
            </w:tcBorders>
          </w:tcPr>
          <w:p>
            <w:pPr>
              <w:spacing w:after="0"/>
              <w:rPr>
                <w:sz w:val="10"/>
                <w:szCs w:val="10"/>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F-87</w:t>
      </w:r>
    </w:p>
    <w:p>
      <w:pPr>
        <w:sectPr>
          <w:pgSz w:w="11900" w:h="16838" w:orient="portrait"/>
          <w:cols w:equalWidth="0" w:num="1">
            <w:col w:w="9980"/>
          </w:cols>
          <w:pgMar w:left="960" w:top="571" w:right="959" w:bottom="1440" w:gutter="0" w:footer="0" w:header="0"/>
        </w:sectPr>
      </w:pPr>
    </w:p>
    <w:bookmarkStart w:id="225" w:name="page226"/>
    <w:bookmarkEnd w:id="22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25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01945" cy="702500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FACTORIAL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460" w:type="dxa"/>
            <w:vAlign w:val="bottom"/>
          </w:tcPr>
          <w:p>
            <w:pPr>
              <w:spacing w:after="0"/>
              <w:rPr>
                <w:sz w:val="11"/>
                <w:szCs w:val="11"/>
                <w:color w:val="auto"/>
              </w:rPr>
            </w:pPr>
          </w:p>
        </w:tc>
        <w:tc>
          <w:tcPr>
            <w:tcW w:w="2060" w:type="dxa"/>
            <w:vAlign w:val="bottom"/>
            <w:gridSpan w:val="7"/>
          </w:tcPr>
          <w:p>
            <w:pPr>
              <w:ind w:left="200"/>
              <w:spacing w:after="0"/>
              <w:rPr>
                <w:sz w:val="20"/>
                <w:szCs w:val="20"/>
                <w:color w:val="auto"/>
              </w:rPr>
            </w:pPr>
            <w:r>
              <w:rPr>
                <w:rFonts w:ascii="Times New Roman" w:cs="Times New Roman" w:eastAsia="Times New Roman" w:hAnsi="Times New Roman"/>
                <w:sz w:val="11"/>
                <w:szCs w:val="11"/>
                <w:b w:val="1"/>
                <w:bCs w:val="1"/>
                <w:color w:val="auto"/>
              </w:rPr>
              <w:t>​​​  Three Months Ended March 31,</w:t>
            </w:r>
          </w:p>
        </w:tc>
        <w:tc>
          <w:tcPr>
            <w:tcW w:w="0" w:type="dxa"/>
            <w:vAlign w:val="bottom"/>
          </w:tcPr>
          <w:p>
            <w:pPr>
              <w:spacing w:after="0"/>
              <w:rPr>
                <w:sz w:val="1"/>
                <w:szCs w:val="1"/>
                <w:color w:val="auto"/>
              </w:rPr>
            </w:pPr>
          </w:p>
        </w:tc>
      </w:tr>
      <w:tr>
        <w:trPr>
          <w:trHeight w:val="115"/>
        </w:trPr>
        <w:tc>
          <w:tcPr>
            <w:tcW w:w="546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11"/>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211"/>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lease expenses and amortization</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fair value and financing cost of convertible promissory notes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fair value of convertible promissory notes – related parties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Unrealized foreign exchange loss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Non-cash interest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Receivables under collaboration agreements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(6,120)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(6,103)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expenditures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Advances on property and equipment</w:t>
            </w:r>
          </w:p>
        </w:tc>
        <w:tc>
          <w:tcPr>
            <w:tcW w:w="3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paid on finance lease liability</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transaction costs paid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costs related to issuance of convertible promissory notes</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Proceeds from convertible promissory notes</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cash provided (used) in financing activities</w:t>
            </w:r>
          </w:p>
        </w:tc>
        <w:tc>
          <w:tcPr>
            <w:tcW w:w="3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3,302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Effects of exchange rate change on cash, cash equivalents and restricted cash</w:t>
            </w: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(134)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(3,439)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(6,516)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Beginning cash, cash equivalents and restricted cash</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Ending cash, cash equivalents and restricted cash</w:t>
            </w:r>
          </w:p>
        </w:tc>
        <w:tc>
          <w:tcPr>
            <w:tcW w:w="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26,333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44,905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37"/>
        </w:trPr>
        <w:tc>
          <w:tcPr>
            <w:tcW w:w="54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5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 included in accounts payable and accrued expenses</w:t>
            </w:r>
          </w:p>
        </w:tc>
        <w:tc>
          <w:tcPr>
            <w:tcW w:w="5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following table presents the Company’s cash, cash equivalents and restricted cash by</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category in the Company’s Condensed Consolidated Balance Sheets: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tcBorders>
              <w:bottom w:val="single" w:sz="8" w:color="CCEEFF"/>
            </w:tcBorders>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26,333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44,905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F-88</w:t>
      </w:r>
    </w:p>
    <w:p>
      <w:pPr>
        <w:sectPr>
          <w:pgSz w:w="11900" w:h="16838" w:orient="portrait"/>
          <w:cols w:equalWidth="0" w:num="1">
            <w:col w:w="9019"/>
          </w:cols>
          <w:pgMar w:left="1440" w:top="572" w:right="1440" w:bottom="1440" w:gutter="0" w:footer="0" w:header="0"/>
        </w:sectPr>
      </w:pPr>
    </w:p>
    <w:bookmarkStart w:id="226" w:name="page227"/>
    <w:bookmarkEnd w:id="22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Nature of Operations</w:t>
      </w:r>
    </w:p>
    <w:p>
      <w:pPr>
        <w:spacing w:after="0" w:line="173"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de-SPAC Transaction</w:t>
      </w:r>
    </w:p>
    <w:p>
      <w:pPr>
        <w:spacing w:after="0" w:line="173"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On December 17, 2025, Cartesian Growth Corporation III, a Cayman Islands exempted company (“CGC”), Fenway MS, Inc., a Delaware corporation (“Merger Sub”), and Factorial Inc., a Delaware corporation (“Factorial”), entered into a Business Combination Agreement (“BCA”). CGC, a publicly traded special purpose acquisition company (“SPAC”) was listed on the Nasdaq Capital Market (“Nasdaq”) under the ticker symbol “CGCT”.</w:t>
      </w:r>
    </w:p>
    <w:p>
      <w:pPr>
        <w:spacing w:after="0" w:line="142" w:lineRule="exact"/>
        <w:rPr>
          <w:sz w:val="20"/>
          <w:szCs w:val="20"/>
          <w:color w:val="auto"/>
        </w:rPr>
      </w:pPr>
    </w:p>
    <w:p>
      <w:pPr>
        <w:ind w:left="760" w:right="879" w:firstLine="249"/>
        <w:spacing w:after="0" w:line="252" w:lineRule="auto"/>
        <w:rPr>
          <w:sz w:val="20"/>
          <w:szCs w:val="20"/>
          <w:color w:val="auto"/>
        </w:rPr>
      </w:pPr>
      <w:r>
        <w:rPr>
          <w:rFonts w:ascii="Times New Roman" w:cs="Times New Roman" w:eastAsia="Times New Roman" w:hAnsi="Times New Roman"/>
          <w:sz w:val="14"/>
          <w:szCs w:val="14"/>
          <w:color w:val="auto"/>
        </w:rPr>
        <w:t>On June 5, 2026, the Merger Sub, a wholly-owned subsidiary of CGC, merged with and into the Company, with the Company surviving the merger as a wholly-owned subsidiary of CGC (the “Merger”). In connection with the Merger, CGC was renamed Factorial Energy Inc. (“PubCo”). PubCo became listed on the Nasdaq under the new ticker symbol “FAC” (“de-SPAC Transaction”). PubCo received gross proceeds of approximately $112,100 in connection with the de-SPAC Transaction and the sale of a private placement of PubCo Series A Common Stock, prior to the payment of transaction expenses (“de-SPAC and PIPE Proceeds”). These unaudited condensed consolidated financial statements do not reflect the impact of the de-SPAC Transaction, since it was closed subsequent to March 31, 2026.</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73" w:lineRule="exact"/>
        <w:rPr>
          <w:sz w:val="20"/>
          <w:szCs w:val="20"/>
          <w:color w:val="auto"/>
        </w:rPr>
      </w:pPr>
    </w:p>
    <w:p>
      <w:pPr>
        <w:ind w:left="760" w:right="819" w:firstLine="249"/>
        <w:spacing w:after="0" w:line="250" w:lineRule="auto"/>
        <w:rPr>
          <w:sz w:val="20"/>
          <w:szCs w:val="20"/>
          <w:color w:val="auto"/>
        </w:rPr>
      </w:pPr>
      <w:r>
        <w:rPr>
          <w:rFonts w:ascii="Times New Roman" w:cs="Times New Roman" w:eastAsia="Times New Roman" w:hAnsi="Times New Roman"/>
          <w:sz w:val="14"/>
          <w:szCs w:val="14"/>
          <w:color w:val="auto"/>
        </w:rPr>
        <w:t>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March 31, 2026, the interim Condensed Consolidated Statements of Operations, Comprehensive Loss, Redeemable Convertible Preferred Stock and Stockholders’ Deficit, and the interim Condensed Consolidated Statements of Cash Flows for the three months ended March 31,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March 31, 2026 and its result of operations for the three months ended March 31, 2026 and 2025 are not necessarily indicative of the results to be expected for the full fiscal year or any other period.</w:t>
      </w:r>
    </w:p>
    <w:p>
      <w:pPr>
        <w:spacing w:after="0" w:line="150"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F-89</w:t>
      </w:r>
    </w:p>
    <w:p>
      <w:pPr>
        <w:sectPr>
          <w:pgSz w:w="11900" w:h="16838" w:orient="portrait"/>
          <w:cols w:equalWidth="0" w:num="1">
            <w:col w:w="9019"/>
          </w:cols>
          <w:pgMar w:left="1440" w:top="572" w:right="1440" w:bottom="1440" w:gutter="0" w:footer="0" w:header="0"/>
        </w:sectPr>
      </w:pPr>
    </w:p>
    <w:bookmarkStart w:id="227" w:name="page228"/>
    <w:bookmarkEnd w:id="22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sufficient to meet its working capital and capital expenditure requirements for a period of at least twelve months from the date of this filing. Accordingly, management has concluded that the substantial doubt 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73"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 xml:space="preserve">The accompanying condensed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3" w:lineRule="exact"/>
        <w:rPr>
          <w:sz w:val="20"/>
          <w:szCs w:val="20"/>
          <w:color w:val="auto"/>
        </w:rPr>
      </w:pPr>
    </w:p>
    <w:p>
      <w:pPr>
        <w:ind w:left="760" w:right="779" w:firstLine="249"/>
        <w:spacing w:after="0" w:line="25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Collaboration Arrangements and Partnership Agreements</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spacing w:after="0" w:line="140" w:lineRule="exact"/>
        <w:rPr>
          <w:sz w:val="20"/>
          <w:szCs w:val="20"/>
          <w:color w:val="auto"/>
        </w:rPr>
      </w:pPr>
    </w:p>
    <w:p>
      <w:pPr>
        <w:ind w:left="760" w:right="939" w:firstLine="249"/>
        <w:spacing w:after="0" w:line="254" w:lineRule="auto"/>
        <w:rPr>
          <w:sz w:val="20"/>
          <w:szCs w:val="20"/>
          <w:color w:val="auto"/>
        </w:rPr>
      </w:pPr>
      <w:r>
        <w:rPr>
          <w:rFonts w:ascii="Times New Roman" w:cs="Times New Roman" w:eastAsia="Times New Roman" w:hAnsi="Times New Roman"/>
          <w:sz w:val="14"/>
          <w:szCs w:val="14"/>
          <w:color w:val="auto"/>
        </w:rPr>
        <w:t xml:space="preserve">The Company assesses each collaborative arrangement to determine whether it is in scope for ASC Topic 808, </w:t>
      </w:r>
      <w:r>
        <w:rPr>
          <w:rFonts w:ascii="Times New Roman" w:cs="Times New Roman" w:eastAsia="Times New Roman" w:hAnsi="Times New Roman"/>
          <w:sz w:val="14"/>
          <w:szCs w:val="14"/>
          <w:i w:val="1"/>
          <w:iCs w:val="1"/>
          <w:color w:val="auto"/>
        </w:rPr>
        <w:t>Collaborative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Arrangements </w:t>
      </w:r>
      <w:r>
        <w:rPr>
          <w:rFonts w:ascii="Times New Roman" w:cs="Times New Roman" w:eastAsia="Times New Roman" w:hAnsi="Times New Roman"/>
          <w:sz w:val="14"/>
          <w:szCs w:val="14"/>
          <w:color w:val="auto"/>
        </w:rPr>
        <w:t>(“ASC 808”). In making the determination, the Company considers whether the arrangement involves joint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spacing w:after="0" w:line="141" w:lineRule="exact"/>
        <w:rPr>
          <w:sz w:val="20"/>
          <w:szCs w:val="20"/>
          <w:color w:val="auto"/>
        </w:rPr>
      </w:pPr>
    </w:p>
    <w:p>
      <w:pPr>
        <w:ind w:left="760" w:right="879" w:firstLine="249"/>
        <w:spacing w:after="0" w:line="258" w:lineRule="auto"/>
        <w:rPr>
          <w:sz w:val="20"/>
          <w:szCs w:val="20"/>
          <w:color w:val="auto"/>
        </w:rPr>
      </w:pPr>
      <w:r>
        <w:rPr>
          <w:rFonts w:ascii="Times New Roman" w:cs="Times New Roman" w:eastAsia="Times New Roman" w:hAnsi="Times New Roman"/>
          <w:sz w:val="14"/>
          <w:szCs w:val="14"/>
          <w:color w:val="auto"/>
        </w:rPr>
        <w:t xml:space="preserve">The Company assesses each collaborative arrangement to determine whether it is in scope for ASC Topic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In making the determination, the Company considers if some or all aspects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arrangement represent a transaction with a customer. All of the JDAs entered into by the Company to date have been concluded to be arrangements outside the scope of ASC 606. As a result, no revenue has been recognized by the Company.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F-90</w:t>
      </w:r>
    </w:p>
    <w:p>
      <w:pPr>
        <w:sectPr>
          <w:pgSz w:w="11900" w:h="16838" w:orient="portrait"/>
          <w:cols w:equalWidth="0" w:num="1">
            <w:col w:w="9019"/>
          </w:cols>
          <w:pgMar w:left="1440" w:top="572" w:right="1440" w:bottom="1440" w:gutter="0" w:footer="0" w:header="0"/>
        </w:sectPr>
      </w:pPr>
    </w:p>
    <w:bookmarkStart w:id="228" w:name="page229"/>
    <w:bookmarkEnd w:id="22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72294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01945" cy="722947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recognized approximately $3,410 and $34, respectively in expense reimbursements from arrangements, which are recorded net within research and development expenses on the condensed consolidated statements of operations. The Company had one partner that accounted for $3,360 in expense reimbursements for the three months ended March 31, 2026.</w:t>
      </w:r>
    </w:p>
    <w:p>
      <w:pPr>
        <w:spacing w:after="0" w:line="142"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spacing w:after="0" w:line="142" w:lineRule="exact"/>
        <w:rPr>
          <w:sz w:val="20"/>
          <w:szCs w:val="20"/>
          <w:color w:val="auto"/>
        </w:rPr>
      </w:pPr>
    </w:p>
    <w:p>
      <w:pPr>
        <w:ind w:left="760" w:right="1099" w:firstLine="249"/>
        <w:spacing w:after="0" w:line="262" w:lineRule="auto"/>
        <w:rPr>
          <w:sz w:val="20"/>
          <w:szCs w:val="20"/>
          <w:color w:val="auto"/>
        </w:rPr>
      </w:pPr>
      <w:r>
        <w:rPr>
          <w:rFonts w:ascii="Times New Roman" w:cs="Times New Roman" w:eastAsia="Times New Roman" w:hAnsi="Times New Roman"/>
          <w:sz w:val="14"/>
          <w:szCs w:val="14"/>
          <w:color w:val="auto"/>
        </w:rPr>
        <w:t>In January 2026, the Company entered into a partnership agreement with a note holder as further described in Note 7. The partnership agreement includes up to $900 of consideration for the performance of research and development services to the note holder.</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Deferred Transaction Costs</w:t>
      </w:r>
    </w:p>
    <w:p>
      <w:pPr>
        <w:spacing w:after="0" w:line="151" w:lineRule="exact"/>
        <w:rPr>
          <w:sz w:val="20"/>
          <w:szCs w:val="20"/>
          <w:color w:val="auto"/>
        </w:rPr>
      </w:pPr>
    </w:p>
    <w:p>
      <w:pPr>
        <w:ind w:left="760" w:right="799" w:firstLine="249"/>
        <w:spacing w:after="0" w:line="254" w:lineRule="auto"/>
        <w:rPr>
          <w:sz w:val="20"/>
          <w:szCs w:val="20"/>
          <w:color w:val="auto"/>
        </w:rPr>
      </w:pPr>
      <w:r>
        <w:rPr>
          <w:rFonts w:ascii="Times New Roman" w:cs="Times New Roman" w:eastAsia="Times New Roman" w:hAnsi="Times New Roman"/>
          <w:sz w:val="14"/>
          <w:szCs w:val="14"/>
          <w:color w:val="auto"/>
        </w:rPr>
        <w:t xml:space="preserve">The Company complies with the requirements of ASC 340, </w:t>
      </w:r>
      <w:r>
        <w:rPr>
          <w:rFonts w:ascii="Times New Roman" w:cs="Times New Roman" w:eastAsia="Times New Roman" w:hAnsi="Times New Roman"/>
          <w:sz w:val="14"/>
          <w:szCs w:val="14"/>
          <w:i w:val="1"/>
          <w:iCs w:val="1"/>
          <w:color w:val="auto"/>
        </w:rPr>
        <w:t>Other Assets and Deferred Costs</w:t>
      </w:r>
      <w:r>
        <w:rPr>
          <w:rFonts w:ascii="Times New Roman" w:cs="Times New Roman" w:eastAsia="Times New Roman" w:hAnsi="Times New Roman"/>
          <w:sz w:val="14"/>
          <w:szCs w:val="14"/>
          <w:color w:val="auto"/>
        </w:rPr>
        <w:t>, with regards to transaction costs. Prior to the completion of the transaction (potential business combination with Cartesian Growth Corporation III) as mentioned in Note 1 of the audited annual consolidated financial statements for the year ended December 31, 2025, direct transaction costs are capitalized as deferred transaction costs. If the transaction is completed, the deferred transaction costs are charged to additional paid-in capital and offset the proceeds received from the potential business combination. As of March 31, 2026, and December 31, 2025, the Company had $3,468 and $1,423 of deferred transaction costs incurred, respectively.</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 Fair Value</w:t>
      </w:r>
    </w:p>
    <w:p>
      <w:pPr>
        <w:spacing w:after="0" w:line="142"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 xml:space="preserve">During January 2026, the Company entered into Note Purchase Agreements and a Convertible Promissory Note Agreement pursuant to which it could receive proceeds up to $5,340 (the “January 2026 Notes”) from new investors. The Company determined that it is eligible for the fair value option election in connection with the Convertible Promissory Notes. The Convertible Promissory Notes meet the definition of a “recognized financial liability” which is an acceptable financial instrument eligible for the fair value option under ASC Topic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w:t>
      </w:r>
    </w:p>
    <w:p>
      <w:pPr>
        <w:spacing w:after="0" w:line="123" w:lineRule="exact"/>
        <w:rPr>
          <w:sz w:val="20"/>
          <w:szCs w:val="20"/>
          <w:color w:val="auto"/>
        </w:rPr>
      </w:pPr>
    </w:p>
    <w:p>
      <w:pPr>
        <w:ind w:left="760" w:right="999" w:firstLine="249"/>
        <w:spacing w:after="0" w:line="262" w:lineRule="auto"/>
        <w:rPr>
          <w:sz w:val="20"/>
          <w:szCs w:val="20"/>
          <w:color w:val="auto"/>
        </w:rPr>
      </w:pPr>
      <w:r>
        <w:rPr>
          <w:rFonts w:ascii="Times New Roman" w:cs="Times New Roman" w:eastAsia="Times New Roman" w:hAnsi="Times New Roman"/>
          <w:sz w:val="14"/>
          <w:szCs w:val="14"/>
          <w:color w:val="auto"/>
        </w:rPr>
        <w:t>Changes in the fair value of the Convertible Promissory Notes are recorded as gains or losses in the Company’s consolidated statements of operations in each reporting period. For the three months ended March 31, 2026, the Company recorded a loss on the change in fair value of convertible promissory notes of $300.</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42" w:lineRule="exact"/>
        <w:rPr>
          <w:sz w:val="20"/>
          <w:szCs w:val="20"/>
          <w:color w:val="auto"/>
        </w:rPr>
      </w:pPr>
    </w:p>
    <w:p>
      <w:pPr>
        <w:ind w:left="760" w:right="779" w:firstLine="249"/>
        <w:spacing w:after="0" w:line="252"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 specified effective date. After completion of the business combination described in Note 15, the Company expects it will be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spacing w:after="0" w:line="123" w:lineRule="exact"/>
        <w:rPr>
          <w:sz w:val="20"/>
          <w:szCs w:val="20"/>
          <w:color w:val="auto"/>
        </w:rPr>
      </w:pPr>
    </w:p>
    <w:p>
      <w:pPr>
        <w:ind w:left="760" w:right="899" w:firstLine="249"/>
        <w:spacing w:after="0" w:line="251" w:lineRule="auto"/>
        <w:rPr>
          <w:sz w:val="20"/>
          <w:szCs w:val="20"/>
          <w:color w:val="auto"/>
        </w:rPr>
      </w:pPr>
      <w:r>
        <w:rPr>
          <w:rFonts w:ascii="Times New Roman" w:cs="Times New Roman" w:eastAsia="Times New Roman" w:hAnsi="Times New Roman"/>
          <w:sz w:val="14"/>
          <w:szCs w:val="14"/>
          <w:color w:val="auto"/>
        </w:rPr>
        <w:t>In July 2025, the FASB issued ASU 2025-05, Financial Instruments</w:t>
      </w:r>
      <w:r>
        <w:rPr>
          <w:rFonts w:ascii="Arial" w:cs="Arial" w:eastAsia="Arial" w:hAnsi="Arial"/>
          <w:sz w:val="14"/>
          <w:szCs w:val="14"/>
          <w:color w:val="auto"/>
        </w:rPr>
        <w:t>—</w:t>
      </w:r>
      <w:r>
        <w:rPr>
          <w:rFonts w:ascii="Times New Roman" w:cs="Times New Roman" w:eastAsia="Times New Roman" w:hAnsi="Times New Roman"/>
          <w:sz w:val="14"/>
          <w:szCs w:val="14"/>
          <w:color w:val="auto"/>
        </w:rPr>
        <w:t>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the guidance effective January 1, 2026. The adoption did not have a material impact on its accounting policies, financial position, results of operations, or cash flows, given the short-term nature and historically no loss experience of its trade receivables and contract assets.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F-91</w:t>
      </w:r>
    </w:p>
    <w:p>
      <w:pPr>
        <w:sectPr>
          <w:pgSz w:w="11900" w:h="16838" w:orient="portrait"/>
          <w:cols w:equalWidth="0" w:num="1">
            <w:col w:w="9019"/>
          </w:cols>
          <w:pgMar w:left="1440" w:top="572" w:right="1440" w:bottom="1440" w:gutter="0" w:footer="0" w:header="0"/>
        </w:sectPr>
      </w:pPr>
    </w:p>
    <w:bookmarkStart w:id="229" w:name="page230"/>
    <w:bookmarkEnd w:id="22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 Not Yet Adopted</w:t>
      </w:r>
    </w:p>
    <w:p>
      <w:pPr>
        <w:spacing w:after="0" w:line="142" w:lineRule="exact"/>
        <w:rPr>
          <w:sz w:val="20"/>
          <w:szCs w:val="20"/>
          <w:color w:val="auto"/>
        </w:rPr>
      </w:pPr>
    </w:p>
    <w:p>
      <w:pPr>
        <w:ind w:left="760" w:right="839" w:firstLine="249"/>
        <w:spacing w:after="0" w:line="253" w:lineRule="auto"/>
        <w:rPr>
          <w:sz w:val="20"/>
          <w:szCs w:val="20"/>
          <w:color w:val="auto"/>
        </w:rPr>
      </w:pPr>
      <w:r>
        <w:rPr>
          <w:rFonts w:ascii="Times New Roman" w:cs="Times New Roman" w:eastAsia="Times New Roman" w:hAnsi="Times New Roman"/>
          <w:sz w:val="14"/>
          <w:szCs w:val="14"/>
          <w:color w:val="auto"/>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3 - FAIR VALUE MEASURES</w:t>
      </w:r>
    </w:p>
    <w:p>
      <w:pPr>
        <w:spacing w:after="0" w:line="173" w:lineRule="exact"/>
        <w:rPr>
          <w:sz w:val="20"/>
          <w:szCs w:val="20"/>
          <w:color w:val="auto"/>
        </w:rPr>
      </w:pPr>
    </w:p>
    <w:p>
      <w:pPr>
        <w:jc w:val="both"/>
        <w:ind w:left="760" w:right="839" w:firstLine="249"/>
        <w:spacing w:after="0" w:line="262" w:lineRule="auto"/>
        <w:rPr>
          <w:sz w:val="20"/>
          <w:szCs w:val="20"/>
          <w:color w:val="auto"/>
        </w:rPr>
      </w:pPr>
      <w:r>
        <w:rPr>
          <w:rFonts w:ascii="Times New Roman" w:cs="Times New Roman" w:eastAsia="Times New Roman" w:hAnsi="Times New Roman"/>
          <w:sz w:val="14"/>
          <w:szCs w:val="14"/>
          <w:color w:val="auto"/>
        </w:rPr>
        <w:t>The Company’s financial assets subject to fair value measurements on a recurring basis. The following table presents information about the Company’s financial assets and liabilities measured at fair value and the level of input utilized to determine such fair values (in thousands):</w:t>
      </w:r>
    </w:p>
    <w:p>
      <w:pPr>
        <w:spacing w:after="0" w:line="13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60" w:type="dxa"/>
            <w:vAlign w:val="bottom"/>
            <w:gridSpan w:val="13"/>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9"/>
              </w:rPr>
              <w:t>Fair value measurements as of March 31, 2026</w:t>
            </w:r>
          </w:p>
        </w:tc>
        <w:tc>
          <w:tcPr>
            <w:tcW w:w="0" w:type="dxa"/>
            <w:vAlign w:val="bottom"/>
          </w:tcPr>
          <w:p>
            <w:pPr>
              <w:spacing w:after="0"/>
              <w:rPr>
                <w:sz w:val="1"/>
                <w:szCs w:val="1"/>
                <w:color w:val="auto"/>
              </w:rPr>
            </w:pPr>
          </w:p>
        </w:tc>
      </w:tr>
      <w:tr>
        <w:trPr>
          <w:trHeight w:val="115"/>
        </w:trPr>
        <w:tc>
          <w:tcPr>
            <w:tcW w:w="356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94"/>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32"/>
              <w:spacing w:after="0" w:line="115"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2"/>
              <w:spacing w:after="0" w:line="115"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gridSpan w:val="2"/>
            <w:shd w:val="clear" w:color="auto" w:fill="CCEEFF"/>
          </w:tcPr>
          <w:p>
            <w:pPr>
              <w:jc w:val="right"/>
              <w:ind w:right="88"/>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Money market (included in cash and cash equivalents)</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Money market (included in restricted cash)</w:t>
            </w:r>
          </w:p>
        </w:tc>
        <w:tc>
          <w:tcPr>
            <w:tcW w:w="5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11,129</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11,129</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ind w:left="42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 liability Series B-1</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Warrant liability Series D</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promissory notes – related parties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5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4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28,380</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ind w:left="4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28,380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13"/>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9"/>
              </w:rPr>
              <w:t>Fair value measurements as of December 31, 2025</w:t>
            </w:r>
          </w:p>
        </w:tc>
        <w:tc>
          <w:tcPr>
            <w:tcW w:w="0" w:type="dxa"/>
            <w:vAlign w:val="bottom"/>
          </w:tcPr>
          <w:p>
            <w:pPr>
              <w:spacing w:after="0"/>
              <w:rPr>
                <w:sz w:val="1"/>
                <w:szCs w:val="1"/>
                <w:color w:val="auto"/>
              </w:rPr>
            </w:pPr>
          </w:p>
        </w:tc>
      </w:tr>
      <w:tr>
        <w:trPr>
          <w:trHeight w:val="115"/>
        </w:trPr>
        <w:tc>
          <w:tcPr>
            <w:tcW w:w="356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94"/>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32"/>
              <w:spacing w:after="0" w:line="115"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2"/>
              <w:spacing w:after="0" w:line="115" w:lineRule="exact"/>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gridSpan w:val="2"/>
            <w:shd w:val="clear" w:color="auto" w:fill="CCEEFF"/>
          </w:tcPr>
          <w:p>
            <w:pPr>
              <w:jc w:val="right"/>
              <w:ind w:right="88"/>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Money market (included in cash and cash equivalents)</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Money market (included in restricted cash)</w:t>
            </w:r>
          </w:p>
        </w:tc>
        <w:tc>
          <w:tcPr>
            <w:tcW w:w="5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Borders>
              <w:bottom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15,033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15,033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ind w:left="42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 liability Series B-1</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Warrant liability Series D</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promissory notes – related parties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5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6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4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22,267</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ind w:left="4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22,267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F-92</w:t>
      </w:r>
    </w:p>
    <w:p>
      <w:pPr>
        <w:sectPr>
          <w:pgSz w:w="11900" w:h="16838" w:orient="portrait"/>
          <w:cols w:equalWidth="0" w:num="1">
            <w:col w:w="9019"/>
          </w:cols>
          <w:pgMar w:left="1440" w:top="572" w:right="1440" w:bottom="1440" w:gutter="0" w:footer="0" w:header="0"/>
        </w:sectPr>
      </w:pPr>
    </w:p>
    <w:bookmarkStart w:id="230" w:name="page231"/>
    <w:bookmarkEnd w:id="23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following table presents a roll-forward of the aggregate fair values of the Company’s Warrant liabilities and the Company’s Convertible promissory notes for which fair value is determined by Level 3 inputs (in thousands):</w:t>
      </w:r>
    </w:p>
    <w:p>
      <w:pPr>
        <w:spacing w:after="0" w:line="119"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2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5"/>
        </w:trPr>
        <w:tc>
          <w:tcPr>
            <w:tcW w:w="2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1"/>
                <w:szCs w:val="11"/>
                <w:b w:val="1"/>
                <w:bCs w:val="1"/>
                <w:color w:val="auto"/>
              </w:rPr>
              <w:t>Promissory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5"/>
        </w:trPr>
        <w:tc>
          <w:tcPr>
            <w:tcW w:w="2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3"/>
              <w:spacing w:after="0" w:line="125"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Convertible</w:t>
            </w:r>
          </w:p>
        </w:tc>
      </w:tr>
      <w:tr>
        <w:trPr>
          <w:trHeight w:val="135"/>
        </w:trPr>
        <w:tc>
          <w:tcPr>
            <w:tcW w:w="2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Liability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Promissory</w:t>
            </w:r>
          </w:p>
        </w:tc>
      </w:tr>
      <w:tr>
        <w:trPr>
          <w:trHeight w:val="133"/>
        </w:trPr>
        <w:tc>
          <w:tcPr>
            <w:tcW w:w="2780" w:type="dxa"/>
            <w:vAlign w:val="bottom"/>
          </w:tcPr>
          <w:p>
            <w:pPr>
              <w:spacing w:after="0"/>
              <w:rPr>
                <w:sz w:val="11"/>
                <w:szCs w:val="11"/>
                <w:color w:val="auto"/>
              </w:rPr>
            </w:pP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Series B - 1</w:t>
            </w:r>
          </w:p>
        </w:tc>
        <w:tc>
          <w:tcPr>
            <w:tcW w:w="26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Series 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Parties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8"/>
              </w:rPr>
              <w:t>Notes</w:t>
            </w:r>
          </w:p>
        </w:tc>
      </w:tr>
      <w:tr>
        <w:trPr>
          <w:trHeight w:val="157"/>
        </w:trPr>
        <w:tc>
          <w:tcPr>
            <w:tcW w:w="27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December 31, 2024</w:t>
            </w:r>
          </w:p>
        </w:tc>
        <w:tc>
          <w:tcPr>
            <w:tcW w:w="6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1,148</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1,034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convertible promissory notes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w:t>
            </w: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27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March 31, 2025</w:t>
            </w:r>
          </w:p>
        </w:tc>
        <w:tc>
          <w:tcPr>
            <w:tcW w:w="6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1,148</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57"/>
        </w:trPr>
        <w:tc>
          <w:tcPr>
            <w:tcW w:w="27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Issuance of convertible promissory notes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w:t>
            </w: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27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December 31, 2025</w:t>
            </w:r>
          </w:p>
        </w:tc>
        <w:tc>
          <w:tcPr>
            <w:tcW w:w="6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22,267</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608</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2,770</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18,889</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57"/>
        </w:trPr>
        <w:tc>
          <w:tcPr>
            <w:tcW w:w="27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Issuance of convertible promissory notes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4,300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4,300</w:t>
            </w:r>
          </w:p>
        </w:tc>
      </w:tr>
      <w:tr>
        <w:trPr>
          <w:trHeight w:val="16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w:t>
            </w: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57"/>
        </w:trPr>
        <w:tc>
          <w:tcPr>
            <w:tcW w:w="27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March 31, 2026</w:t>
            </w:r>
          </w:p>
        </w:tc>
        <w:tc>
          <w:tcPr>
            <w:tcW w:w="6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28,380</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681</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2,803</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20,296</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4,600</w:t>
            </w:r>
          </w:p>
        </w:tc>
      </w:tr>
    </w:tbl>
    <w:p>
      <w:pPr>
        <w:spacing w:after="0" w:line="151"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 Series B-1</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 Series D</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connection with the issuance of Series D redeemable convertible preferred stock of the Company (“Series D”) on</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November 30, 2021, the Company entered into a warrant for preferred stock with each of Mercedes-Benz Investment Company LLC</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and Stellantis(each a “Holder”) (“Series D Agreement”). Upon closing of the Series D Agreement, Mercedes-Benz Investment</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Company LLC and its affiliates (“Mercedes-Benz”) and Stellantis became related parties to the Company. During 2022, the Warrant</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Agreements were amended and restated with both Stellantis and Mercedes-Benz to eliminate certain milestone-based provisions.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Amended Warrants modified the original agreements by setting the number of shares issuable upon exercise at a fixed 137,814 shares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per Holder at a fixed price of $27.2105 per share. The warrants have a maturity date of February 1, 2029, or the closing of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Company’s Initial Public Offering. The Amended Warrants remain consistent with the Warrant Agreements to require settlement</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through the issuance of the then most senior redeemable convertible preferred stock of the Company to the Holder. At inception, the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monetary value of the obligation is based on a fixed monetary amount known at inception.</w:t>
      </w:r>
    </w:p>
    <w:p>
      <w:pPr>
        <w:spacing w:after="0" w:line="156" w:lineRule="exact"/>
        <w:rPr>
          <w:sz w:val="20"/>
          <w:szCs w:val="20"/>
          <w:color w:val="auto"/>
        </w:rPr>
      </w:pPr>
    </w:p>
    <w:p>
      <w:pPr>
        <w:ind w:left="760" w:right="799" w:firstLine="249"/>
        <w:spacing w:after="0" w:line="252" w:lineRule="auto"/>
        <w:rPr>
          <w:sz w:val="20"/>
          <w:szCs w:val="20"/>
          <w:color w:val="auto"/>
        </w:rPr>
      </w:pPr>
      <w:r>
        <w:rPr>
          <w:rFonts w:ascii="Times New Roman" w:cs="Times New Roman" w:eastAsia="Times New Roman" w:hAnsi="Times New Roman"/>
          <w:sz w:val="14"/>
          <w:szCs w:val="14"/>
          <w:color w:val="auto"/>
        </w:rPr>
        <w:t>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90% weighting to the SPAC Exit Scenario and 10% to the Option Pricing Method (“OPM”) scenario as of March 31, 2026. The Company applied a 75% weighting to the SPAC Exit Scenario and 25% to the OPM scenario as of December 31, 2025.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F-93</w:t>
      </w:r>
    </w:p>
    <w:p>
      <w:pPr>
        <w:sectPr>
          <w:pgSz w:w="11900" w:h="16838" w:orient="portrait"/>
          <w:cols w:equalWidth="0" w:num="1">
            <w:col w:w="9019"/>
          </w:cols>
          <w:pgMar w:left="1440" w:top="572" w:right="1440" w:bottom="1440" w:gutter="0" w:footer="0" w:header="0"/>
        </w:sectPr>
      </w:pPr>
    </w:p>
    <w:bookmarkStart w:id="231" w:name="page232"/>
    <w:bookmarkEnd w:id="23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assumptions used in valuing the Series B-1 and D Warrant Agreements in the SPAC Exit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March 31, 2026:</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00" w:type="dxa"/>
            <w:vAlign w:val="bottom"/>
          </w:tcPr>
          <w:p>
            <w:pPr>
              <w:ind w:left="5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Discount rate</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4"/>
                <w:szCs w:val="14"/>
                <w:color w:val="auto"/>
              </w:rPr>
            </w:pPr>
          </w:p>
        </w:tc>
      </w:tr>
      <w:tr>
        <w:trPr>
          <w:trHeight w:val="16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projected price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60" w:type="dxa"/>
            <w:vAlign w:val="bottom"/>
            <w:shd w:val="clear" w:color="auto" w:fill="CCEEFF"/>
          </w:tcPr>
          <w:p>
            <w:pPr>
              <w:spacing w:after="0"/>
              <w:rPr>
                <w:sz w:val="14"/>
                <w:szCs w:val="14"/>
                <w:color w:val="auto"/>
              </w:rPr>
            </w:pPr>
          </w:p>
        </w:tc>
      </w:tr>
      <w:tr>
        <w:trPr>
          <w:trHeight w:val="181"/>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60" w:type="dxa"/>
            <w:vAlign w:val="bottom"/>
          </w:tcPr>
          <w:p>
            <w:pPr>
              <w:spacing w:after="0"/>
              <w:rPr>
                <w:sz w:val="15"/>
                <w:szCs w:val="15"/>
                <w:color w:val="auto"/>
              </w:rPr>
            </w:pPr>
          </w:p>
        </w:tc>
      </w:tr>
    </w:tbl>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assumptions used in valuing the Series B-1 and D Warrant Agreements in the SPAC Exit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00" w:type="dxa"/>
            <w:vAlign w:val="bottom"/>
          </w:tcPr>
          <w:p>
            <w:pPr>
              <w:ind w:left="5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Discount rate</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60" w:type="dxa"/>
            <w:vAlign w:val="bottom"/>
          </w:tcPr>
          <w:p>
            <w:pPr>
              <w:spacing w:after="0"/>
              <w:rPr>
                <w:sz w:val="14"/>
                <w:szCs w:val="14"/>
                <w:color w:val="auto"/>
              </w:rPr>
            </w:pPr>
          </w:p>
        </w:tc>
      </w:tr>
      <w:tr>
        <w:trPr>
          <w:trHeight w:val="16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projected price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60" w:type="dxa"/>
            <w:vAlign w:val="bottom"/>
            <w:shd w:val="clear" w:color="auto" w:fill="CCEEFF"/>
          </w:tcPr>
          <w:p>
            <w:pPr>
              <w:spacing w:after="0"/>
              <w:rPr>
                <w:sz w:val="14"/>
                <w:szCs w:val="14"/>
                <w:color w:val="auto"/>
              </w:rPr>
            </w:pPr>
          </w:p>
        </w:tc>
      </w:tr>
      <w:tr>
        <w:trPr>
          <w:trHeight w:val="181"/>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60" w:type="dxa"/>
            <w:vAlign w:val="bottom"/>
          </w:tcPr>
          <w:p>
            <w:pPr>
              <w:spacing w:after="0"/>
              <w:rPr>
                <w:sz w:val="15"/>
                <w:szCs w:val="15"/>
                <w:color w:val="auto"/>
              </w:rPr>
            </w:pPr>
          </w:p>
        </w:tc>
      </w:tr>
    </w:tbl>
    <w:p>
      <w:pPr>
        <w:spacing w:after="0" w:line="136" w:lineRule="exact"/>
        <w:rPr>
          <w:sz w:val="20"/>
          <w:szCs w:val="20"/>
          <w:color w:val="auto"/>
        </w:rPr>
      </w:pPr>
    </w:p>
    <w:p>
      <w:pPr>
        <w:ind w:left="760" w:right="779" w:firstLine="249"/>
        <w:spacing w:after="0" w:line="257"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spacing w:after="0" w:line="142" w:lineRule="exact"/>
        <w:rPr>
          <w:sz w:val="20"/>
          <w:szCs w:val="20"/>
          <w:color w:val="auto"/>
        </w:rPr>
      </w:pPr>
    </w:p>
    <w:p>
      <w:pPr>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The expected life is based upon the fact that the Warrant Agreements would not persist through a liquidity event, and therefore the expected life is based upon management’s estimated holding period to an exit/liquidity event.</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the assumptions used in valuing the Series B-1 and D Warrant Agreements in the OPM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March 31, 2026:</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4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Share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18.16</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33.61</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100" w:type="dxa"/>
            <w:vAlign w:val="bottom"/>
          </w:tcPr>
          <w:p>
            <w:pPr>
              <w:spacing w:after="0"/>
              <w:rPr>
                <w:sz w:val="14"/>
                <w:szCs w:val="14"/>
                <w:color w:val="auto"/>
              </w:rPr>
            </w:pPr>
          </w:p>
        </w:tc>
        <w:tc>
          <w:tcPr>
            <w:tcW w:w="86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90 %</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are the assumptions used in valuing the Series B-1 and D Warrant Agreements in the OPM scenario, as of</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564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57"/>
        </w:trPr>
        <w:tc>
          <w:tcPr>
            <w:tcW w:w="56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Share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18.14</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33.71</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100" w:type="dxa"/>
            <w:vAlign w:val="bottom"/>
          </w:tcPr>
          <w:p>
            <w:pPr>
              <w:spacing w:after="0"/>
              <w:rPr>
                <w:sz w:val="14"/>
                <w:szCs w:val="14"/>
                <w:color w:val="auto"/>
              </w:rPr>
            </w:pPr>
          </w:p>
        </w:tc>
        <w:tc>
          <w:tcPr>
            <w:tcW w:w="86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90 %</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6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r>
      <w:tr>
        <w:trPr>
          <w:trHeight w:val="16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51" w:lineRule="exact"/>
        <w:rPr>
          <w:sz w:val="20"/>
          <w:szCs w:val="20"/>
          <w:color w:val="auto"/>
        </w:rPr>
      </w:pPr>
    </w:p>
    <w:p>
      <w:pPr>
        <w:ind w:left="760" w:right="839" w:firstLine="249"/>
        <w:spacing w:after="0" w:line="252" w:lineRule="auto"/>
        <w:rPr>
          <w:sz w:val="20"/>
          <w:szCs w:val="20"/>
          <w:color w:val="auto"/>
        </w:rPr>
      </w:pPr>
      <w:r>
        <w:rPr>
          <w:rFonts w:ascii="Times New Roman" w:cs="Times New Roman" w:eastAsia="Times New Roman" w:hAnsi="Times New Roman"/>
          <w:sz w:val="14"/>
          <w:szCs w:val="14"/>
          <w:color w:val="auto"/>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F-94</w:t>
      </w:r>
    </w:p>
    <w:p>
      <w:pPr>
        <w:sectPr>
          <w:pgSz w:w="11900" w:h="16838" w:orient="portrait"/>
          <w:cols w:equalWidth="0" w:num="1">
            <w:col w:w="9019"/>
          </w:cols>
          <w:pgMar w:left="1440" w:top="571" w:right="1440" w:bottom="1440" w:gutter="0" w:footer="0" w:header="0"/>
        </w:sectPr>
      </w:pPr>
    </w:p>
    <w:bookmarkStart w:id="232" w:name="page233"/>
    <w:bookmarkEnd w:id="23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840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01945" cy="7084060"/>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spacing w:after="0" w:line="142" w:lineRule="exact"/>
        <w:rPr>
          <w:sz w:val="20"/>
          <w:szCs w:val="20"/>
          <w:color w:val="auto"/>
        </w:rPr>
      </w:pPr>
    </w:p>
    <w:p>
      <w:pPr>
        <w:ind w:left="760" w:right="879" w:firstLine="249"/>
        <w:spacing w:after="0" w:line="278" w:lineRule="auto"/>
        <w:rPr>
          <w:sz w:val="20"/>
          <w:szCs w:val="20"/>
          <w:color w:val="auto"/>
        </w:rPr>
      </w:pPr>
      <w:r>
        <w:rPr>
          <w:rFonts w:ascii="Times New Roman" w:cs="Times New Roman" w:eastAsia="Times New Roman" w:hAnsi="Times New Roman"/>
          <w:sz w:val="14"/>
          <w:szCs w:val="14"/>
          <w:color w:val="auto"/>
        </w:rPr>
        <w:t>As of March 31, 2026, the Company had reserved 295,558 shares of common stock for potential conversion of Series B-1 and D Warrants.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 – Related Parties</w:t>
      </w:r>
    </w:p>
    <w:p>
      <w:pPr>
        <w:spacing w:after="0" w:line="173"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assumptions used in determining the fair value of the August 2025 Notes under the SBM during the three months ended</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March 31, 2026, were as follows: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6340" w:type="dxa"/>
            <w:vAlign w:val="bottom"/>
          </w:tcPr>
          <w:p>
            <w:pPr>
              <w:ind w:left="62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35"/>
        </w:trPr>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r>
      <w:tr>
        <w:trPr>
          <w:trHeight w:val="133"/>
        </w:trPr>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r>
      <w:tr>
        <w:trPr>
          <w:trHeight w:val="157"/>
        </w:trPr>
        <w:tc>
          <w:tcPr>
            <w:tcW w:w="63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SPAC Exit Scenario</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Qualified Financing Scenario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Dissolution Scenario</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4"/>
                <w:szCs w:val="14"/>
                <w:color w:val="auto"/>
              </w:rPr>
            </w:pP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discount rate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1"/>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Share value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The assumptions used in determining the fair value of the August 2025 Notes under the SBM as of December 31, 2025, were as follows:</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6340" w:type="dxa"/>
            <w:vAlign w:val="bottom"/>
          </w:tcPr>
          <w:p>
            <w:pPr>
              <w:ind w:left="62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Series D</w:t>
            </w:r>
          </w:p>
        </w:tc>
      </w:tr>
      <w:tr>
        <w:trPr>
          <w:trHeight w:val="133"/>
        </w:trPr>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7"/>
        </w:trPr>
        <w:tc>
          <w:tcPr>
            <w:tcW w:w="63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SPAC Exit Scenario</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Qualified Financing Scenario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Dissolution Scenario</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Assumed volatility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risk-free interest rate</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20" w:type="dxa"/>
            <w:vAlign w:val="bottom"/>
          </w:tcPr>
          <w:p>
            <w:pPr>
              <w:spacing w:after="0"/>
              <w:rPr>
                <w:sz w:val="14"/>
                <w:szCs w:val="14"/>
                <w:color w:val="auto"/>
              </w:rPr>
            </w:pPr>
          </w:p>
        </w:tc>
      </w:tr>
      <w:tr>
        <w:trPr>
          <w:trHeight w:val="16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discount rate</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1"/>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Share value</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20" w:type="dxa"/>
            <w:vAlign w:val="bottom"/>
          </w:tcPr>
          <w:p>
            <w:pPr>
              <w:spacing w:after="0"/>
              <w:rPr>
                <w:sz w:val="15"/>
                <w:szCs w:val="15"/>
                <w:color w:val="auto"/>
              </w:rPr>
            </w:pPr>
          </w:p>
        </w:tc>
      </w:tr>
    </w:tbl>
    <w:p>
      <w:pPr>
        <w:spacing w:after="0" w:line="136" w:lineRule="exact"/>
        <w:rPr>
          <w:sz w:val="20"/>
          <w:szCs w:val="20"/>
          <w:color w:val="auto"/>
        </w:rPr>
      </w:pPr>
    </w:p>
    <w:p>
      <w:pPr>
        <w:ind w:left="760" w:right="819" w:firstLine="249"/>
        <w:spacing w:after="0" w:line="257" w:lineRule="auto"/>
        <w:rPr>
          <w:sz w:val="20"/>
          <w:szCs w:val="20"/>
          <w:color w:val="auto"/>
        </w:rPr>
      </w:pPr>
      <w:r>
        <w:rPr>
          <w:rFonts w:ascii="Times New Roman" w:cs="Times New Roman" w:eastAsia="Times New Roman" w:hAnsi="Times New Roman"/>
          <w:sz w:val="14"/>
          <w:szCs w:val="14"/>
          <w:color w:val="auto"/>
        </w:rPr>
        <w:t>To estimate the share value of the Series D redeemable convertible preferred stock we used a PWERM. The two scenarios used in the estimation of the Series D redeemable convertible preferred stock are a SPAC Exit scenario and Option Pricing Method scenario. As of March 31, 2026, we applied a 85% weighting to the SPAC Exit scenario and 15% weighting to the Option Pricing Method scenario.</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w:t>
      </w:r>
    </w:p>
    <w:p>
      <w:pPr>
        <w:spacing w:after="0" w:line="173"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To estimate the fair value of the January 2026 Notes, the Company applied the SBM method. The fair value of the January 2026 Notes includes an estimate of the value of accrued interest. The significant unobservable inputs used in the fair value measurement of the January 2026 Notes are the underlying share value, the expected life, assumed volatility, assumed discount rate, share value, and the probability of scenarios.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F-95</w:t>
      </w:r>
    </w:p>
    <w:p>
      <w:pPr>
        <w:sectPr>
          <w:pgSz w:w="11900" w:h="16838" w:orient="portrait"/>
          <w:cols w:equalWidth="0" w:num="1">
            <w:col w:w="9019"/>
          </w:cols>
          <w:pgMar w:left="1440" w:top="572" w:right="1440" w:bottom="1440" w:gutter="0" w:footer="0" w:header="0"/>
        </w:sectPr>
      </w:pPr>
    </w:p>
    <w:bookmarkStart w:id="233" w:name="page234"/>
    <w:bookmarkEnd w:id="233"/>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assumptions used in determining the fair value of the January 2026 Notes under the SBM during the three months ended</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March 31, 2026, were as follows:</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6140" w:type="dxa"/>
            <w:vAlign w:val="bottom"/>
            <w:gridSpan w:val="3"/>
          </w:tcPr>
          <w:p>
            <w:pPr>
              <w:ind w:left="4980"/>
              <w:spacing w:after="0"/>
              <w:rPr>
                <w:sz w:val="20"/>
                <w:szCs w:val="20"/>
                <w:color w:val="auto"/>
              </w:rPr>
            </w:pPr>
            <w:r>
              <w:rPr>
                <w:rFonts w:ascii="Times New Roman" w:cs="Times New Roman" w:eastAsia="Times New Roman" w:hAnsi="Times New Roman"/>
                <w:sz w:val="11"/>
                <w:szCs w:val="11"/>
                <w:b w:val="1"/>
                <w:bCs w:val="1"/>
                <w:color w:val="auto"/>
              </w:rPr>
              <w:t>​​​ Three Months Ended</w:t>
            </w:r>
          </w:p>
        </w:tc>
        <w:tc>
          <w:tcPr>
            <w:tcW w:w="40" w:type="dxa"/>
            <w:vAlign w:val="bottom"/>
          </w:tcPr>
          <w:p>
            <w:pPr>
              <w:spacing w:after="0"/>
              <w:rPr>
                <w:sz w:val="11"/>
                <w:szCs w:val="11"/>
                <w:color w:val="auto"/>
              </w:rPr>
            </w:pP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40" w:type="dxa"/>
            <w:vAlign w:val="bottom"/>
          </w:tcPr>
          <w:p>
            <w:pPr>
              <w:spacing w:after="0"/>
              <w:rPr>
                <w:sz w:val="11"/>
                <w:szCs w:val="11"/>
                <w:color w:val="auto"/>
              </w:rPr>
            </w:pPr>
          </w:p>
        </w:tc>
        <w:tc>
          <w:tcPr>
            <w:tcW w:w="26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January 26, 2026</w:t>
            </w:r>
          </w:p>
        </w:tc>
      </w:tr>
      <w:tr>
        <w:trPr>
          <w:trHeight w:val="157"/>
        </w:trPr>
        <w:tc>
          <w:tcPr>
            <w:tcW w:w="50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SPAC Exit Scenario</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85</w:t>
            </w:r>
          </w:p>
        </w:tc>
        <w:tc>
          <w:tcPr>
            <w:tcW w:w="200" w:type="dxa"/>
            <w:vAlign w:val="bottom"/>
            <w:tcBorders>
              <w:top w:val="single" w:sz="8" w:color="CCEEFF"/>
            </w:tcBorders>
            <w:gridSpan w:val="2"/>
            <w:shd w:val="clear" w:color="auto" w:fill="CCEEFF"/>
          </w:tcPr>
          <w:p>
            <w:pPr>
              <w:jc w:val="right"/>
              <w:ind w:right="25"/>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3"/>
                <w:szCs w:val="13"/>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Qualified Financing Scenario</w:t>
            </w:r>
          </w:p>
        </w:tc>
        <w:tc>
          <w:tcPr>
            <w:tcW w:w="120" w:type="dxa"/>
            <w:vAlign w:val="bottom"/>
          </w:tcPr>
          <w:p>
            <w:pPr>
              <w:spacing w:after="0"/>
              <w:rPr>
                <w:sz w:val="14"/>
                <w:szCs w:val="14"/>
                <w:color w:val="auto"/>
              </w:rPr>
            </w:pPr>
          </w:p>
        </w:tc>
        <w:tc>
          <w:tcPr>
            <w:tcW w:w="1160" w:type="dxa"/>
            <w:vAlign w:val="bottom"/>
            <w:gridSpan w:val="3"/>
          </w:tcPr>
          <w:p>
            <w:pPr>
              <w:jc w:val="right"/>
              <w:ind w:right="25"/>
              <w:spacing w:after="0"/>
              <w:rPr>
                <w:sz w:val="20"/>
                <w:szCs w:val="20"/>
                <w:color w:val="auto"/>
              </w:rPr>
            </w:pPr>
            <w:r>
              <w:rPr>
                <w:rFonts w:ascii="Times New Roman" w:cs="Times New Roman" w:eastAsia="Times New Roman" w:hAnsi="Times New Roman"/>
                <w:sz w:val="14"/>
                <w:szCs w:val="14"/>
                <w:color w:val="auto"/>
              </w:rPr>
              <w:t>7.5 %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4"/>
                <w:szCs w:val="14"/>
                <w:color w:val="auto"/>
              </w:rPr>
            </w:pPr>
          </w:p>
        </w:tc>
      </w:tr>
      <w:tr>
        <w:trPr>
          <w:trHeight w:val="16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Dissolution Scenario</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7.5 %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20" w:type="dxa"/>
            <w:vAlign w:val="bottom"/>
          </w:tcPr>
          <w:p>
            <w:pPr>
              <w:spacing w:after="0"/>
              <w:rPr>
                <w:sz w:val="14"/>
                <w:szCs w:val="14"/>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discount rate</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20 %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 w:type="dxa"/>
            <w:vAlign w:val="bottom"/>
          </w:tcPr>
          <w:p>
            <w:pPr>
              <w:spacing w:after="0"/>
              <w:rPr>
                <w:sz w:val="14"/>
                <w:szCs w:val="14"/>
                <w:color w:val="auto"/>
              </w:rPr>
            </w:pPr>
          </w:p>
        </w:tc>
      </w:tr>
      <w:tr>
        <w:trPr>
          <w:trHeight w:val="34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PROPERTY AND EQUIPMENT</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5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5060" w:type="dxa"/>
            <w:vAlign w:val="bottom"/>
          </w:tcPr>
          <w:p>
            <w:pPr>
              <w:ind w:left="49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31"/>
              <w:spacing w:after="0" w:line="115"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20" w:type="dxa"/>
            <w:vAlign w:val="bottom"/>
          </w:tcPr>
          <w:p>
            <w:pPr>
              <w:spacing w:after="0"/>
              <w:rPr>
                <w:sz w:val="10"/>
                <w:szCs w:val="10"/>
                <w:color w:val="auto"/>
              </w:rPr>
            </w:pPr>
          </w:p>
        </w:tc>
      </w:tr>
      <w:tr>
        <w:trPr>
          <w:trHeight w:val="157"/>
        </w:trPr>
        <w:tc>
          <w:tcPr>
            <w:tcW w:w="5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1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10,680</w:t>
            </w: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10,680</w:t>
            </w:r>
          </w:p>
        </w:tc>
        <w:tc>
          <w:tcPr>
            <w:tcW w:w="20" w:type="dxa"/>
            <w:vAlign w:val="bottom"/>
          </w:tcPr>
          <w:p>
            <w:pPr>
              <w:spacing w:after="0"/>
              <w:rPr>
                <w:sz w:val="13"/>
                <w:szCs w:val="13"/>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16,315</w:t>
            </w:r>
          </w:p>
        </w:tc>
        <w:tc>
          <w:tcPr>
            <w:tcW w:w="20" w:type="dxa"/>
            <w:vAlign w:val="bottom"/>
          </w:tcPr>
          <w:p>
            <w:pPr>
              <w:spacing w:after="0"/>
              <w:rPr>
                <w:sz w:val="14"/>
                <w:szCs w:val="14"/>
                <w:color w:val="auto"/>
              </w:rPr>
            </w:pPr>
          </w:p>
        </w:tc>
      </w:tr>
      <w:tr>
        <w:trPr>
          <w:trHeight w:val="16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tcPr>
          <w:p>
            <w:pPr>
              <w:spacing w:after="0"/>
              <w:rPr>
                <w:sz w:val="14"/>
                <w:szCs w:val="14"/>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Computer and software</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4"/>
                <w:szCs w:val="14"/>
                <w:color w:val="auto"/>
              </w:rPr>
            </w:pPr>
          </w:p>
        </w:tc>
      </w:tr>
      <w:tr>
        <w:trPr>
          <w:trHeight w:val="16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20" w:type="dxa"/>
            <w:vAlign w:val="bottom"/>
          </w:tcPr>
          <w:p>
            <w:pPr>
              <w:spacing w:after="0"/>
              <w:rPr>
                <w:sz w:val="14"/>
                <w:szCs w:val="14"/>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Building Fixtures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0" w:type="dxa"/>
            <w:vAlign w:val="bottom"/>
          </w:tcPr>
          <w:p>
            <w:pPr>
              <w:spacing w:after="0"/>
              <w:rPr>
                <w:sz w:val="14"/>
                <w:szCs w:val="14"/>
                <w:color w:val="auto"/>
              </w:rPr>
            </w:pPr>
          </w:p>
        </w:tc>
      </w:tr>
      <w:tr>
        <w:trPr>
          <w:trHeight w:val="16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0" w:type="dxa"/>
            <w:vAlign w:val="bottom"/>
          </w:tcPr>
          <w:p>
            <w:pPr>
              <w:spacing w:after="0"/>
              <w:rPr>
                <w:sz w:val="14"/>
                <w:szCs w:val="14"/>
                <w:color w:val="auto"/>
              </w:rPr>
            </w:pPr>
          </w:p>
        </w:tc>
      </w:tr>
      <w:tr>
        <w:trPr>
          <w:trHeight w:val="16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Advances on purchases of property and equipment</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 w:type="dxa"/>
            <w:vAlign w:val="bottom"/>
          </w:tcPr>
          <w:p>
            <w:pPr>
              <w:spacing w:after="0"/>
              <w:rPr>
                <w:sz w:val="14"/>
                <w:szCs w:val="14"/>
                <w:color w:val="auto"/>
              </w:rPr>
            </w:pPr>
          </w:p>
        </w:tc>
      </w:tr>
      <w:tr>
        <w:trPr>
          <w:trHeight w:val="157"/>
        </w:trPr>
        <w:tc>
          <w:tcPr>
            <w:tcW w:w="5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33,615</w:t>
            </w: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34,077</w:t>
            </w:r>
          </w:p>
        </w:tc>
        <w:tc>
          <w:tcPr>
            <w:tcW w:w="20" w:type="dxa"/>
            <w:vAlign w:val="bottom"/>
          </w:tcPr>
          <w:p>
            <w:pPr>
              <w:spacing w:after="0"/>
              <w:rPr>
                <w:sz w:val="13"/>
                <w:szCs w:val="13"/>
                <w:color w:val="auto"/>
              </w:rPr>
            </w:pPr>
          </w:p>
        </w:tc>
      </w:tr>
      <w:tr>
        <w:trPr>
          <w:trHeight w:val="166"/>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w:t>
            </w:r>
          </w:p>
        </w:tc>
        <w:tc>
          <w:tcPr>
            <w:tcW w:w="120" w:type="dxa"/>
            <w:vAlign w:val="bottom"/>
          </w:tcPr>
          <w:p>
            <w:pPr>
              <w:spacing w:after="0"/>
              <w:rPr>
                <w:sz w:val="14"/>
                <w:szCs w:val="14"/>
                <w:color w:val="auto"/>
              </w:rPr>
            </w:pPr>
          </w:p>
        </w:tc>
        <w:tc>
          <w:tcPr>
            <w:tcW w:w="116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(13,409)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(12,801)</w:t>
            </w:r>
          </w:p>
        </w:tc>
        <w:tc>
          <w:tcPr>
            <w:tcW w:w="20" w:type="dxa"/>
            <w:vAlign w:val="bottom"/>
          </w:tcPr>
          <w:p>
            <w:pPr>
              <w:spacing w:after="0"/>
              <w:rPr>
                <w:sz w:val="14"/>
                <w:szCs w:val="14"/>
                <w:color w:val="auto"/>
              </w:rPr>
            </w:pPr>
          </w:p>
        </w:tc>
      </w:tr>
      <w:tr>
        <w:trPr>
          <w:trHeight w:val="157"/>
        </w:trPr>
        <w:tc>
          <w:tcPr>
            <w:tcW w:w="50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20,206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21,276</w:t>
            </w:r>
          </w:p>
        </w:tc>
        <w:tc>
          <w:tcPr>
            <w:tcW w:w="20" w:type="dxa"/>
            <w:vAlign w:val="bottom"/>
          </w:tcPr>
          <w:p>
            <w:pPr>
              <w:spacing w:after="0"/>
              <w:rPr>
                <w:sz w:val="13"/>
                <w:szCs w:val="13"/>
                <w:color w:val="auto"/>
              </w:rPr>
            </w:pPr>
          </w:p>
        </w:tc>
      </w:tr>
    </w:tbl>
    <w:p>
      <w:pPr>
        <w:spacing w:after="0" w:line="151" w:lineRule="exact"/>
        <w:rPr>
          <w:sz w:val="20"/>
          <w:szCs w:val="20"/>
          <w:color w:val="auto"/>
        </w:rPr>
      </w:pPr>
    </w:p>
    <w:p>
      <w:pPr>
        <w:jc w:val="both"/>
        <w:ind w:left="760" w:right="779" w:firstLine="249"/>
        <w:spacing w:after="0" w:line="278" w:lineRule="auto"/>
        <w:rPr>
          <w:sz w:val="20"/>
          <w:szCs w:val="20"/>
          <w:color w:val="auto"/>
        </w:rPr>
      </w:pPr>
      <w:r>
        <w:rPr>
          <w:rFonts w:ascii="Times New Roman" w:cs="Times New Roman" w:eastAsia="Times New Roman" w:hAnsi="Times New Roman"/>
          <w:sz w:val="14"/>
          <w:szCs w:val="14"/>
          <w:color w:val="auto"/>
        </w:rPr>
        <w:t>Advances on purchases of property and equipment are payments made before the related asset (such as machinery and equipment) are delivered and are not depreciated until the asset is placed in service.</w:t>
      </w:r>
    </w:p>
    <w:p>
      <w:pPr>
        <w:spacing w:after="0" w:line="126" w:lineRule="exact"/>
        <w:rPr>
          <w:sz w:val="20"/>
          <w:szCs w:val="20"/>
          <w:color w:val="auto"/>
        </w:rPr>
      </w:pPr>
    </w:p>
    <w:p>
      <w:pPr>
        <w:ind w:left="760" w:right="939" w:firstLine="249"/>
        <w:spacing w:after="0" w:line="257" w:lineRule="auto"/>
        <w:rPr>
          <w:sz w:val="20"/>
          <w:szCs w:val="20"/>
          <w:color w:val="auto"/>
        </w:rPr>
      </w:pPr>
      <w:r>
        <w:rPr>
          <w:rFonts w:ascii="Times New Roman" w:cs="Times New Roman" w:eastAsia="Times New Roman" w:hAnsi="Times New Roman"/>
          <w:sz w:val="14"/>
          <w:szCs w:val="14"/>
          <w:color w:val="auto"/>
        </w:rPr>
        <w:t>Depreciation expense totaled $882 and $1,984 for the three months ended March 31, 2026, and 2025, respectively, and was recorded as operating expenses in the condensed consolidated statements of operations. Depreciation expense was allocated as $850 and $1,775 to research and development expense, net and $32 and $209 to selling, general and administrative expenses for the three months ended, March 31, 2026, and 2025, respectively.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5 - ACCRUED EXPENSES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480" w:type="dxa"/>
            <w:vAlign w:val="bottom"/>
          </w:tcPr>
          <w:p>
            <w:pPr>
              <w:spacing w:after="0"/>
              <w:rPr>
                <w:sz w:val="11"/>
                <w:szCs w:val="11"/>
                <w:color w:val="auto"/>
              </w:rPr>
            </w:pPr>
          </w:p>
        </w:tc>
        <w:tc>
          <w:tcPr>
            <w:tcW w:w="172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spacing w:after="0"/>
              <w:rPr>
                <w:sz w:val="11"/>
                <w:szCs w:val="11"/>
                <w:color w:val="auto"/>
              </w:rPr>
            </w:pPr>
          </w:p>
        </w:tc>
        <w:tc>
          <w:tcPr>
            <w:tcW w:w="320" w:type="dxa"/>
            <w:vAlign w:val="bottom"/>
            <w:gridSpan w:val="4"/>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020" w:type="dxa"/>
            <w:vAlign w:val="bottom"/>
          </w:tcPr>
          <w:p>
            <w:pPr>
              <w:spacing w:after="0"/>
              <w:rPr>
                <w:sz w:val="11"/>
                <w:szCs w:val="11"/>
                <w:color w:val="auto"/>
              </w:rPr>
            </w:pPr>
          </w:p>
        </w:tc>
      </w:tr>
      <w:tr>
        <w:trPr>
          <w:trHeight w:val="115"/>
        </w:trPr>
        <w:tc>
          <w:tcPr>
            <w:tcW w:w="3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3"/>
              <w:spacing w:after="0" w:line="115"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gridSpan w:val="3"/>
          </w:tcPr>
          <w:p>
            <w:pPr>
              <w:jc w:val="right"/>
              <w:ind w:right="77"/>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top w:val="single" w:sz="8" w:color="auto"/>
            </w:tcBorders>
          </w:tcPr>
          <w:p>
            <w:pPr>
              <w:jc w:val="right"/>
              <w:ind w:right="33"/>
              <w:spacing w:after="0" w:line="115" w:lineRule="exact"/>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7"/>
        </w:trPr>
        <w:tc>
          <w:tcPr>
            <w:tcW w:w="34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15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838</w:t>
            </w: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760</w:t>
            </w: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Accrued audit and tax services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legal and professional</w:t>
            </w: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Accrued transaction costs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16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15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57"/>
        </w:trPr>
        <w:tc>
          <w:tcPr>
            <w:tcW w:w="34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accrued expenses</w:t>
            </w:r>
          </w:p>
        </w:tc>
        <w:tc>
          <w:tcPr>
            <w:tcW w:w="15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4,128</w:t>
            </w: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2,981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F-96</w:t>
      </w:r>
    </w:p>
    <w:p>
      <w:pPr>
        <w:sectPr>
          <w:pgSz w:w="11900" w:h="16838" w:orient="portrait"/>
          <w:cols w:equalWidth="0" w:num="1">
            <w:col w:w="9019"/>
          </w:cols>
          <w:pgMar w:left="1440" w:top="571" w:right="1440" w:bottom="1440" w:gutter="0" w:footer="0" w:header="0"/>
        </w:sectPr>
      </w:pPr>
    </w:p>
    <w:bookmarkStart w:id="234" w:name="page235"/>
    <w:bookmarkEnd w:id="23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6 – CONVERTIBLE PROMISSORY NOTES – RELATED PARTIES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shows the components of the Company’s indebtedness (in thousands):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5660" w:type="dxa"/>
            <w:vAlign w:val="bottom"/>
          </w:tcPr>
          <w:p>
            <w:pPr>
              <w:spacing w:after="0"/>
              <w:rPr>
                <w:sz w:val="11"/>
                <w:szCs w:val="1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Three Months Ended</w:t>
            </w:r>
          </w:p>
        </w:tc>
      </w:tr>
      <w:tr>
        <w:trPr>
          <w:trHeight w:val="133"/>
        </w:trPr>
        <w:tc>
          <w:tcPr>
            <w:tcW w:w="56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57"/>
        </w:trPr>
        <w:tc>
          <w:tcPr>
            <w:tcW w:w="56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Total convertible promissory notes - related parties, at fair value as of December 31, 2025</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18,889</w:t>
            </w:r>
          </w:p>
        </w:tc>
      </w:tr>
      <w:tr>
        <w:trPr>
          <w:trHeight w:val="16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157"/>
        </w:trPr>
        <w:tc>
          <w:tcPr>
            <w:tcW w:w="56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convertible promissory notes - related parties, at fair value</w:t>
            </w:r>
          </w:p>
        </w:tc>
        <w:tc>
          <w:tcPr>
            <w:tcW w:w="7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20,296</w:t>
            </w:r>
          </w:p>
        </w:tc>
      </w:tr>
    </w:tbl>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7 – CONVERTIBLE PROMISSORY NOTES</w:t>
      </w:r>
    </w:p>
    <w:p>
      <w:pPr>
        <w:spacing w:after="0" w:line="173"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During January 2026, the Company issued the January 2026 Notes pursuant to which it could receive proceeds up to $5,340. The January 2026 Notes bear interest of 5% per annum and mature on either August 1, 2028 or January 1, 2029. The January 2026 Notes provide the holders with certain conversion features including: a mandatory conversion upon a qualified financing event, an optional conversion upon a non-qualified financing event and an optional conversion upon an acquisition of the Company.</w:t>
      </w:r>
    </w:p>
    <w:p>
      <w:pPr>
        <w:spacing w:after="0" w:line="142" w:lineRule="exact"/>
        <w:rPr>
          <w:sz w:val="20"/>
          <w:szCs w:val="20"/>
          <w:color w:val="auto"/>
        </w:rPr>
      </w:pPr>
    </w:p>
    <w:p>
      <w:pPr>
        <w:ind w:left="760" w:right="859" w:firstLine="249"/>
        <w:spacing w:after="0" w:line="252" w:lineRule="auto"/>
        <w:rPr>
          <w:sz w:val="20"/>
          <w:szCs w:val="20"/>
          <w:color w:val="auto"/>
        </w:rPr>
      </w:pPr>
      <w:r>
        <w:rPr>
          <w:rFonts w:ascii="Times New Roman" w:cs="Times New Roman" w:eastAsia="Times New Roman" w:hAnsi="Times New Roman"/>
          <w:sz w:val="14"/>
          <w:szCs w:val="14"/>
          <w:color w:val="auto"/>
        </w:rPr>
        <w:t>Concurrently with the issuance of the January 2026 Notes, the Company entered into a partnership agreement with a note holder. Pursuant to the partnership agreement, the Company may receive up to $2,240 in total consideration. The deliverables of the partnership agreement coincide with payments to the Company on the convertible note. Deliverables under the partnership agreement are aligned with, and contingent upon, funding milestones under the convertible note, which provide for up to $1,340 in aggregate principal funding to the Company of which $300 in proceeds have been received as of March 31, 2026, with an issuance cost of $37. The note holder had the option to request funding in part or in full. Subsequently, on May 18, 2026, the Company received the remaining proceeds of $1,040. In addition, the partnership agreement includes up to $900 of consideration for the performance of research and development services to the note holder.</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following table shows the components of the Company’s indebtedness (in thousands):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35"/>
        </w:trPr>
        <w:tc>
          <w:tcPr>
            <w:tcW w:w="4580" w:type="dxa"/>
            <w:vAlign w:val="bottom"/>
          </w:tcPr>
          <w:p>
            <w:pPr>
              <w:spacing w:after="0"/>
              <w:rPr>
                <w:sz w:val="11"/>
                <w:szCs w:val="11"/>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Three Months Ended</w:t>
            </w:r>
          </w:p>
        </w:tc>
      </w:tr>
      <w:tr>
        <w:trPr>
          <w:trHeight w:val="133"/>
        </w:trPr>
        <w:tc>
          <w:tcPr>
            <w:tcW w:w="458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57"/>
        </w:trPr>
        <w:tc>
          <w:tcPr>
            <w:tcW w:w="45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Convertible promissory notes principal balance</w:t>
            </w: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4,300</w:t>
            </w:r>
          </w:p>
        </w:tc>
      </w:tr>
      <w:tr>
        <w:trPr>
          <w:trHeight w:val="16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57"/>
        </w:trPr>
        <w:tc>
          <w:tcPr>
            <w:tcW w:w="458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convertible promissory notes, at fair value</w:t>
            </w:r>
          </w:p>
        </w:tc>
        <w:tc>
          <w:tcPr>
            <w:tcW w:w="1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4,600</w:t>
            </w:r>
          </w:p>
        </w:tc>
      </w:tr>
      <w:tr>
        <w:trPr>
          <w:trHeight w:val="20"/>
        </w:trPr>
        <w:tc>
          <w:tcPr>
            <w:tcW w:w="4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3"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F-97</w:t>
      </w:r>
    </w:p>
    <w:p>
      <w:pPr>
        <w:sectPr>
          <w:pgSz w:w="11900" w:h="16838" w:orient="portrait"/>
          <w:cols w:equalWidth="0" w:num="1">
            <w:col w:w="9019"/>
          </w:cols>
          <w:pgMar w:left="1440" w:top="571" w:right="1440" w:bottom="1440" w:gutter="0" w:footer="0" w:header="0"/>
        </w:sectPr>
      </w:pPr>
    </w:p>
    <w:bookmarkStart w:id="235" w:name="page236"/>
    <w:bookmarkEnd w:id="23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1099" w:firstLine="249"/>
        <w:spacing w:after="0" w:line="278" w:lineRule="auto"/>
        <w:rPr>
          <w:sz w:val="20"/>
          <w:szCs w:val="20"/>
          <w:color w:val="auto"/>
        </w:rPr>
      </w:pPr>
      <w:r>
        <w:rPr>
          <w:rFonts w:ascii="Times New Roman" w:cs="Times New Roman" w:eastAsia="Times New Roman" w:hAnsi="Times New Roman"/>
          <w:sz w:val="14"/>
          <w:szCs w:val="14"/>
          <w:color w:val="auto"/>
        </w:rPr>
        <w:t>The components of lease expenses recorded within the condensed consolidated statements of operations for the three months ended March 31, 2026, and 2025 are as follows (in thousands):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740" w:type="dxa"/>
            <w:vAlign w:val="bottom"/>
          </w:tcPr>
          <w:p>
            <w:pPr>
              <w:spacing w:after="0"/>
              <w:rPr>
                <w:sz w:val="11"/>
                <w:szCs w:val="11"/>
                <w:color w:val="auto"/>
              </w:rPr>
            </w:pPr>
          </w:p>
        </w:tc>
        <w:tc>
          <w:tcPr>
            <w:tcW w:w="188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w:t>
            </w:r>
          </w:p>
        </w:tc>
        <w:tc>
          <w:tcPr>
            <w:tcW w:w="1900" w:type="dxa"/>
            <w:vAlign w:val="bottom"/>
            <w:gridSpan w:val="7"/>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15"/>
        </w:trPr>
        <w:tc>
          <w:tcPr>
            <w:tcW w:w="3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74"/>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3"/>
          </w:tcPr>
          <w:p>
            <w:pPr>
              <w:jc w:val="right"/>
              <w:ind w:right="177"/>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tcPr>
          <w:p>
            <w:pPr>
              <w:jc w:val="right"/>
              <w:ind w:right="3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Finance lease costs:</w:t>
            </w:r>
          </w:p>
        </w:tc>
        <w:tc>
          <w:tcPr>
            <w:tcW w:w="1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on financing lease liabilities</w:t>
            </w:r>
          </w:p>
        </w:tc>
        <w:tc>
          <w:tcPr>
            <w:tcW w:w="17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40" w:type="dxa"/>
            <w:vAlign w:val="bottom"/>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Total finance lease costs</w:t>
            </w: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392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costs:</w:t>
            </w: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ind w:right="297"/>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 expenses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Variable lease expenses</w:t>
            </w: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Short-term lease expenses</w:t>
            </w:r>
          </w:p>
        </w:tc>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Total operating lease costs</w:t>
            </w:r>
          </w:p>
        </w:tc>
        <w:tc>
          <w:tcPr>
            <w:tcW w:w="17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697</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714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lease expenses</w:t>
            </w:r>
          </w:p>
        </w:tc>
        <w:tc>
          <w:tcPr>
            <w:tcW w:w="1700" w:type="dxa"/>
            <w:vAlign w:val="bottom"/>
          </w:tcPr>
          <w:p>
            <w:pPr>
              <w:spacing w:after="0"/>
              <w:rPr>
                <w:sz w:val="13"/>
                <w:szCs w:val="13"/>
                <w:color w:val="auto"/>
              </w:rPr>
            </w:pPr>
          </w:p>
        </w:tc>
        <w:tc>
          <w:tcPr>
            <w:tcW w:w="18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697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1,106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Other information related to agreements treated as finance and operating leases was as follows: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520" w:type="dxa"/>
            <w:vAlign w:val="bottom"/>
          </w:tcPr>
          <w:p>
            <w:pPr>
              <w:spacing w:after="0"/>
              <w:rPr>
                <w:sz w:val="11"/>
                <w:szCs w:val="11"/>
                <w:color w:val="auto"/>
              </w:rPr>
            </w:pPr>
          </w:p>
        </w:tc>
        <w:tc>
          <w:tcPr>
            <w:tcW w:w="1080" w:type="dxa"/>
            <w:vAlign w:val="bottom"/>
            <w:gridSpan w:val="3"/>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w:t>
            </w:r>
          </w:p>
        </w:tc>
        <w:tc>
          <w:tcPr>
            <w:tcW w:w="1880" w:type="dxa"/>
            <w:vAlign w:val="bottom"/>
            <w:gridSpan w:val="8"/>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15"/>
        </w:trPr>
        <w:tc>
          <w:tcPr>
            <w:tcW w:w="4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4"/>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3"/>
          </w:tcPr>
          <w:p>
            <w:pPr>
              <w:jc w:val="right"/>
              <w:ind w:right="131"/>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10"/>
                <w:szCs w:val="10"/>
                <w:color w:val="auto"/>
              </w:rPr>
            </w:pPr>
          </w:p>
        </w:tc>
      </w:tr>
      <w:tr>
        <w:trPr>
          <w:trHeight w:val="157"/>
        </w:trPr>
        <w:tc>
          <w:tcPr>
            <w:tcW w:w="4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Operating cash flows from operating leases</w:t>
            </w:r>
          </w:p>
        </w:tc>
        <w:tc>
          <w:tcPr>
            <w:tcW w:w="9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(489)</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(493)</w:t>
            </w:r>
          </w:p>
        </w:tc>
      </w:tr>
      <w:tr>
        <w:trPr>
          <w:trHeight w:val="18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Financing cash flows from finance lease</w:t>
            </w:r>
          </w:p>
        </w:tc>
        <w:tc>
          <w:tcPr>
            <w:tcW w:w="1080" w:type="dxa"/>
            <w:vAlign w:val="bottom"/>
            <w:gridSpan w:val="3"/>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307"/>
        </w:trPr>
        <w:tc>
          <w:tcPr>
            <w:tcW w:w="4520" w:type="dxa"/>
            <w:vAlign w:val="bottom"/>
          </w:tcPr>
          <w:p>
            <w:pPr>
              <w:spacing w:after="0"/>
              <w:rPr>
                <w:sz w:val="24"/>
                <w:szCs w:val="24"/>
                <w:color w:val="auto"/>
              </w:rPr>
            </w:pPr>
          </w:p>
        </w:tc>
        <w:tc>
          <w:tcPr>
            <w:tcW w:w="1080" w:type="dxa"/>
            <w:vAlign w:val="bottom"/>
            <w:gridSpan w:val="3"/>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spacing w:after="0"/>
              <w:rPr>
                <w:sz w:val="24"/>
                <w:szCs w:val="24"/>
                <w:color w:val="auto"/>
              </w:rPr>
            </w:pPr>
          </w:p>
        </w:tc>
        <w:tc>
          <w:tcPr>
            <w:tcW w:w="440" w:type="dxa"/>
            <w:vAlign w:val="bottom"/>
            <w:gridSpan w:val="5"/>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As of</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March 31, 2026  ​​​</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Pr>
          <w:p>
            <w:pPr>
              <w:spacing w:after="0"/>
              <w:rPr>
                <w:sz w:val="10"/>
                <w:szCs w:val="10"/>
                <w:color w:val="auto"/>
              </w:rPr>
            </w:pPr>
          </w:p>
        </w:tc>
      </w:tr>
      <w:tr>
        <w:trPr>
          <w:trHeight w:val="157"/>
        </w:trPr>
        <w:tc>
          <w:tcPr>
            <w:tcW w:w="45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Weighted-average remaining lease term – operating leases (years)</w:t>
            </w:r>
          </w:p>
        </w:tc>
        <w:tc>
          <w:tcPr>
            <w:tcW w:w="9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8.04 %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8.05 %</w:t>
            </w:r>
          </w:p>
        </w:tc>
      </w:tr>
      <w:tr>
        <w:trPr>
          <w:trHeight w:val="16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lease term – finance lease (years)</w:t>
            </w: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 – finance lease</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r>
    </w:tbl>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remaining lease obligations are substantially unchanged from year end.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73" w:lineRule="exact"/>
        <w:rPr>
          <w:sz w:val="20"/>
          <w:szCs w:val="20"/>
          <w:color w:val="auto"/>
        </w:rPr>
      </w:pPr>
    </w:p>
    <w:p>
      <w:pPr>
        <w:jc w:val="both"/>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spacing w:after="0" w:line="142" w:lineRule="exact"/>
        <w:rPr>
          <w:sz w:val="20"/>
          <w:szCs w:val="20"/>
          <w:color w:val="auto"/>
        </w:rPr>
      </w:pPr>
    </w:p>
    <w:p>
      <w:pPr>
        <w:ind w:left="760" w:right="819" w:firstLine="249"/>
        <w:spacing w:after="0" w:line="253" w:lineRule="auto"/>
        <w:rPr>
          <w:sz w:val="20"/>
          <w:szCs w:val="20"/>
          <w:color w:val="auto"/>
        </w:rPr>
      </w:pPr>
      <w:r>
        <w:rPr>
          <w:rFonts w:ascii="Times New Roman" w:cs="Times New Roman" w:eastAsia="Times New Roman" w:hAnsi="Times New Roman"/>
          <w:sz w:val="14"/>
          <w:szCs w:val="14"/>
          <w:color w:val="auto"/>
        </w:rPr>
        <w:t>The Company is party to an arbitration, initiated on March 14, 2025, before the International Centre for Dispute Resolution. A hearing was conducted in June 2026, and post-hearing submission are due in July 2026. The hearing is regarding a contractual dispute in which a vendor is seeking $4,900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9 - REDEEMABLE CONVERTIBLE PREFERRED STOCK</w:t>
      </w:r>
    </w:p>
    <w:p>
      <w:pPr>
        <w:spacing w:after="0" w:line="173" w:lineRule="exact"/>
        <w:rPr>
          <w:sz w:val="20"/>
          <w:szCs w:val="20"/>
          <w:color w:val="auto"/>
        </w:rPr>
      </w:pPr>
    </w:p>
    <w:p>
      <w:pPr>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No redeemable convertible preferred stock was issued, converted, or redeemed during the three months ended March 31, 2026. Total carrying value remains $249,652. Terms and rights are unchanged from the audited annual consolidated financial statements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F-98</w:t>
      </w:r>
    </w:p>
    <w:p>
      <w:pPr>
        <w:sectPr>
          <w:pgSz w:w="11900" w:h="16838" w:orient="portrait"/>
          <w:cols w:equalWidth="0" w:num="1">
            <w:col w:w="9019"/>
          </w:cols>
          <w:pgMar w:left="1440" w:top="572" w:right="1440" w:bottom="1440" w:gutter="0" w:footer="0" w:header="0"/>
        </w:sectPr>
      </w:pPr>
    </w:p>
    <w:bookmarkStart w:id="236" w:name="page237"/>
    <w:bookmarkEnd w:id="23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10 - COMMON STOCK</w:t>
      </w:r>
    </w:p>
    <w:p>
      <w:pPr>
        <w:spacing w:after="0" w:line="173" w:lineRule="exact"/>
        <w:rPr>
          <w:sz w:val="20"/>
          <w:szCs w:val="20"/>
          <w:color w:val="auto"/>
        </w:rPr>
      </w:pPr>
    </w:p>
    <w:p>
      <w:pPr>
        <w:ind w:left="760" w:right="799" w:firstLine="249"/>
        <w:spacing w:after="0" w:line="262" w:lineRule="auto"/>
        <w:rPr>
          <w:sz w:val="20"/>
          <w:szCs w:val="20"/>
          <w:color w:val="auto"/>
        </w:rPr>
      </w:pPr>
      <w:r>
        <w:rPr>
          <w:rFonts w:ascii="Times New Roman" w:cs="Times New Roman" w:eastAsia="Times New Roman" w:hAnsi="Times New Roman"/>
          <w:sz w:val="14"/>
          <w:szCs w:val="14"/>
          <w:color w:val="auto"/>
        </w:rPr>
        <w:t>The Company was authorized to issue 32,000,000 shares of its common stock as of March 31, 2026, and December 31, 2025. The voting, dividend, and liquidation rights of the holders of the Company’s common stock are subject to and qualified by the rights, powers and preference of the Preferred Stockholders set forth in Note 9 - Redeemable Convertible Preferred Stock.</w:t>
      </w:r>
    </w:p>
    <w:p>
      <w:pPr>
        <w:spacing w:after="0" w:line="138" w:lineRule="exact"/>
        <w:rPr>
          <w:sz w:val="20"/>
          <w:szCs w:val="20"/>
          <w:color w:val="auto"/>
        </w:rPr>
      </w:pPr>
    </w:p>
    <w:p>
      <w:pPr>
        <w:jc w:val="both"/>
        <w:ind w:left="760" w:right="859" w:firstLine="249"/>
        <w:spacing w:after="0" w:line="262" w:lineRule="auto"/>
        <w:rPr>
          <w:sz w:val="20"/>
          <w:szCs w:val="20"/>
          <w:color w:val="auto"/>
        </w:rPr>
      </w:pPr>
      <w:r>
        <w:rPr>
          <w:rFonts w:ascii="Times New Roman" w:cs="Times New Roman" w:eastAsia="Times New Roman" w:hAnsi="Times New Roman"/>
          <w:sz w:val="14"/>
          <w:szCs w:val="14"/>
          <w:color w:val="auto"/>
        </w:rPr>
        <w:t>Each share of common stock entitles the holder to one vote, together with the Preferred Stockholders, on all matters submitted to a vote of the Company’s stockholders. Terms and rights are unchanged from the audited annual consolidated financial statements for the year ended December 31, 2025.</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Total common shares issued and outstanding were 5,068,690 as of March 31, 2026.</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11 - STOCK BASED COMPENSATION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Equity Compensation Plans</w:t>
      </w:r>
    </w:p>
    <w:p>
      <w:pPr>
        <w:spacing w:after="0" w:line="173" w:lineRule="exact"/>
        <w:rPr>
          <w:sz w:val="20"/>
          <w:szCs w:val="20"/>
          <w:color w:val="auto"/>
        </w:rPr>
      </w:pPr>
    </w:p>
    <w:p>
      <w:pPr>
        <w:ind w:left="760" w:right="799" w:firstLine="249"/>
        <w:spacing w:after="0" w:line="279" w:lineRule="auto"/>
        <w:rPr>
          <w:sz w:val="20"/>
          <w:szCs w:val="20"/>
          <w:color w:val="auto"/>
        </w:rPr>
      </w:pPr>
      <w:r>
        <w:rPr>
          <w:rFonts w:ascii="Times New Roman" w:cs="Times New Roman" w:eastAsia="Times New Roman" w:hAnsi="Times New Roman"/>
          <w:sz w:val="13"/>
          <w:szCs w:val="13"/>
          <w:color w:val="auto"/>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 which was subsequently amended.</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Share-Based Compensation Awards</w:t>
      </w:r>
    </w:p>
    <w:p>
      <w:pPr>
        <w:spacing w:after="0" w:line="173" w:lineRule="exact"/>
        <w:rPr>
          <w:sz w:val="20"/>
          <w:szCs w:val="20"/>
          <w:color w:val="auto"/>
        </w:rPr>
      </w:pPr>
    </w:p>
    <w:p>
      <w:pPr>
        <w:ind w:left="760" w:right="959" w:firstLine="249"/>
        <w:spacing w:after="0" w:line="257" w:lineRule="auto"/>
        <w:rPr>
          <w:sz w:val="20"/>
          <w:szCs w:val="20"/>
          <w:color w:val="auto"/>
        </w:rPr>
      </w:pPr>
      <w:r>
        <w:rPr>
          <w:rFonts w:ascii="Times New Roman" w:cs="Times New Roman" w:eastAsia="Times New Roman" w:hAnsi="Times New Roman"/>
          <w:sz w:val="14"/>
          <w:szCs w:val="14"/>
          <w:color w:val="auto"/>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spacing w:after="0" w:line="142" w:lineRule="exact"/>
        <w:rPr>
          <w:sz w:val="20"/>
          <w:szCs w:val="20"/>
          <w:color w:val="auto"/>
        </w:rPr>
      </w:pPr>
    </w:p>
    <w:p>
      <w:pPr>
        <w:jc w:val="both"/>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spacing w:after="0" w:line="142" w:lineRule="exact"/>
        <w:rPr>
          <w:sz w:val="20"/>
          <w:szCs w:val="20"/>
          <w:color w:val="auto"/>
        </w:rPr>
      </w:pPr>
    </w:p>
    <w:p>
      <w:pPr>
        <w:ind w:left="760" w:right="839" w:firstLine="249"/>
        <w:spacing w:after="0" w:line="255" w:lineRule="auto"/>
        <w:rPr>
          <w:sz w:val="20"/>
          <w:szCs w:val="20"/>
          <w:color w:val="auto"/>
        </w:rPr>
      </w:pPr>
      <w:r>
        <w:rPr>
          <w:rFonts w:ascii="Times New Roman" w:cs="Times New Roman" w:eastAsia="Times New Roman" w:hAnsi="Times New Roman"/>
          <w:sz w:val="14"/>
          <w:szCs w:val="14"/>
          <w:color w:val="auto"/>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three months ended March 31, 2026.</w:t>
      </w:r>
    </w:p>
    <w:p>
      <w:pPr>
        <w:spacing w:after="0" w:line="142" w:lineRule="exact"/>
        <w:rPr>
          <w:sz w:val="20"/>
          <w:szCs w:val="20"/>
          <w:color w:val="auto"/>
        </w:rPr>
      </w:pPr>
    </w:p>
    <w:p>
      <w:pPr>
        <w:ind w:left="760" w:right="1219" w:firstLine="249"/>
        <w:spacing w:after="0" w:line="278" w:lineRule="auto"/>
        <w:rPr>
          <w:sz w:val="20"/>
          <w:szCs w:val="20"/>
          <w:color w:val="auto"/>
        </w:rPr>
      </w:pPr>
      <w:r>
        <w:rPr>
          <w:rFonts w:ascii="Times New Roman" w:cs="Times New Roman" w:eastAsia="Times New Roman" w:hAnsi="Times New Roman"/>
          <w:sz w:val="14"/>
          <w:szCs w:val="14"/>
          <w:color w:val="auto"/>
        </w:rPr>
        <w:t>The assumptions made for purposes of estimating the fair value under the Black Scholes valuation model for stock options granted during the three months ended March 31, 2026 and 2025 were as follows: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920" w:type="dxa"/>
            <w:vAlign w:val="bottom"/>
          </w:tcPr>
          <w:p>
            <w:pPr>
              <w:spacing w:after="0"/>
              <w:rPr>
                <w:sz w:val="11"/>
                <w:szCs w:val="11"/>
                <w:color w:val="auto"/>
              </w:rPr>
            </w:pPr>
          </w:p>
        </w:tc>
        <w:tc>
          <w:tcPr>
            <w:tcW w:w="1460" w:type="dxa"/>
            <w:vAlign w:val="bottom"/>
            <w:gridSpan w:val="2"/>
          </w:tcPr>
          <w:p>
            <w:pPr>
              <w:ind w:left="1380"/>
              <w:spacing w:after="0"/>
              <w:rPr>
                <w:sz w:val="20"/>
                <w:szCs w:val="20"/>
                <w:color w:val="auto"/>
              </w:rPr>
            </w:pPr>
            <w:r>
              <w:rPr>
                <w:rFonts w:ascii="Times New Roman" w:cs="Times New Roman" w:eastAsia="Times New Roman" w:hAnsi="Times New Roman"/>
                <w:sz w:val="11"/>
                <w:szCs w:val="11"/>
                <w:b w:val="1"/>
                <w:bCs w:val="1"/>
                <w:color w:val="auto"/>
              </w:rPr>
              <w:t>​​​</w:t>
            </w:r>
          </w:p>
        </w:tc>
        <w:tc>
          <w:tcPr>
            <w:tcW w:w="2100" w:type="dxa"/>
            <w:vAlign w:val="bottom"/>
            <w:gridSpan w:val="7"/>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15"/>
        </w:trPr>
        <w:tc>
          <w:tcPr>
            <w:tcW w:w="39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71"/>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1080" w:type="dxa"/>
            <w:vAlign w:val="bottom"/>
            <w:tcBorders>
              <w:top w:val="single" w:sz="8" w:color="auto"/>
            </w:tcBorders>
            <w:gridSpan w:val="4"/>
          </w:tcPr>
          <w:p>
            <w:pPr>
              <w:jc w:val="right"/>
              <w:ind w:right="271"/>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0"/>
                <w:szCs w:val="10"/>
                <w:color w:val="auto"/>
              </w:rPr>
            </w:pPr>
          </w:p>
        </w:tc>
      </w:tr>
      <w:tr>
        <w:trPr>
          <w:trHeight w:val="157"/>
        </w:trPr>
        <w:tc>
          <w:tcPr>
            <w:tcW w:w="3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Expected term of options (years)</w:t>
            </w:r>
          </w:p>
        </w:tc>
        <w:tc>
          <w:tcPr>
            <w:tcW w:w="14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5.00</w:t>
            </w:r>
          </w:p>
        </w:tc>
        <w:tc>
          <w:tcPr>
            <w:tcW w:w="3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- 6.07</w:t>
            </w: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5.00</w:t>
            </w:r>
          </w:p>
        </w:tc>
        <w:tc>
          <w:tcPr>
            <w:tcW w:w="3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- 6.06</w:t>
            </w:r>
          </w:p>
        </w:tc>
        <w:tc>
          <w:tcPr>
            <w:tcW w:w="120" w:type="dxa"/>
            <w:vAlign w:val="bottom"/>
            <w:tcBorders>
              <w:top w:val="single" w:sz="8" w:color="CCEEFF"/>
            </w:tcBorders>
            <w:shd w:val="clear" w:color="auto" w:fill="CCEEFF"/>
          </w:tcPr>
          <w:p>
            <w:pPr>
              <w:spacing w:after="0"/>
              <w:rPr>
                <w:sz w:val="13"/>
                <w:szCs w:val="13"/>
                <w:color w:val="auto"/>
              </w:rPr>
            </w:pPr>
          </w:p>
        </w:tc>
      </w:tr>
      <w:tr>
        <w:trPr>
          <w:trHeight w:val="166"/>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Risk free interest rate</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- 3.98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4.02%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- 4.43 %</w:t>
            </w:r>
          </w:p>
        </w:tc>
      </w:tr>
      <w:tr>
        <w:trPr>
          <w:trHeight w:val="16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60.92% - 65.79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64.37%</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- 65.81 %</w:t>
            </w:r>
          </w:p>
        </w:tc>
      </w:tr>
      <w:tr>
        <w:trPr>
          <w:trHeight w:val="166"/>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grant date fair value per share</w:t>
            </w: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$25.18 - $27.78</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shd w:val="clear" w:color="auto" w:fill="CCEEFF"/>
          </w:tcPr>
          <w:p>
            <w:pPr>
              <w:spacing w:after="0"/>
              <w:rPr>
                <w:sz w:val="14"/>
                <w:szCs w:val="14"/>
                <w:color w:val="auto"/>
              </w:rPr>
            </w:pPr>
          </w:p>
        </w:tc>
      </w:tr>
      <w:tr>
        <w:trPr>
          <w:trHeight w:val="181"/>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Option grant date fair value per share</w:t>
            </w: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$13.89 - $17.42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5"/>
              </w:rPr>
              <w:t>- $2.03</w:t>
            </w: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F-99</w:t>
      </w:r>
    </w:p>
    <w:p>
      <w:pPr>
        <w:sectPr>
          <w:pgSz w:w="11900" w:h="16838" w:orient="portrait"/>
          <w:cols w:equalWidth="0" w:num="1">
            <w:col w:w="9019"/>
          </w:cols>
          <w:pgMar w:left="1440" w:top="572" w:right="1440" w:bottom="1440" w:gutter="0" w:footer="0" w:header="0"/>
        </w:sectPr>
      </w:pPr>
    </w:p>
    <w:bookmarkStart w:id="237" w:name="page238"/>
    <w:bookmarkEnd w:id="23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38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01945" cy="7038340"/>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jc w:val="both"/>
        <w:ind w:left="760" w:right="879" w:firstLine="249"/>
        <w:spacing w:after="0" w:line="257"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recorded stock-based compensation expense of $1,534 and $3,857, respectively. The following table provides stock-based compensation expense by class reflected in the Company’s condensed consolidated statements of operations related to stock options (including stock options with performance conditions) for the three months ended March 31, 2026, and 2025 (in thousands):</w:t>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16"/>
          </w:tcPr>
          <w:p>
            <w:pPr>
              <w:ind w:left="540"/>
              <w:spacing w:after="0"/>
              <w:rPr>
                <w:sz w:val="20"/>
                <w:szCs w:val="20"/>
                <w:color w:val="auto"/>
              </w:rPr>
            </w:pPr>
            <w:r>
              <w:rPr>
                <w:rFonts w:ascii="Times New Roman" w:cs="Times New Roman" w:eastAsia="Times New Roman" w:hAnsi="Times New Roman"/>
                <w:sz w:val="11"/>
                <w:szCs w:val="11"/>
                <w:b w:val="1"/>
                <w:bCs w:val="1"/>
                <w:color w:val="auto"/>
              </w:rPr>
              <w:t>​​​  Three Months Ended March 31,</w:t>
            </w: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tcPr>
          <w:p>
            <w:pPr>
              <w:spacing w:after="0"/>
              <w:rPr>
                <w:sz w:val="10"/>
                <w:szCs w:val="10"/>
                <w:color w:val="auto"/>
              </w:rPr>
            </w:pPr>
          </w:p>
        </w:tc>
        <w:tc>
          <w:tcPr>
            <w:tcW w:w="23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top w:val="single" w:sz="8" w:color="auto"/>
              <w:bottom w:val="single" w:sz="8" w:color="CCEEFF"/>
            </w:tcBorders>
          </w:tcPr>
          <w:p>
            <w:pPr>
              <w:spacing w:after="0"/>
              <w:rPr>
                <w:sz w:val="10"/>
                <w:szCs w:val="10"/>
                <w:color w:val="auto"/>
              </w:rPr>
            </w:pPr>
          </w:p>
        </w:tc>
        <w:tc>
          <w:tcPr>
            <w:tcW w:w="4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center"/>
              <w:ind w:right="74"/>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2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Research and development</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ind w:left="340"/>
              <w:spacing w:after="0" w:line="157" w:lineRule="exact"/>
              <w:rPr>
                <w:sz w:val="20"/>
                <w:szCs w:val="20"/>
                <w:color w:val="auto"/>
              </w:rPr>
            </w:pPr>
            <w:r>
              <w:rPr>
                <w:rFonts w:ascii="Times New Roman" w:cs="Times New Roman" w:eastAsia="Times New Roman" w:hAnsi="Times New Roman"/>
                <w:sz w:val="14"/>
                <w:szCs w:val="14"/>
                <w:color w:val="auto"/>
              </w:rPr>
              <w:t>240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1,294</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1,534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3,857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620" w:type="dxa"/>
            <w:vAlign w:val="bottom"/>
            <w:gridSpan w:val="19"/>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the three months ended March 31, 2026, and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880" w:type="dxa"/>
            <w:vAlign w:val="bottom"/>
          </w:tcPr>
          <w:p>
            <w:pPr>
              <w:spacing w:after="0"/>
              <w:rPr>
                <w:sz w:val="24"/>
                <w:szCs w:val="24"/>
                <w:color w:val="auto"/>
              </w:rPr>
            </w:pPr>
          </w:p>
        </w:tc>
        <w:tc>
          <w:tcPr>
            <w:tcW w:w="2340" w:type="dxa"/>
            <w:vAlign w:val="bottom"/>
            <w:gridSpan w:val="2"/>
          </w:tcPr>
          <w:p>
            <w:pPr>
              <w:ind w:left="22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900" w:type="dxa"/>
            <w:vAlign w:val="bottom"/>
            <w:gridSpan w:val="6"/>
          </w:tcPr>
          <w:p>
            <w:pPr>
              <w:jc w:val="center"/>
              <w:ind w:right="571"/>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91"/>
              <w:spacing w:after="0" w:line="125" w:lineRule="exact"/>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Exercise 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7"/>
        </w:trPr>
        <w:tc>
          <w:tcPr>
            <w:tcW w:w="420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 xml:space="preserve">Outstanding as of December 31, 2024 </w:t>
            </w:r>
            <w:r>
              <w:rPr>
                <w:rFonts w:ascii="Times New Roman" w:cs="Times New Roman" w:eastAsia="Times New Roman" w:hAnsi="Times New Roman"/>
                <w:sz w:val="18"/>
                <w:szCs w:val="18"/>
                <w:color w:val="auto"/>
                <w:vertAlign w:val="superscript"/>
              </w:rPr>
              <w:t>(1)</w:t>
            </w:r>
          </w:p>
        </w:tc>
        <w:tc>
          <w:tcPr>
            <w:tcW w:w="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5,085,269</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6.78</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ind w:left="340"/>
              <w:spacing w:after="0" w:line="157" w:lineRule="exact"/>
              <w:rPr>
                <w:sz w:val="20"/>
                <w:szCs w:val="20"/>
                <w:color w:val="auto"/>
              </w:rPr>
            </w:pPr>
            <w:r>
              <w:rPr>
                <w:rFonts w:ascii="Times New Roman" w:cs="Times New Roman" w:eastAsia="Times New Roman" w:hAnsi="Times New Roman"/>
                <w:sz w:val="14"/>
                <w:szCs w:val="14"/>
                <w:color w:val="auto"/>
                <w:w w:val="89"/>
              </w:rPr>
              <w:t>7.28</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Cancelled or forfeited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(555,215)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Outstanding as of March 31, 2025</w:t>
            </w:r>
          </w:p>
        </w:tc>
        <w:tc>
          <w:tcPr>
            <w:tcW w:w="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5,124,445</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ind w:left="340"/>
              <w:spacing w:after="0" w:line="157" w:lineRule="exact"/>
              <w:rPr>
                <w:sz w:val="20"/>
                <w:szCs w:val="20"/>
                <w:color w:val="auto"/>
              </w:rPr>
            </w:pPr>
            <w:r>
              <w:rPr>
                <w:rFonts w:ascii="Times New Roman" w:cs="Times New Roman" w:eastAsia="Times New Roman" w:hAnsi="Times New Roman"/>
                <w:sz w:val="14"/>
                <w:szCs w:val="14"/>
                <w:color w:val="auto"/>
                <w:w w:val="89"/>
              </w:rPr>
              <w:t>7.11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220" w:type="dxa"/>
            <w:vAlign w:val="bottom"/>
            <w:gridSpan w:val="3"/>
          </w:tcPr>
          <w:p>
            <w:pPr>
              <w:spacing w:after="0" w:line="166" w:lineRule="exact"/>
              <w:rPr>
                <w:sz w:val="20"/>
                <w:szCs w:val="20"/>
                <w:color w:val="auto"/>
              </w:rPr>
            </w:pPr>
            <w:r>
              <w:rPr>
                <w:rFonts w:ascii="Times New Roman" w:cs="Times New Roman" w:eastAsia="Times New Roman" w:hAnsi="Times New Roman"/>
                <w:sz w:val="13"/>
                <w:szCs w:val="13"/>
                <w:color w:val="auto"/>
              </w:rPr>
              <w:t xml:space="preserve">Options vested and expected to vest as of March 31, 2025 </w:t>
            </w:r>
            <w:r>
              <w:rPr>
                <w:rFonts w:ascii="Times New Roman" w:cs="Times New Roman" w:eastAsia="Times New Roman" w:hAnsi="Times New Roman"/>
                <w:sz w:val="19"/>
                <w:szCs w:val="19"/>
                <w:color w:val="auto"/>
                <w:vertAlign w:val="superscript"/>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5,004,445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89"/>
              </w:rPr>
              <w:t>7.08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as of March 31, 2025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3,696,298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9"/>
              </w:rPr>
              <w:t>6.68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jc w:val="center"/>
              <w:ind w:right="20"/>
              <w:spacing w:after="0" w:line="12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jc w:val="center"/>
              <w:ind w:right="20"/>
              <w:spacing w:after="0" w:line="125" w:lineRule="exact"/>
              <w:rPr>
                <w:sz w:val="20"/>
                <w:szCs w:val="20"/>
                <w:color w:val="auto"/>
              </w:rPr>
            </w:pPr>
            <w:r>
              <w:rPr>
                <w:rFonts w:ascii="Times New Roman" w:cs="Times New Roman" w:eastAsia="Times New Roman" w:hAnsi="Times New Roman"/>
                <w:sz w:val="11"/>
                <w:szCs w:val="11"/>
                <w:b w:val="1"/>
                <w:bCs w:val="1"/>
                <w:color w:val="auto"/>
                <w:w w:val="97"/>
              </w:rPr>
              <w:t>Remaining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right"/>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4"/>
          </w:tcPr>
          <w:p>
            <w:pPr>
              <w:jc w:val="center"/>
              <w:ind w:right="20"/>
              <w:spacing w:after="0" w:line="12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51"/>
              <w:spacing w:after="0" w:line="125" w:lineRule="exact"/>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340" w:type="dxa"/>
            <w:vAlign w:val="bottom"/>
            <w:gridSpan w:val="2"/>
          </w:tcPr>
          <w:p>
            <w:pPr>
              <w:ind w:left="2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Exercise Price</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9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7"/>
        </w:trPr>
        <w:tc>
          <w:tcPr>
            <w:tcW w:w="4220" w:type="dxa"/>
            <w:vAlign w:val="bottom"/>
            <w:tcBorders>
              <w:top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 xml:space="preserve">Outstanding as of December 31, 2025 </w:t>
            </w:r>
            <w:r>
              <w:rPr>
                <w:rFonts w:ascii="Times New Roman" w:cs="Times New Roman" w:eastAsia="Times New Roman" w:hAnsi="Times New Roman"/>
                <w:sz w:val="18"/>
                <w:szCs w:val="18"/>
                <w:color w:val="auto"/>
                <w:vertAlign w:val="superscript"/>
              </w:rPr>
              <w:t>(3)</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5,546,772</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3.83</w:t>
            </w: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6.94</w:t>
            </w: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31,996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(29,252)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Cancelled or forfeited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(12,179)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Borders>
              <w:top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Outstanding as of March 31, 2026</w:t>
            </w:r>
          </w:p>
        </w:tc>
        <w:tc>
          <w:tcPr>
            <w:tcW w:w="6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5,538,921</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4.03</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gridSpan w:val="2"/>
            <w:shd w:val="clear" w:color="auto" w:fill="CCEEFF"/>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6.72</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ind w:left="1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131,528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20" w:type="dxa"/>
            <w:vAlign w:val="bottom"/>
            <w:gridSpan w:val="3"/>
          </w:tcPr>
          <w:p>
            <w:pPr>
              <w:spacing w:after="0" w:line="166" w:lineRule="exact"/>
              <w:rPr>
                <w:sz w:val="20"/>
                <w:szCs w:val="20"/>
                <w:color w:val="auto"/>
              </w:rPr>
            </w:pPr>
            <w:r>
              <w:rPr>
                <w:rFonts w:ascii="Times New Roman" w:cs="Times New Roman" w:eastAsia="Times New Roman" w:hAnsi="Times New Roman"/>
                <w:sz w:val="13"/>
                <w:szCs w:val="13"/>
                <w:color w:val="auto"/>
              </w:rPr>
              <w:t xml:space="preserve">Options vested and expected to vest as of March 31, 2026 </w:t>
            </w:r>
            <w:r>
              <w:rPr>
                <w:rFonts w:ascii="Times New Roman" w:cs="Times New Roman" w:eastAsia="Times New Roman" w:hAnsi="Times New Roman"/>
                <w:sz w:val="19"/>
                <w:szCs w:val="19"/>
                <w:color w:val="auto"/>
                <w:vertAlign w:val="superscript"/>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5,448,921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as of March 31, 2026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4,436,262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88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20" w:hanging="256"/>
        <w:spacing w:after="0"/>
        <w:tabs>
          <w:tab w:leader="none" w:pos="1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245,628 of stock options subject to performance conditions</w:t>
      </w:r>
    </w:p>
    <w:p>
      <w:pPr>
        <w:spacing w:after="0" w:line="171" w:lineRule="exact"/>
        <w:rPr>
          <w:rFonts w:ascii="Times New Roman" w:cs="Times New Roman" w:eastAsia="Times New Roman" w:hAnsi="Times New Roman"/>
          <w:sz w:val="14"/>
          <w:szCs w:val="14"/>
          <w:color w:val="auto"/>
        </w:rPr>
      </w:pPr>
    </w:p>
    <w:p>
      <w:pPr>
        <w:ind w:left="1020" w:hanging="256"/>
        <w:spacing w:after="0"/>
        <w:tabs>
          <w:tab w:leader="none" w:pos="1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120,000 stock options subject to performance conditions which are improbable as of March 31, 2025.</w:t>
      </w:r>
    </w:p>
    <w:p>
      <w:pPr>
        <w:spacing w:after="0" w:line="171" w:lineRule="exact"/>
        <w:rPr>
          <w:rFonts w:ascii="Times New Roman" w:cs="Times New Roman" w:eastAsia="Times New Roman" w:hAnsi="Times New Roman"/>
          <w:sz w:val="14"/>
          <w:szCs w:val="14"/>
          <w:color w:val="auto"/>
        </w:rPr>
      </w:pPr>
    </w:p>
    <w:p>
      <w:pPr>
        <w:ind w:left="1020" w:hanging="256"/>
        <w:spacing w:after="0"/>
        <w:tabs>
          <w:tab w:leader="none" w:pos="1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215,628 of stock options subject to performance conditions</w:t>
      </w:r>
    </w:p>
    <w:p>
      <w:pPr>
        <w:spacing w:after="0" w:line="171" w:lineRule="exact"/>
        <w:rPr>
          <w:rFonts w:ascii="Times New Roman" w:cs="Times New Roman" w:eastAsia="Times New Roman" w:hAnsi="Times New Roman"/>
          <w:sz w:val="14"/>
          <w:szCs w:val="14"/>
          <w:color w:val="auto"/>
        </w:rPr>
      </w:pPr>
    </w:p>
    <w:p>
      <w:pPr>
        <w:ind w:left="1020" w:hanging="256"/>
        <w:spacing w:after="0"/>
        <w:tabs>
          <w:tab w:leader="none" w:pos="10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90,000 stock options subject to performance conditions which are improbable as of March 31, 2026.</w:t>
      </w:r>
    </w:p>
    <w:p>
      <w:pPr>
        <w:spacing w:after="0" w:line="171" w:lineRule="exact"/>
        <w:rPr>
          <w:sz w:val="20"/>
          <w:szCs w:val="20"/>
          <w:color w:val="auto"/>
        </w:rPr>
      </w:pPr>
    </w:p>
    <w:p>
      <w:pPr>
        <w:ind w:left="760" w:right="899" w:firstLine="249"/>
        <w:spacing w:after="0" w:line="253" w:lineRule="auto"/>
        <w:rPr>
          <w:sz w:val="20"/>
          <w:szCs w:val="20"/>
          <w:color w:val="auto"/>
        </w:rPr>
      </w:pPr>
      <w:r>
        <w:rPr>
          <w:rFonts w:ascii="Times New Roman" w:cs="Times New Roman" w:eastAsia="Times New Roman" w:hAnsi="Times New Roman"/>
          <w:sz w:val="14"/>
          <w:szCs w:val="14"/>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March 31, 2026 there was $6,803 of total unrecognized stock-based compensation expense to be recognized over a weighted-average period of 4 years, respectively. As of March 31, 2026, the Company had $656 of total unrecognized stock-based compensation expense included in the total above for stock options with performance conditions currently considered not probable of achievement.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F-100</w:t>
      </w:r>
    </w:p>
    <w:p>
      <w:pPr>
        <w:sectPr>
          <w:pgSz w:w="11900" w:h="16838" w:orient="portrait"/>
          <w:cols w:equalWidth="0" w:num="1">
            <w:col w:w="9019"/>
          </w:cols>
          <w:pgMar w:left="1440" w:top="572" w:right="1440" w:bottom="1440" w:gutter="0" w:footer="0" w:header="0"/>
        </w:sectPr>
      </w:pPr>
    </w:p>
    <w:bookmarkStart w:id="238" w:name="page239"/>
    <w:bookmarkEnd w:id="23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12 - NET LOSS PER COMMON SHARE</w:t>
      </w:r>
    </w:p>
    <w:p>
      <w:pPr>
        <w:spacing w:after="0" w:line="173"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Basic and diluted net loss per common share is computed by dividing net loss by the weighted average number of common shares outstanding during the period.</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Basic and diluted losses per share are calculated as follows (in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15"/>
        </w:trPr>
        <w:tc>
          <w:tcPr>
            <w:tcW w:w="490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15"/>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4"/>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Numerator:</w:t>
            </w:r>
          </w:p>
        </w:tc>
        <w:tc>
          <w:tcPr>
            <w:tcW w:w="860" w:type="dxa"/>
            <w:vAlign w:val="bottom"/>
            <w:shd w:val="clear" w:color="auto" w:fill="CCEEFF"/>
          </w:tcPr>
          <w:p>
            <w:pPr>
              <w:ind w:left="7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stockholders—basic and diluted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Denominator: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5,056,994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5,016,149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stockholders—basic and diluted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right="1039" w:firstLine="249"/>
        <w:spacing w:after="0" w:line="278" w:lineRule="auto"/>
        <w:rPr>
          <w:sz w:val="20"/>
          <w:szCs w:val="20"/>
          <w:color w:val="auto"/>
        </w:rPr>
      </w:pPr>
      <w:r>
        <w:rPr>
          <w:rFonts w:ascii="Times New Roman" w:cs="Times New Roman" w:eastAsia="Times New Roman" w:hAnsi="Times New Roman"/>
          <w:sz w:val="14"/>
          <w:szCs w:val="14"/>
          <w:color w:val="auto"/>
        </w:rPr>
        <w:t>The following common stock equivalents were excluded from the calculation of diluted loss per share attributable to common stockholders because their inclusion would have been anti-dilutive:</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4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15"/>
        </w:trPr>
        <w:tc>
          <w:tcPr>
            <w:tcW w:w="4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jc w:val="right"/>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920" w:type="dxa"/>
            <w:vAlign w:val="bottom"/>
            <w:gridSpan w:val="2"/>
          </w:tcPr>
          <w:p>
            <w:pPr>
              <w:jc w:val="right"/>
              <w:ind w:right="191"/>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7"/>
        </w:trPr>
        <w:tc>
          <w:tcPr>
            <w:tcW w:w="4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redeemable convertible preferred stock</w:t>
            </w:r>
          </w:p>
        </w:tc>
        <w:tc>
          <w:tcPr>
            <w:tcW w:w="900" w:type="dxa"/>
            <w:vAlign w:val="bottom"/>
            <w:tcBorders>
              <w:top w:val="single" w:sz="8" w:color="CCEEFF"/>
            </w:tcBorders>
            <w:shd w:val="clear" w:color="auto" w:fill="CCEEFF"/>
          </w:tcPr>
          <w:p>
            <w:pPr>
              <w:ind w:left="8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1,234,568</w:t>
            </w:r>
          </w:p>
        </w:tc>
        <w:tc>
          <w:tcPr>
            <w:tcW w:w="180" w:type="dxa"/>
            <w:vAlign w:val="bottom"/>
            <w:tcBorders>
              <w:top w:val="single" w:sz="8" w:color="CCEEFF"/>
            </w:tcBorders>
            <w:shd w:val="clear" w:color="auto" w:fill="CCEEFF"/>
          </w:tcPr>
          <w:p>
            <w:pPr>
              <w:ind w:left="1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1,234,568</w:t>
            </w:r>
          </w:p>
        </w:tc>
      </w:tr>
      <w:tr>
        <w:trPr>
          <w:trHeight w:val="166"/>
        </w:trPr>
        <w:tc>
          <w:tcPr>
            <w:tcW w:w="49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Series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redeemable convertible preferred stock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2,362,204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2,362,204</w:t>
            </w:r>
          </w:p>
        </w:tc>
      </w:tr>
      <w:tr>
        <w:trPr>
          <w:trHeight w:val="166"/>
        </w:trPr>
        <w:tc>
          <w:tcPr>
            <w:tcW w:w="4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Series 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redeemable convertible preferred stock</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2,718,539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2,718,539</w:t>
            </w:r>
          </w:p>
        </w:tc>
      </w:tr>
      <w:tr>
        <w:trPr>
          <w:trHeight w:val="166"/>
        </w:trPr>
        <w:tc>
          <w:tcPr>
            <w:tcW w:w="49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Series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redeemable convertible preferred stock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3,570,724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3,570,724</w:t>
            </w:r>
          </w:p>
        </w:tc>
      </w:tr>
      <w:tr>
        <w:trPr>
          <w:trHeight w:val="166"/>
        </w:trPr>
        <w:tc>
          <w:tcPr>
            <w:tcW w:w="4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Series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redeemable convertible preferred stock</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2,513,698</w:t>
            </w:r>
          </w:p>
        </w:tc>
      </w:tr>
      <w:tr>
        <w:trPr>
          <w:trHeight w:val="166"/>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Series D redeemable convertible preferred stock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5,950,204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5,950,204</w:t>
            </w:r>
          </w:p>
        </w:tc>
      </w:tr>
      <w:tr>
        <w:trPr>
          <w:trHeight w:val="16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warrants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295,558</w:t>
            </w:r>
          </w:p>
        </w:tc>
      </w:tr>
      <w:tr>
        <w:trPr>
          <w:trHeight w:val="166"/>
        </w:trPr>
        <w:tc>
          <w:tcPr>
            <w:tcW w:w="492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 xml:space="preserve">Preferred stock issued upon conversion of convertible promissory notes </w:t>
            </w:r>
            <w:r>
              <w:rPr>
                <w:rFonts w:ascii="Times New Roman" w:cs="Times New Roman" w:eastAsia="Times New Roman" w:hAnsi="Times New Roman"/>
                <w:sz w:val="19"/>
                <w:szCs w:val="19"/>
                <w:color w:val="auto"/>
                <w:vertAlign w:val="superscript"/>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560,024</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5,538,921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5,124,445</w:t>
            </w:r>
          </w:p>
        </w:tc>
      </w:tr>
      <w:tr>
        <w:trPr>
          <w:trHeight w:val="181"/>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1,394,670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1,414,922</w:t>
            </w:r>
          </w:p>
        </w:tc>
      </w:tr>
    </w:tbl>
    <w:p>
      <w:pPr>
        <w:spacing w:after="0" w:line="136" w:lineRule="exact"/>
        <w:rPr>
          <w:sz w:val="20"/>
          <w:szCs w:val="20"/>
          <w:color w:val="auto"/>
        </w:rPr>
      </w:pPr>
    </w:p>
    <w:p>
      <w:pPr>
        <w:ind w:left="1020" w:right="879" w:hanging="256"/>
        <w:spacing w:after="0" w:line="255" w:lineRule="auto"/>
        <w:tabs>
          <w:tab w:leader="none" w:pos="10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March 31, 2026. This assumption included consideration of the multiple conversion features and applying probability weightings to an assumed price of approximately $38 per share ($19 per share after applying the 50%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F-101</w:t>
      </w:r>
    </w:p>
    <w:p>
      <w:pPr>
        <w:sectPr>
          <w:pgSz w:w="11900" w:h="16838" w:orient="portrait"/>
          <w:cols w:equalWidth="0" w:num="1">
            <w:col w:w="9019"/>
          </w:cols>
          <w:pgMar w:left="1440" w:top="572" w:right="1440" w:bottom="1440" w:gutter="0" w:footer="0" w:header="0"/>
        </w:sectPr>
      </w:pPr>
    </w:p>
    <w:bookmarkStart w:id="239" w:name="page240"/>
    <w:bookmarkEnd w:id="23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13 – SEGMENT INFORMATION</w:t>
      </w:r>
    </w:p>
    <w:p>
      <w:pPr>
        <w:spacing w:after="0" w:line="173" w:lineRule="exact"/>
        <w:rPr>
          <w:sz w:val="20"/>
          <w:szCs w:val="20"/>
          <w:color w:val="auto"/>
        </w:rPr>
      </w:pPr>
    </w:p>
    <w:p>
      <w:pPr>
        <w:ind w:left="760" w:right="799" w:firstLine="249"/>
        <w:spacing w:after="0" w:line="255" w:lineRule="auto"/>
        <w:rPr>
          <w:sz w:val="20"/>
          <w:szCs w:val="20"/>
          <w:color w:val="auto"/>
        </w:rPr>
      </w:pPr>
      <w:r>
        <w:rPr>
          <w:rFonts w:ascii="Times New Roman" w:cs="Times New Roman" w:eastAsia="Times New Roman" w:hAnsi="Times New Roman"/>
          <w:sz w:val="14"/>
          <w:szCs w:val="14"/>
          <w:color w:val="auto"/>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spacing w:after="0" w:line="142" w:lineRule="exact"/>
        <w:rPr>
          <w:sz w:val="20"/>
          <w:szCs w:val="20"/>
          <w:color w:val="auto"/>
        </w:rPr>
      </w:pPr>
    </w:p>
    <w:p>
      <w:pPr>
        <w:ind w:left="760" w:right="919" w:firstLine="249"/>
        <w:spacing w:after="0" w:line="257" w:lineRule="auto"/>
        <w:rPr>
          <w:sz w:val="20"/>
          <w:szCs w:val="20"/>
          <w:color w:val="auto"/>
        </w:rPr>
      </w:pPr>
      <w:r>
        <w:rPr>
          <w:rFonts w:ascii="Times New Roman" w:cs="Times New Roman" w:eastAsia="Times New Roman" w:hAnsi="Times New Roman"/>
          <w:sz w:val="14"/>
          <w:szCs w:val="14"/>
          <w:color w:val="auto"/>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w:t>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133"/>
        </w:trPr>
        <w:tc>
          <w:tcPr>
            <w:tcW w:w="39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15"/>
        </w:trPr>
        <w:tc>
          <w:tcPr>
            <w:tcW w:w="3900" w:type="dxa"/>
            <w:vAlign w:val="bottom"/>
            <w:tcBorders>
              <w:bottom w:val="single" w:sz="8" w:color="CCEEFF"/>
            </w:tcBorders>
          </w:tcPr>
          <w:p>
            <w:pPr>
              <w:spacing w:after="0"/>
              <w:rPr>
                <w:sz w:val="10"/>
                <w:szCs w:val="10"/>
                <w:color w:val="auto"/>
              </w:rPr>
            </w:pPr>
          </w:p>
        </w:tc>
        <w:tc>
          <w:tcPr>
            <w:tcW w:w="18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3"/>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r>
      <w:tr>
        <w:trPr>
          <w:trHeight w:val="157"/>
        </w:trPr>
        <w:tc>
          <w:tcPr>
            <w:tcW w:w="3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Operating expenses</w:t>
            </w:r>
          </w:p>
        </w:tc>
        <w:tc>
          <w:tcPr>
            <w:tcW w:w="1840" w:type="dxa"/>
            <w:vAlign w:val="bottom"/>
            <w:shd w:val="clear" w:color="auto" w:fill="CCEEFF"/>
          </w:tcPr>
          <w:p>
            <w:pPr>
              <w:ind w:left="1760"/>
              <w:spacing w:after="0" w:line="157" w:lineRule="exact"/>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8"/>
              <w:spacing w:after="0" w:line="157" w:lineRule="exact"/>
              <w:rPr>
                <w:sz w:val="20"/>
                <w:szCs w:val="20"/>
                <w:color w:val="auto"/>
              </w:rPr>
            </w:pPr>
            <w:r>
              <w:rPr>
                <w:rFonts w:ascii="Times New Roman" w:cs="Times New Roman" w:eastAsia="Times New Roman" w:hAnsi="Times New Roman"/>
                <w:sz w:val="14"/>
                <w:szCs w:val="14"/>
                <w:color w:val="231F20"/>
              </w:rPr>
              <w:t>​​​</w:t>
            </w:r>
          </w:p>
        </w:tc>
        <w:tc>
          <w:tcPr>
            <w:tcW w:w="600" w:type="dxa"/>
            <w:vAlign w:val="bottom"/>
            <w:shd w:val="clear" w:color="auto" w:fill="CCEEFF"/>
          </w:tcPr>
          <w:p>
            <w:pPr>
              <w:spacing w:after="0"/>
              <w:rPr>
                <w:sz w:val="13"/>
                <w:szCs w:val="13"/>
                <w:color w:val="auto"/>
              </w:rPr>
            </w:pPr>
          </w:p>
        </w:tc>
      </w:tr>
      <w:tr>
        <w:trPr>
          <w:trHeight w:val="16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231F20"/>
              </w:rPr>
              <w:t>Reimbursement from JDAs and others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3,410</w:t>
            </w:r>
          </w:p>
        </w:tc>
        <w:tc>
          <w:tcPr>
            <w:tcW w:w="40" w:type="dxa"/>
            <w:vAlign w:val="bottom"/>
          </w:tcPr>
          <w:p>
            <w:pPr>
              <w:spacing w:after="0"/>
              <w:rPr>
                <w:sz w:val="14"/>
                <w:szCs w:val="14"/>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w:t>
            </w:r>
          </w:p>
        </w:tc>
      </w:tr>
      <w:tr>
        <w:trPr>
          <w:trHeight w:val="16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Payroll expense</w:t>
            </w: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231F20"/>
              </w:rPr>
              <w:t>(5,860)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(8,133)</w:t>
            </w:r>
          </w:p>
        </w:tc>
      </w:tr>
      <w:tr>
        <w:trPr>
          <w:trHeight w:val="16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231F20"/>
              </w:rPr>
              <w:t>Occupancy expense</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231F20"/>
              </w:rPr>
              <w:t>(859)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(1,497)</w:t>
            </w:r>
          </w:p>
        </w:tc>
      </w:tr>
      <w:tr>
        <w:trPr>
          <w:trHeight w:val="16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Professional service expense</w:t>
            </w: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231F20"/>
              </w:rPr>
              <w:t>(916)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(606)</w:t>
            </w:r>
          </w:p>
        </w:tc>
      </w:tr>
      <w:tr>
        <w:trPr>
          <w:trHeight w:val="16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231F20"/>
              </w:rPr>
              <w:t>Research and development expense</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231F20"/>
              </w:rPr>
              <w:t>(933)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(537)</w:t>
            </w:r>
          </w:p>
        </w:tc>
      </w:tr>
      <w:tr>
        <w:trPr>
          <w:trHeight w:val="16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Depreciation expense</w:t>
            </w: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231F20"/>
              </w:rPr>
              <w:t>(882)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(1,984)</w:t>
            </w:r>
          </w:p>
        </w:tc>
      </w:tr>
      <w:tr>
        <w:trPr>
          <w:trHeight w:val="16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231F20"/>
              </w:rPr>
              <w:t>Other operating expense</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231F20"/>
              </w:rPr>
              <w:t>(451)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(399)</w:t>
            </w:r>
          </w:p>
        </w:tc>
      </w:tr>
      <w:tr>
        <w:trPr>
          <w:trHeight w:val="157"/>
        </w:trPr>
        <w:tc>
          <w:tcPr>
            <w:tcW w:w="3900" w:type="dxa"/>
            <w:vAlign w:val="bottom"/>
            <w:tcBorders>
              <w:top w:val="single" w:sz="8" w:color="CCEEFF"/>
            </w:tcBorders>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231F20"/>
              </w:rPr>
              <w:t>Loss from operations</w:t>
            </w:r>
          </w:p>
        </w:tc>
        <w:tc>
          <w:tcPr>
            <w:tcW w:w="1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(6,491)</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(13,122)</w:t>
            </w:r>
          </w:p>
        </w:tc>
      </w:tr>
      <w:tr>
        <w:trPr>
          <w:trHeight w:val="16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231F20"/>
              </w:rPr>
              <w:t>Total other income (expense), net</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231F20"/>
              </w:rPr>
              <w:t>(2,084)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252</w:t>
            </w:r>
          </w:p>
        </w:tc>
      </w:tr>
      <w:tr>
        <w:trPr>
          <w:trHeight w:val="157"/>
        </w:trPr>
        <w:tc>
          <w:tcPr>
            <w:tcW w:w="39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231F20"/>
              </w:rPr>
              <w:t>Net loss</w:t>
            </w:r>
          </w:p>
        </w:tc>
        <w:tc>
          <w:tcPr>
            <w:tcW w:w="1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(8,575)</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6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231F20"/>
              </w:rPr>
              <w:t>(12,870)</w:t>
            </w:r>
          </w:p>
        </w:tc>
      </w:tr>
    </w:tbl>
    <w:p>
      <w:pPr>
        <w:spacing w:after="0" w:line="151" w:lineRule="exact"/>
        <w:rPr>
          <w:sz w:val="20"/>
          <w:szCs w:val="20"/>
          <w:color w:val="auto"/>
        </w:rPr>
      </w:pPr>
    </w:p>
    <w:p>
      <w:pPr>
        <w:ind w:left="760" w:right="999" w:firstLine="249"/>
        <w:spacing w:after="0" w:line="262" w:lineRule="auto"/>
        <w:rPr>
          <w:sz w:val="20"/>
          <w:szCs w:val="20"/>
          <w:color w:val="auto"/>
        </w:rPr>
      </w:pPr>
      <w:r>
        <w:rPr>
          <w:rFonts w:ascii="Times New Roman" w:cs="Times New Roman" w:eastAsia="Times New Roman" w:hAnsi="Times New Roman"/>
          <w:sz w:val="14"/>
          <w:szCs w:val="14"/>
          <w:color w:val="auto"/>
        </w:rPr>
        <w:t>Assets provided to CODM are consistent with those reported on the condensed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14 - RELATED PARTY TRANSACTIONS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Collaboration Arrangements</w:t>
      </w:r>
    </w:p>
    <w:p>
      <w:pPr>
        <w:spacing w:after="0" w:line="173" w:lineRule="exact"/>
        <w:rPr>
          <w:sz w:val="20"/>
          <w:szCs w:val="20"/>
          <w:color w:val="auto"/>
        </w:rPr>
      </w:pPr>
    </w:p>
    <w:p>
      <w:pPr>
        <w:jc w:val="both"/>
        <w:ind w:left="760" w:right="999" w:firstLine="249"/>
        <w:spacing w:after="0" w:line="262" w:lineRule="auto"/>
        <w:rPr>
          <w:sz w:val="20"/>
          <w:szCs w:val="20"/>
          <w:color w:val="auto"/>
        </w:rPr>
      </w:pPr>
      <w:r>
        <w:rPr>
          <w:rFonts w:ascii="Times New Roman" w:cs="Times New Roman" w:eastAsia="Times New Roman" w:hAnsi="Times New Roman"/>
          <w:sz w:val="14"/>
          <w:szCs w:val="14"/>
          <w:color w:val="auto"/>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w:t>
      </w:r>
    </w:p>
    <w:p>
      <w:pPr>
        <w:spacing w:after="0" w:line="138" w:lineRule="exact"/>
        <w:rPr>
          <w:sz w:val="20"/>
          <w:szCs w:val="20"/>
          <w:color w:val="auto"/>
        </w:rPr>
      </w:pPr>
    </w:p>
    <w:p>
      <w:pPr>
        <w:ind w:left="760" w:right="979" w:firstLine="249"/>
        <w:spacing w:after="0" w:line="253" w:lineRule="auto"/>
        <w:rPr>
          <w:sz w:val="20"/>
          <w:szCs w:val="20"/>
          <w:color w:val="auto"/>
        </w:rPr>
      </w:pPr>
      <w:r>
        <w:rPr>
          <w:rFonts w:ascii="Times New Roman" w:cs="Times New Roman" w:eastAsia="Times New Roman" w:hAnsi="Times New Roman"/>
          <w:sz w:val="14"/>
          <w:szCs w:val="14"/>
          <w:color w:val="auto"/>
        </w:rPr>
        <w:t>Uwe Keller, a member of the Company’s Board of Directors, represents Mercedes-Benz who is an investor in the Company’s Preferred Stock and holder of Series D Warrants. For the three months ended March 31, 2026, the Company recognized no expense reimbursements for the services provided under the JDA with Mercedes-Benz. For the three months ended March 31, 2025, the Company recognized $24 in expense reimbursements for the services provided under the JDA with Mercedes-Benz, which are recorded net within research and development expenses on the condensed consolidated statement of operations. There were no amounts due from Mercedes-Benz as of March 31, 2026, and December 31, 2025.</w:t>
      </w:r>
    </w:p>
    <w:p>
      <w:pPr>
        <w:spacing w:after="0" w:line="145" w:lineRule="exact"/>
        <w:rPr>
          <w:sz w:val="20"/>
          <w:szCs w:val="20"/>
          <w:color w:val="auto"/>
        </w:rPr>
      </w:pPr>
    </w:p>
    <w:p>
      <w:pPr>
        <w:ind w:left="760" w:right="819" w:firstLine="249"/>
        <w:spacing w:after="0" w:line="255" w:lineRule="auto"/>
        <w:rPr>
          <w:sz w:val="20"/>
          <w:szCs w:val="20"/>
          <w:color w:val="auto"/>
        </w:rPr>
      </w:pPr>
      <w:r>
        <w:rPr>
          <w:rFonts w:ascii="Times New Roman" w:cs="Times New Roman" w:eastAsia="Times New Roman" w:hAnsi="Times New Roman"/>
          <w:sz w:val="14"/>
          <w:szCs w:val="14"/>
          <w:color w:val="auto"/>
        </w:rPr>
        <w:t>Michael Bly, a member of the Company’s Board of Directors, represents Stellantis who is an investor in the Company’s Preferred Stock and holder of Series D Warrants. For the three months ended March 31, 2026, and 2025, the Company recognized no expense reimbursements for the services provided under the JDA with Stellantis. There were no amounts due from Stellantis as of March 31, 2026. Amounts due from Stellantis totaled $1,000 which are included in receivables under collaboration agreements on the condensed consolidated balance sheets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F-102</w:t>
      </w:r>
    </w:p>
    <w:p>
      <w:pPr>
        <w:sectPr>
          <w:pgSz w:w="11900" w:h="16838" w:orient="portrait"/>
          <w:cols w:equalWidth="0" w:num="1">
            <w:col w:w="9019"/>
          </w:cols>
          <w:pgMar w:left="1440" w:top="572" w:right="1440" w:bottom="1440" w:gutter="0" w:footer="0" w:header="0"/>
        </w:sectPr>
      </w:pPr>
    </w:p>
    <w:bookmarkStart w:id="240" w:name="page241"/>
    <w:bookmarkEnd w:id="240"/>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879" w:firstLine="249"/>
        <w:spacing w:after="0" w:line="251" w:lineRule="auto"/>
        <w:rPr>
          <w:sz w:val="20"/>
          <w:szCs w:val="20"/>
          <w:color w:val="auto"/>
        </w:rPr>
      </w:pPr>
      <w:r>
        <w:rPr>
          <w:rFonts w:ascii="Times New Roman" w:cs="Times New Roman" w:eastAsia="Times New Roman" w:hAnsi="Times New Roman"/>
          <w:sz w:val="14"/>
          <w:szCs w:val="14"/>
          <w:color w:val="auto"/>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$2,000 to Stellantis for these services. As of March 31, 2026, and December 31, 2025, $40 and $160 are included in other non-current assets, respectively on the condensed consolidated balance sheets. As of March 31, 2026, and December 31, 2025, $910 and $950 are included in prepaid expenses and other current assets, respectively on the condensed consolidated balance sheets. During the three months ended March 31, 2026, $160 of expense was recognized as part of the agreement and is included in research and development expenses on the condensed consolidated statements of operations.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Consulting Arrangements</w:t>
      </w:r>
    </w:p>
    <w:p>
      <w:pPr>
        <w:spacing w:after="0" w:line="173"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In March of 2020, the Company entered into a consulting services agreement with Joseph Taylor who also serves as Executive Chairman of the Company’s Board of Directors. For the three months ended March 31, 2026 and 2025, the Company incurred $88 and $44, respectively in expenses for consulting services provided by Joseph Taylor recorded within selling, general and administrative expenses on the condensed consolidated statements of operations. Amounts due to Joseph Taylor totaled $30 and $190 as of March 31, 2026, and December 31, 2025, respectively and are included in accounts payable.</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15 - SUBSEQUENT EVENTS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Company has evaluated subsequent events through June 10, 2026.</w:t>
      </w:r>
    </w:p>
    <w:p>
      <w:pPr>
        <w:spacing w:after="0" w:line="171" w:lineRule="exact"/>
        <w:rPr>
          <w:sz w:val="20"/>
          <w:szCs w:val="20"/>
          <w:color w:val="auto"/>
        </w:rPr>
      </w:pPr>
    </w:p>
    <w:p>
      <w:pPr>
        <w:ind w:left="760" w:right="779" w:firstLine="249"/>
        <w:spacing w:after="0" w:line="270" w:lineRule="auto"/>
        <w:rPr>
          <w:sz w:val="20"/>
          <w:szCs w:val="20"/>
          <w:color w:val="auto"/>
        </w:rPr>
      </w:pPr>
      <w:r>
        <w:rPr>
          <w:rFonts w:ascii="Times New Roman" w:cs="Times New Roman" w:eastAsia="Times New Roman" w:hAnsi="Times New Roman"/>
          <w:sz w:val="13"/>
          <w:szCs w:val="13"/>
          <w:color w:val="auto"/>
        </w:rPr>
        <w:t>As discussed in Note 1, on June 5, 2026, upon the closing of the de-SPAC Transaction, the Company became a wholly-owned subsidiary of CGC. Under the BCA, each outstanding Class A ordinary share of CGC (each, a “CGC Class A Share”), each outstanding Class B ordinary share of CGC and each outstanding preference share of CGC was converted into one share of Series A Common Stock, par value $0.00001 per share, (the “PubCo Series A Common Stock”). Each share of Factorial Common Stock (excluding treasury shares, dissenting shares and shares held by the Factorial founders) issued and outstanding as of immediately prior to the Effective Time, was automatically canceled and extinguished and exchanged for a number of shares of PubCo Series A Common Stock equal to the consideration ratio of approximately 3.67 (the “Consideration Ratio”), which was based on an implied Factorial equity value of $1,100,000. Each share of Factorial Common Stock held by the Factorial Founders issued and outstanding as of immediately prior to the Effective Time, was automatically canceled and extinguished and exchanged for a number of shares of Series B Common Stock, par value $0.00001 per share (the “PubCo Series B Common Stock”) equal to the Consideration Ratio. Each share of Factorial Preferred Stock issued and outstanding as of immediately prior to the Effective Time was automatically canceled and extinguished and converted into the right to receive a number of shares of PubCo Series A Common Stock, par value $0.00001 per share, equal to the Consideration Ratio. PubCo received gross proceeds of approximately $112,100 in connection with the de-SPAC Transaction and the sale of a private placement of PubCo Series A Common Stock, prior to the payment of transaction expenses.</w:t>
      </w:r>
    </w:p>
    <w:p>
      <w:pPr>
        <w:spacing w:after="0" w:line="307"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Additionally, and in congruence with the consummation of the de-SPAC transaction, each option to purchase Factorial Common Stock (each, a “Factorial Option”), whether vested or unvested, ceased to represent the right to purchase Factorial Common Shares and was canceled in exchange for options to purchase PubCo Series A Common Stock under the equity incentive plan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was outstanding with respect to Factorial Common Stock (each, a “Factorial RSU Award”), whether vested or unvested, ceased to have any rights in respect of the Factorial Common Stock and was canceled in exchange for a restricted stock unit award under the PubCo Equity Incentive Plan that settled in a number of shares of PubCo Series A Common Stock in an amount and subject to such terms and conditions, in each case, as set forth on the allocation schedule, that was generally subject to the same terms and conditions that applied to the corresponding Factorial RSU Award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F-103</w:t>
      </w:r>
    </w:p>
    <w:p>
      <w:pPr>
        <w:sectPr>
          <w:pgSz w:w="11900" w:h="16838" w:orient="portrait"/>
          <w:cols w:equalWidth="0" w:num="1">
            <w:col w:w="9019"/>
          </w:cols>
          <w:pgMar w:left="1440" w:top="571" w:right="1440" w:bottom="1440" w:gutter="0" w:footer="0" w:header="0"/>
        </w:sectPr>
      </w:pPr>
    </w:p>
    <w:bookmarkStart w:id="241" w:name="page242"/>
    <w:bookmarkEnd w:id="241"/>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879" w:firstLine="249"/>
        <w:spacing w:after="0" w:line="255" w:lineRule="auto"/>
        <w:rPr>
          <w:sz w:val="20"/>
          <w:szCs w:val="20"/>
          <w:color w:val="auto"/>
        </w:rPr>
      </w:pPr>
      <w:r>
        <w:rPr>
          <w:rFonts w:ascii="Times New Roman" w:cs="Times New Roman" w:eastAsia="Times New Roman" w:hAnsi="Times New Roman"/>
          <w:sz w:val="14"/>
          <w:szCs w:val="14"/>
          <w:color w:val="auto"/>
        </w:rPr>
        <w:t>On April 1, 2026, the Company modified an outstanding equity award granted to a consultant that included performance based vesting conditions. As a result of the modification, 90,000 previously granted stock options were forfeited. Pursuant to the modification, and contingent upon the closing of the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s pending business combination, the Company is required to grant the consultant RSUs with an aggregate grant date fair value of $250. Additionally, the modification provides for the issuance of 100,000 RSUs subject to performance conditions as defined in the amended agreement.</w:t>
      </w:r>
    </w:p>
    <w:p>
      <w:pPr>
        <w:spacing w:after="0" w:line="141" w:lineRule="exact"/>
        <w:rPr>
          <w:sz w:val="20"/>
          <w:szCs w:val="20"/>
          <w:color w:val="auto"/>
        </w:rPr>
      </w:pPr>
    </w:p>
    <w:p>
      <w:pPr>
        <w:ind w:left="760" w:right="1159" w:firstLine="249"/>
        <w:spacing w:after="0" w:line="262" w:lineRule="auto"/>
        <w:rPr>
          <w:sz w:val="20"/>
          <w:szCs w:val="20"/>
          <w:color w:val="auto"/>
        </w:rPr>
      </w:pPr>
      <w:r>
        <w:rPr>
          <w:rFonts w:ascii="Times New Roman" w:cs="Times New Roman" w:eastAsia="Times New Roman" w:hAnsi="Times New Roman"/>
          <w:sz w:val="14"/>
          <w:szCs w:val="14"/>
          <w:color w:val="auto"/>
        </w:rPr>
        <w:t>On April 27, 2026, the Company entered into a definitive agreement to sell its wholly-owned subsidiary Factorial Germany GmbH for a total consideration of $6. The transaction will close at a later date, subject to the satisfaction of customary closing conditions in accordance with German law and registration with the German Commercial Register.</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On May 18, 2026, the Company received $1,040 of proceeds related to the January 2026 Notes.</w:t>
      </w:r>
    </w:p>
    <w:p>
      <w:pPr>
        <w:spacing w:after="0" w:line="171" w:lineRule="exact"/>
        <w:rPr>
          <w:sz w:val="20"/>
          <w:szCs w:val="20"/>
          <w:color w:val="auto"/>
        </w:rPr>
      </w:pPr>
    </w:p>
    <w:p>
      <w:pPr>
        <w:ind w:left="760" w:right="879" w:firstLine="249"/>
        <w:spacing w:after="0" w:line="262" w:lineRule="auto"/>
        <w:rPr>
          <w:sz w:val="20"/>
          <w:szCs w:val="20"/>
          <w:color w:val="auto"/>
        </w:rPr>
      </w:pPr>
      <w:r>
        <w:rPr>
          <w:rFonts w:ascii="Times New Roman" w:cs="Times New Roman" w:eastAsia="Times New Roman" w:hAnsi="Times New Roman"/>
          <w:sz w:val="14"/>
          <w:szCs w:val="14"/>
          <w:color w:val="auto"/>
        </w:rPr>
        <w:t>On June 5, 2026, the Company entered into an agreement with Clear Street LLC (“Clear Street”), pursuant to which Clear Street agreed to act as capital markets advisor to the Company for a term of twelve months. As consideration for these services, the agreement provides for the issuance to Clear Street of 100,000 shares of PubCo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F-104</w:t>
      </w:r>
    </w:p>
    <w:p>
      <w:pPr>
        <w:sectPr>
          <w:pgSz w:w="11900" w:h="16838" w:orient="portrait"/>
          <w:cols w:equalWidth="0" w:num="1">
            <w:col w:w="9019"/>
          </w:cols>
          <w:pgMar w:left="1440" w:top="572" w:right="1440" w:bottom="1440" w:gutter="0" w:footer="0" w:header="0"/>
        </w:sectPr>
      </w:pPr>
    </w:p>
    <w:bookmarkStart w:id="242" w:name="page243"/>
    <w:bookmarkEnd w:id="242"/>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Factorial Energy Inc.</w:t>
      </w:r>
    </w:p>
    <w:p>
      <w:pPr>
        <w:spacing w:after="0" w:line="18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b w:val="1"/>
          <w:bCs w:val="1"/>
          <w:color w:val="auto"/>
        </w:rPr>
        <w:t>86,441,489 Shares of Series A Common Stock by the Selling Securityholders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13,800,000 Shares of Series A Common Stock Issuable Upon the Exercise of Public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31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 2026</w:t>
      </w:r>
    </w:p>
    <w:p>
      <w:pPr>
        <w:sectPr>
          <w:pgSz w:w="11900" w:h="16838" w:orient="portrait"/>
          <w:cols w:equalWidth="0" w:num="1">
            <w:col w:w="9019"/>
          </w:cols>
          <w:pgMar w:left="1440" w:top="571" w:right="1440"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PART II</w:t>
      </w:r>
    </w:p>
    <w:p>
      <w:pPr>
        <w:spacing w:after="0" w:line="17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1" w:lineRule="exact"/>
        <w:rPr>
          <w:sz w:val="20"/>
          <w:szCs w:val="20"/>
          <w:color w:val="auto"/>
        </w:rPr>
      </w:pPr>
    </w:p>
    <w:p>
      <w:pPr>
        <w:ind w:left="7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173" w:lineRule="exact"/>
        <w:rPr>
          <w:sz w:val="20"/>
          <w:szCs w:val="20"/>
          <w:color w:val="auto"/>
        </w:rPr>
      </w:pPr>
    </w:p>
    <w:p>
      <w:pPr>
        <w:ind w:left="760" w:right="839" w:firstLine="249"/>
        <w:spacing w:after="0" w:line="275" w:lineRule="auto"/>
        <w:rPr>
          <w:sz w:val="20"/>
          <w:szCs w:val="20"/>
          <w:color w:val="auto"/>
        </w:rPr>
      </w:pPr>
      <w:r>
        <w:rPr>
          <w:rFonts w:ascii="Times New Roman" w:cs="Times New Roman" w:eastAsia="Times New Roman" w:hAnsi="Times New Roman"/>
          <w:sz w:val="13"/>
          <w:szCs w:val="13"/>
          <w:color w:val="auto"/>
        </w:rPr>
        <w:t>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except with respect to amounts received by us, if any, upon the exercise of the Options or the Warrants to the extent such Options or Warrants are exercised for cash.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All amounts are estimates, except for the SEC registration fee.</w:t>
      </w:r>
    </w:p>
    <w:p>
      <w:pPr>
        <w:spacing w:after="0" w:line="198" w:lineRule="exact"/>
        <w:rPr>
          <w:sz w:val="20"/>
          <w:szCs w:val="20"/>
          <w:color w:val="auto"/>
        </w:rPr>
      </w:pPr>
    </w:p>
    <w:p>
      <w:pPr>
        <w:ind w:left="7140"/>
        <w:spacing w:after="0"/>
        <w:tabs>
          <w:tab w:leader="none" w:pos="750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0"/>
          <w:szCs w:val="10"/>
          <w:b w:val="1"/>
          <w:bCs w:val="1"/>
          <w:color w:val="auto"/>
        </w:rPr>
        <w:t>Amount</w:t>
      </w:r>
    </w:p>
    <w:p>
      <w:pPr>
        <w:sectPr>
          <w:pgSz w:w="11900" w:h="16838" w:orient="portrait"/>
          <w:cols w:equalWidth="0" w:num="1">
            <w:col w:w="9019"/>
          </w:cols>
          <w:pgMar w:left="1440" w:top="767" w:right="1440" w:bottom="1440" w:gutter="0" w:footer="0" w:header="0"/>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Miscellaneous fees and expenses</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Total expenses</w:t>
      </w:r>
    </w:p>
    <w:p>
      <w:pPr>
        <w:spacing w:after="0" w:line="20" w:lineRule="exact"/>
        <w:rPr>
          <w:sz w:val="20"/>
          <w:szCs w:val="20"/>
          <w:color w:val="auto"/>
        </w:rPr>
      </w:pPr>
      <w:r>
        <w:rPr>
          <w:sz w:val="20"/>
          <w:szCs w:val="20"/>
          <w:color w:val="auto"/>
        </w:rPr>
        <w:br w:type="column"/>
      </w:r>
    </w:p>
    <w:p>
      <w:pPr>
        <w:ind w:left="294" w:hanging="294"/>
        <w:spacing w:after="0"/>
        <w:tabs>
          <w:tab w:leader="none" w:pos="29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155,737.69</w:t>
      </w:r>
    </w:p>
    <w:p>
      <w:pPr>
        <w:spacing w:after="0" w:line="4" w:lineRule="exact"/>
        <w:rPr>
          <w:rFonts w:ascii="Times New Roman" w:cs="Times New Roman" w:eastAsia="Times New Roman" w:hAnsi="Times New Roman"/>
          <w:sz w:val="14"/>
          <w:szCs w:val="14"/>
          <w:color w:val="auto"/>
        </w:rPr>
      </w:pPr>
    </w:p>
    <w:p>
      <w:pPr>
        <w:ind w:left="89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14"/>
          <w:szCs w:val="14"/>
          <w:color w:val="auto"/>
        </w:rPr>
      </w:pPr>
    </w:p>
    <w:p>
      <w:pPr>
        <w:ind w:left="89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14"/>
          <w:szCs w:val="14"/>
          <w:color w:val="auto"/>
        </w:rPr>
      </w:pPr>
    </w:p>
    <w:p>
      <w:pPr>
        <w:ind w:left="89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5" w:lineRule="exact"/>
        <w:rPr>
          <w:sz w:val="20"/>
          <w:szCs w:val="20"/>
          <w:color w:val="auto"/>
        </w:rPr>
      </w:pPr>
    </w:p>
    <w:p>
      <w:pPr>
        <w:ind w:left="894" w:hanging="894"/>
        <w:spacing w:after="0"/>
        <w:tabs>
          <w:tab w:leader="none" w:pos="894"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5" w:lineRule="exact"/>
        <w:rPr>
          <w:sz w:val="20"/>
          <w:szCs w:val="20"/>
          <w:color w:val="auto"/>
        </w:rPr>
      </w:pPr>
    </w:p>
    <w:p>
      <w:pPr>
        <w:sectPr>
          <w:pgSz w:w="11900" w:h="16838" w:orient="portrait"/>
          <w:cols w:equalWidth="0" w:num="2">
            <w:col w:w="6506" w:space="720"/>
            <w:col w:w="1793"/>
          </w:cols>
          <w:pgMar w:left="1440" w:top="767" w:right="1440" w:bottom="1440" w:gutter="0" w:footer="0" w:header="0"/>
          <w:type w:val="continuous"/>
        </w:sectPr>
      </w:pPr>
    </w:p>
    <w:p>
      <w:pPr>
        <w:spacing w:after="0" w:line="158" w:lineRule="exact"/>
        <w:rPr>
          <w:sz w:val="20"/>
          <w:szCs w:val="20"/>
          <w:color w:val="auto"/>
        </w:rPr>
      </w:pPr>
    </w:p>
    <w:p>
      <w:pPr>
        <w:ind w:left="760" w:right="859" w:firstLine="4"/>
        <w:spacing w:after="0" w:line="278" w:lineRule="auto"/>
        <w:tabs>
          <w:tab w:leader="none" w:pos="86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will be determined based on the securities offered and the number of issuances and accordingly cannot be defined at this time.</w:t>
      </w:r>
    </w:p>
    <w:p>
      <w:pPr>
        <w:spacing w:after="0" w:line="124" w:lineRule="exact"/>
        <w:rPr>
          <w:sz w:val="20"/>
          <w:szCs w:val="20"/>
          <w:color w:val="auto"/>
        </w:rPr>
      </w:pPr>
    </w:p>
    <w:p>
      <w:pPr>
        <w:ind w:left="7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173" w:lineRule="exact"/>
        <w:rPr>
          <w:sz w:val="20"/>
          <w:szCs w:val="20"/>
          <w:color w:val="auto"/>
        </w:rPr>
      </w:pPr>
    </w:p>
    <w:p>
      <w:pPr>
        <w:ind w:left="760" w:right="819" w:firstLine="249"/>
        <w:spacing w:after="0" w:line="251" w:lineRule="auto"/>
        <w:rPr>
          <w:sz w:val="20"/>
          <w:szCs w:val="20"/>
          <w:color w:val="auto"/>
        </w:rPr>
      </w:pPr>
      <w:r>
        <w:rPr>
          <w:rFonts w:ascii="Times New Roman" w:cs="Times New Roman" w:eastAsia="Times New Roman" w:hAnsi="Times New Roman"/>
          <w:sz w:val="14"/>
          <w:szCs w:val="14"/>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7" w:lineRule="exact"/>
        <w:rPr>
          <w:sz w:val="20"/>
          <w:szCs w:val="20"/>
          <w:color w:val="auto"/>
        </w:rPr>
      </w:pPr>
    </w:p>
    <w:p>
      <w:pPr>
        <w:ind w:left="760" w:right="799" w:firstLine="249"/>
        <w:spacing w:after="0" w:line="250" w:lineRule="auto"/>
        <w:rPr>
          <w:sz w:val="20"/>
          <w:szCs w:val="20"/>
          <w:color w:val="auto"/>
        </w:rPr>
      </w:pPr>
      <w:r>
        <w:rPr>
          <w:rFonts w:ascii="Times New Roman" w:cs="Times New Roman" w:eastAsia="Times New Roman" w:hAnsi="Times New Roman"/>
          <w:sz w:val="14"/>
          <w:szCs w:val="14"/>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50" w:lineRule="exact"/>
        <w:rPr>
          <w:sz w:val="20"/>
          <w:szCs w:val="20"/>
          <w:color w:val="auto"/>
        </w:rPr>
      </w:pPr>
    </w:p>
    <w:p>
      <w:pPr>
        <w:ind w:left="760" w:right="779" w:firstLine="249"/>
        <w:spacing w:after="0" w:line="255" w:lineRule="auto"/>
        <w:rPr>
          <w:sz w:val="20"/>
          <w:szCs w:val="20"/>
          <w:color w:val="auto"/>
        </w:rPr>
      </w:pPr>
      <w:r>
        <w:rPr>
          <w:rFonts w:ascii="Times New Roman" w:cs="Times New Roman" w:eastAsia="Times New Roman" w:hAnsi="Times New Roman"/>
          <w:sz w:val="14"/>
          <w:szCs w:val="14"/>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9019"/>
          </w:cols>
          <w:pgMar w:left="1440" w:top="767" w:right="1440" w:bottom="1440" w:gutter="0" w:footer="0" w:header="0"/>
          <w:type w:val="continuous"/>
        </w:sectPr>
      </w:pPr>
    </w:p>
    <w:bookmarkStart w:id="244" w:name="page245"/>
    <w:bookmarkEnd w:id="244"/>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1" w:lineRule="exact"/>
        <w:rPr>
          <w:sz w:val="20"/>
          <w:szCs w:val="20"/>
          <w:color w:val="auto"/>
        </w:rPr>
      </w:pPr>
    </w:p>
    <w:p>
      <w:pPr>
        <w:ind w:left="760" w:right="779" w:firstLine="249"/>
        <w:spacing w:after="0" w:line="250" w:lineRule="auto"/>
        <w:rPr>
          <w:sz w:val="20"/>
          <w:szCs w:val="20"/>
          <w:color w:val="auto"/>
        </w:rPr>
      </w:pPr>
      <w:r>
        <w:rPr>
          <w:rFonts w:ascii="Times New Roman" w:cs="Times New Roman" w:eastAsia="Times New Roman" w:hAnsi="Times New Roman"/>
          <w:sz w:val="14"/>
          <w:szCs w:val="14"/>
          <w:color w:val="auto"/>
        </w:rPr>
        <w:t>Our Factorial Energy Charter, which became effective upon completion of the Business Combination, provides that, to the fullest extent permitted by the DGCL, no director or officer of ours shall be personally liable to us or our stockholders for monetary damages for breach of his or her fiduciary duty as a director or officer, as applicable; provided, however, that, with respect to directors, such limitation of liability does not apply to liability (a) for any breach of the director’s duty of loyalty to us or our stockholders, (b) for acts or omissions not in good faith or which involve intentional misconduct or a knowing violation of law, (c) under Section 174 of the DGCL, or (d) for any transaction from which the director derived an improper personal benefit; and, with respect to officers, such limitation of liability does not apply to liability (a) for any breach of the officer’s duty of loyalty to us or our stockholders, (b) for acts or omissions not in good faith or which involve intentional misconduct or a knowing violation of law, (c) for any transaction from which the officer derived an improper personal benefit, or (d) arising from any claim brought by or in the right of Factorial Energy. Our Factorial Energy Charter further provides that if the DGCL is amended to authorize corporate action further eliminating or limiting the personal liability of directors or officers, then the liability of a director or officer of ours shall be eliminated or limited to the fullest extent permitted by the DGCL, as so amended.</w:t>
      </w:r>
    </w:p>
    <w:p>
      <w:pPr>
        <w:spacing w:after="0" w:line="148" w:lineRule="exact"/>
        <w:rPr>
          <w:sz w:val="20"/>
          <w:szCs w:val="20"/>
          <w:color w:val="auto"/>
        </w:rPr>
      </w:pPr>
    </w:p>
    <w:p>
      <w:pPr>
        <w:ind w:left="760" w:right="859" w:firstLine="249"/>
        <w:spacing w:after="0" w:line="257" w:lineRule="auto"/>
        <w:rPr>
          <w:sz w:val="20"/>
          <w:szCs w:val="20"/>
          <w:color w:val="auto"/>
        </w:rPr>
      </w:pPr>
      <w:r>
        <w:rPr>
          <w:rFonts w:ascii="Times New Roman" w:cs="Times New Roman" w:eastAsia="Times New Roman" w:hAnsi="Times New Roman"/>
          <w:sz w:val="14"/>
          <w:szCs w:val="14"/>
          <w:color w:val="auto"/>
        </w:rPr>
        <w:t>Our Factorial Energy Charter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w:t>
      </w:r>
    </w:p>
    <w:p>
      <w:pPr>
        <w:spacing w:after="0" w:line="142" w:lineRule="exact"/>
        <w:rPr>
          <w:sz w:val="20"/>
          <w:szCs w:val="20"/>
          <w:color w:val="auto"/>
        </w:rPr>
      </w:pPr>
    </w:p>
    <w:p>
      <w:pPr>
        <w:ind w:left="760" w:right="779" w:firstLine="249"/>
        <w:spacing w:after="0" w:line="249" w:lineRule="auto"/>
        <w:rPr>
          <w:sz w:val="20"/>
          <w:szCs w:val="20"/>
          <w:color w:val="auto"/>
        </w:rPr>
      </w:pPr>
      <w:r>
        <w:rPr>
          <w:rFonts w:ascii="Times New Roman" w:cs="Times New Roman" w:eastAsia="Times New Roman" w:hAnsi="Times New Roman"/>
          <w:sz w:val="14"/>
          <w:szCs w:val="14"/>
          <w:color w:val="auto"/>
        </w:rPr>
        <w:t>Our Factorial Energy Bylaws provide that each Director and Officer shall be indemnified and held harmless by Factorial Energy to the fullest extent authorized by the DGCL against any and all Expenses and Liabilities incurred in connection with any Proceeding (other than a Proceeding by or in the right of Factorial Energy) by reason of such person’s Corporate Status, provided that such Director or Officer acted in good faith and in a manner reasonably believed to be in or not opposed to the best interests of Factorial Energy and, with respect to any criminal proceeding, had no reasonable cause to believe his or her conduct was unlawful. With respect to Proceedings brought by or in the right of Factorial Energy, each Director and Officer shall be indemnified against Expenses incurred in connection therewith, except that no indemnification shall be made in respect of any claim as to which such Director or Officer shall have been finally adjudged liable to Factorial Energy, unless the Court of Chancery of the State of Delaware or the court in which such Proceeding was brought determines that, despite such adjudication of liability, such Director or Officer is fairly and reasonably entitled to indemnification for such Expenses as the court deems proper. Non-Officer Employees may, in the discretion of the Board of Directors, be indemnified on similar terms to the fullest extent authorized by the DGCL. The Factorial Energy Bylaws further provide that Factorial Energy shall advance all Expenses incurred by or on behalf of any Director in connection with any Proceeding within thirty (30) days after receipt of a written request therefor, subject to an undertaking by such Director to repay such amounts if it is ultimately determined that such Director is not entitled to indemnification; advancement of Expenses to Officers and Non-Officer Employees is available at the discretion of the Board of Directors on similar terms. The rights to indemnification and advancement of Expenses provided under the Factorial Energy Bylaws are deemed contractual in nature, vest at the time of the act or omission in question, and shall not be reduced or eliminated by any subsequent amendment, repeal or modification of the Factorial Energy Bylaws.</w:t>
      </w:r>
    </w:p>
    <w:p>
      <w:pPr>
        <w:spacing w:after="0" w:line="152" w:lineRule="exact"/>
        <w:rPr>
          <w:sz w:val="20"/>
          <w:szCs w:val="20"/>
          <w:color w:val="auto"/>
        </w:rPr>
      </w:pPr>
    </w:p>
    <w:p>
      <w:pPr>
        <w:ind w:left="760" w:right="1199" w:firstLine="249"/>
        <w:spacing w:after="0" w:line="262" w:lineRule="auto"/>
        <w:rPr>
          <w:sz w:val="20"/>
          <w:szCs w:val="20"/>
          <w:color w:val="auto"/>
        </w:rPr>
      </w:pPr>
      <w:r>
        <w:rPr>
          <w:rFonts w:ascii="Times New Roman" w:cs="Times New Roman" w:eastAsia="Times New Roman" w:hAnsi="Times New Roman"/>
          <w:sz w:val="14"/>
          <w:szCs w:val="14"/>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Factorial Energy Charter and our Factorial Energy Bylaws.</w:t>
      </w:r>
    </w:p>
    <w:p>
      <w:pPr>
        <w:spacing w:after="0" w:line="138" w:lineRule="exact"/>
        <w:rPr>
          <w:sz w:val="20"/>
          <w:szCs w:val="20"/>
          <w:color w:val="auto"/>
        </w:rPr>
      </w:pPr>
    </w:p>
    <w:p>
      <w:pPr>
        <w:ind w:left="760" w:right="959" w:firstLine="249"/>
        <w:spacing w:after="0" w:line="278" w:lineRule="auto"/>
        <w:rPr>
          <w:sz w:val="20"/>
          <w:szCs w:val="20"/>
          <w:color w:val="auto"/>
        </w:rPr>
      </w:pPr>
      <w:r>
        <w:rPr>
          <w:rFonts w:ascii="Times New Roman" w:cs="Times New Roman" w:eastAsia="Times New Roman" w:hAnsi="Times New Roman"/>
          <w:sz w:val="14"/>
          <w:szCs w:val="14"/>
          <w:color w:val="auto"/>
        </w:rPr>
        <w:t>We also maintain a general liability insurance policy, which will cover certain liabilities of directors and officers of ours arising out of claims based on acts or omissions in their capacities as directors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9019"/>
          </w:cols>
          <w:pgMar w:left="1440" w:top="572" w:right="1440" w:bottom="1440" w:gutter="0" w:footer="0" w:header="0"/>
        </w:sectPr>
      </w:pPr>
    </w:p>
    <w:bookmarkStart w:id="245" w:name="page246"/>
    <w:bookmarkEnd w:id="245"/>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RECENT SALES OF UNREGISTERED SECURITIES.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Founder Shares</w:t>
      </w:r>
    </w:p>
    <w:p>
      <w:pPr>
        <w:spacing w:after="0" w:line="173" w:lineRule="exact"/>
        <w:rPr>
          <w:sz w:val="20"/>
          <w:szCs w:val="20"/>
          <w:color w:val="auto"/>
        </w:rPr>
      </w:pPr>
    </w:p>
    <w:p>
      <w:pPr>
        <w:ind w:left="760" w:right="899" w:firstLine="249"/>
        <w:spacing w:after="0" w:line="257" w:lineRule="auto"/>
        <w:rPr>
          <w:sz w:val="20"/>
          <w:szCs w:val="20"/>
          <w:color w:val="auto"/>
        </w:rPr>
      </w:pPr>
      <w:r>
        <w:rPr>
          <w:rFonts w:ascii="Times New Roman" w:cs="Times New Roman" w:eastAsia="Times New Roman" w:hAnsi="Times New Roman"/>
          <w:sz w:val="14"/>
          <w:szCs w:val="14"/>
          <w:color w:val="auto"/>
        </w:rPr>
        <w:t>On November 12, 2024, CGC issued an aggregate of 5,750,000 founder shares to the Sponsor and DirectorCo for a total subscription price of $25,000, or approximately $0.004 per share. On May 1, 2025, pursuant to a share recapitalization, we issued an additional 1,150,000 founder shares to the sponsor, resulting in the company’s initial shareholders holding an aggregate of 6,900,000 founder shares.</w:t>
      </w:r>
    </w:p>
    <w:p>
      <w:pPr>
        <w:spacing w:after="0" w:line="142" w:lineRule="exact"/>
        <w:rPr>
          <w:sz w:val="20"/>
          <w:szCs w:val="20"/>
          <w:color w:val="auto"/>
        </w:rPr>
      </w:pPr>
    </w:p>
    <w:p>
      <w:pPr>
        <w:ind w:left="760" w:right="799" w:firstLine="249"/>
        <w:spacing w:after="0" w:line="257" w:lineRule="auto"/>
        <w:rPr>
          <w:sz w:val="20"/>
          <w:szCs w:val="20"/>
          <w:color w:val="auto"/>
        </w:rPr>
      </w:pPr>
      <w:r>
        <w:rPr>
          <w:rFonts w:ascii="Times New Roman" w:cs="Times New Roman" w:eastAsia="Times New Roman" w:hAnsi="Times New Roman"/>
          <w:sz w:val="14"/>
          <w:szCs w:val="14"/>
          <w:color w:val="auto"/>
        </w:rPr>
        <w:t>CGC’s sponsor and Cantor purchased an aggregate of 6,800,000 private placement warrants at a price of $1.00 per warrant ($6,800,000 in the aggregate), in a private placement that occurred simultaneously with the closing of our initial public offering. Among the private placement warrants, 4,400,000 warrants were purchased by our sponsor and 2,400,000 warrants were purchased by Cantor. Each private placement warrant is exercisable for one Class A ordinary share at $11.50 per share.</w:t>
      </w:r>
    </w:p>
    <w:p>
      <w:pPr>
        <w:spacing w:after="0" w:line="142" w:lineRule="exact"/>
        <w:rPr>
          <w:sz w:val="20"/>
          <w:szCs w:val="20"/>
          <w:color w:val="auto"/>
        </w:rPr>
      </w:pPr>
    </w:p>
    <w:p>
      <w:pPr>
        <w:ind w:left="760" w:right="1079" w:firstLine="249"/>
        <w:spacing w:after="0" w:line="262" w:lineRule="auto"/>
        <w:rPr>
          <w:sz w:val="20"/>
          <w:szCs w:val="20"/>
          <w:color w:val="auto"/>
        </w:rPr>
      </w:pPr>
      <w:r>
        <w:rPr>
          <w:rFonts w:ascii="Times New Roman" w:cs="Times New Roman" w:eastAsia="Times New Roman" w:hAnsi="Times New Roman"/>
          <w:sz w:val="14"/>
          <w:szCs w:val="14"/>
          <w:color w:val="auto"/>
        </w:rPr>
        <w:t>On June 5, 2026, the Company sold 7,519,404 shares of common stock to the PIPE Investors pursuant to certain subscription agreements, dated as of December 17, 2025, between CGC, on the one hand, and the PIPE Investors, on the other hand. Such securities were issued pursuant to the exemption from registration contained in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9019"/>
          </w:cols>
          <w:pgMar w:left="1440" w:top="572" w:right="1440" w:bottom="1440" w:gutter="0" w:footer="0" w:header="0"/>
        </w:sectPr>
      </w:pPr>
    </w:p>
    <w:bookmarkStart w:id="246" w:name="page247"/>
    <w:bookmarkEnd w:id="246"/>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713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01945" cy="707136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73" w:lineRule="exact"/>
        <w:rPr>
          <w:sz w:val="20"/>
          <w:szCs w:val="20"/>
          <w:color w:val="auto"/>
        </w:rPr>
      </w:pPr>
    </w:p>
    <w:p>
      <w:pPr>
        <w:ind w:left="1140" w:hanging="376"/>
        <w:spacing w:after="0"/>
        <w:tabs>
          <w:tab w:leader="none" w:pos="11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77" w:lineRule="exact"/>
        <w:rPr>
          <w:sz w:val="20"/>
          <w:szCs w:val="20"/>
          <w:color w:val="auto"/>
        </w:rPr>
      </w:pPr>
    </w:p>
    <w:p>
      <w:pPr>
        <w:ind w:left="840"/>
        <w:spacing w:after="0"/>
        <w:tabs>
          <w:tab w:leader="none" w:pos="150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vertAlign w:val="superscript"/>
        </w:rPr>
        <w:t xml:space="preserve">​​​ </w:t>
      </w:r>
      <w:r>
        <w:rPr>
          <w:rFonts w:ascii="Times New Roman" w:cs="Times New Roman" w:eastAsia="Times New Roman" w:hAnsi="Times New Roman"/>
          <w:sz w:val="12"/>
          <w:szCs w:val="12"/>
          <w:b w:val="1"/>
          <w:bCs w:val="1"/>
          <w:color w:val="auto"/>
        </w:rPr>
        <w:t>Description</w:t>
      </w:r>
    </w:p>
    <w:p>
      <w:pPr>
        <w:spacing w:after="0" w:line="16" w:lineRule="exact"/>
        <w:rPr>
          <w:sz w:val="20"/>
          <w:szCs w:val="20"/>
          <w:color w:val="auto"/>
        </w:rPr>
      </w:pPr>
    </w:p>
    <w:tbl>
      <w:tblPr>
        <w:tblLayout w:type="fixed"/>
        <w:tblInd w:w="760" w:type="dxa"/>
        <w:tblCellMar>
          <w:top w:w="0" w:type="dxa"/>
          <w:left w:w="0" w:type="dxa"/>
          <w:bottom w:w="0" w:type="dxa"/>
          <w:right w:w="0" w:type="dxa"/>
        </w:tblCellMar>
      </w:tblPr>
      <w:tr>
        <w:trPr>
          <w:trHeight w:val="136"/>
        </w:trPr>
        <w:tc>
          <w:tcPr>
            <w:tcW w:w="700" w:type="dxa"/>
            <w:vAlign w:val="bottom"/>
            <w:tcBorders>
              <w:top w:val="single" w:sz="8" w:color="auto"/>
            </w:tcBorders>
          </w:tcPr>
          <w:p>
            <w:pPr>
              <w:ind w:left="260"/>
              <w:spacing w:after="0" w:line="136"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1"/>
                <w:szCs w:val="11"/>
                <w:color w:val="auto"/>
              </w:rPr>
            </w:pPr>
          </w:p>
        </w:tc>
        <w:tc>
          <w:tcPr>
            <w:tcW w:w="6480" w:type="dxa"/>
            <w:vAlign w:val="bottom"/>
            <w:tcBorders>
              <w:top w:val="single" w:sz="8" w:color="auto"/>
              <w:bottom w:val="single" w:sz="8" w:color="0000EE"/>
            </w:tcBorders>
            <w:gridSpan w:val="23"/>
          </w:tcPr>
          <w:p>
            <w:pPr>
              <w:spacing w:after="0" w:line="136" w:lineRule="exact"/>
              <w:rPr>
                <w:rFonts w:ascii="Times New Roman" w:cs="Times New Roman" w:eastAsia="Times New Roman" w:hAnsi="Times New Roman"/>
                <w:sz w:val="14"/>
                <w:szCs w:val="14"/>
                <w:color w:val="0000EE"/>
                <w:w w:val="98"/>
              </w:rPr>
            </w:pPr>
            <w:hyperlink r:id="rId255">
              <w:r>
                <w:rPr>
                  <w:rFonts w:ascii="Times New Roman" w:cs="Times New Roman" w:eastAsia="Times New Roman" w:hAnsi="Times New Roman"/>
                  <w:sz w:val="14"/>
                  <w:szCs w:val="14"/>
                  <w:color w:val="0000EE"/>
                  <w:w w:val="98"/>
                </w:rPr>
                <w:t>Business Combination Agreement, dated as of December 17, 2025, by and among Cartesian Growth Corporation III,</w:t>
              </w:r>
            </w:hyperlink>
          </w:p>
        </w:tc>
        <w:tc>
          <w:tcPr>
            <w:tcW w:w="120" w:type="dxa"/>
            <w:vAlign w:val="bottom"/>
            <w:tcBorders>
              <w:top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00" w:type="dxa"/>
            <w:vAlign w:val="bottom"/>
            <w:tcBorders>
              <w:bottom w:val="single" w:sz="8" w:color="0000EE"/>
            </w:tcBorders>
            <w:gridSpan w:val="11"/>
          </w:tcPr>
          <w:p>
            <w:pPr>
              <w:spacing w:after="0" w:line="146" w:lineRule="exact"/>
              <w:rPr>
                <w:rFonts w:ascii="Times New Roman" w:cs="Times New Roman" w:eastAsia="Times New Roman" w:hAnsi="Times New Roman"/>
                <w:sz w:val="14"/>
                <w:szCs w:val="14"/>
                <w:color w:val="0000EE"/>
                <w:w w:val="98"/>
              </w:rPr>
            </w:pPr>
            <w:hyperlink r:id="rId255">
              <w:r>
                <w:rPr>
                  <w:rFonts w:ascii="Times New Roman" w:cs="Times New Roman" w:eastAsia="Times New Roman" w:hAnsi="Times New Roman"/>
                  <w:sz w:val="14"/>
                  <w:szCs w:val="14"/>
                  <w:color w:val="0000EE"/>
                  <w:w w:val="98"/>
                </w:rPr>
                <w:t>Fenway MS, Inc., and Factorial Inc. (incorporated by reference to Annex A-1 in the Registrant’s proxy</w:t>
              </w:r>
            </w:hyperlink>
          </w:p>
        </w:tc>
        <w:tc>
          <w:tcPr>
            <w:tcW w:w="90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Borders>
              <w:bottom w:val="single" w:sz="8" w:color="0000EE"/>
            </w:tcBorders>
            <w:gridSpan w:val="7"/>
          </w:tcPr>
          <w:p>
            <w:pPr>
              <w:spacing w:after="0" w:line="146" w:lineRule="exact"/>
              <w:rPr>
                <w:rFonts w:ascii="Times New Roman" w:cs="Times New Roman" w:eastAsia="Times New Roman" w:hAnsi="Times New Roman"/>
                <w:sz w:val="14"/>
                <w:szCs w:val="14"/>
                <w:color w:val="0000EE"/>
                <w:w w:val="97"/>
              </w:rPr>
            </w:pPr>
            <w:hyperlink r:id="rId255">
              <w:r>
                <w:rPr>
                  <w:rFonts w:ascii="Times New Roman" w:cs="Times New Roman" w:eastAsia="Times New Roman" w:hAnsi="Times New Roman"/>
                  <w:sz w:val="14"/>
                  <w:szCs w:val="14"/>
                  <w:color w:val="0000EE"/>
                  <w:w w:val="97"/>
                </w:rPr>
                <w:t>statement/prospectus filed on May 6, 2026).</w:t>
              </w:r>
            </w:hyperlink>
          </w:p>
        </w:tc>
        <w:tc>
          <w:tcPr>
            <w:tcW w:w="4160" w:type="dxa"/>
            <w:vAlign w:val="bottom"/>
            <w:gridSpan w:val="2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6580" w:type="dxa"/>
            <w:vAlign w:val="bottom"/>
            <w:tcBorders>
              <w:bottom w:val="single" w:sz="8" w:color="0000EE"/>
            </w:tcBorders>
            <w:gridSpan w:val="28"/>
          </w:tcPr>
          <w:p>
            <w:pPr>
              <w:spacing w:after="0" w:line="146" w:lineRule="exact"/>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Amendment No. 1 to Business Combination Agreement, dated as of March 26, 2026, by and among Cartesian Growth</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0" w:type="dxa"/>
            <w:vAlign w:val="bottom"/>
            <w:tcBorders>
              <w:bottom w:val="single" w:sz="8" w:color="0000EE"/>
            </w:tcBorders>
            <w:gridSpan w:val="29"/>
          </w:tcPr>
          <w:p>
            <w:pPr>
              <w:spacing w:after="0" w:line="146" w:lineRule="exact"/>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Corporation III, Fenway MS, Inc., and Factorial Inc. (incorporated by reference to Annex A-2 in the Registrant’s proxy</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Borders>
              <w:bottom w:val="single" w:sz="8" w:color="0000EE"/>
            </w:tcBorders>
            <w:gridSpan w:val="7"/>
          </w:tcPr>
          <w:p>
            <w:pPr>
              <w:spacing w:after="0" w:line="146" w:lineRule="exact"/>
              <w:rPr>
                <w:rFonts w:ascii="Times New Roman" w:cs="Times New Roman" w:eastAsia="Times New Roman" w:hAnsi="Times New Roman"/>
                <w:sz w:val="14"/>
                <w:szCs w:val="14"/>
                <w:color w:val="0000EE"/>
                <w:w w:val="97"/>
              </w:rPr>
            </w:pPr>
            <w:hyperlink r:id="rId256">
              <w:r>
                <w:rPr>
                  <w:rFonts w:ascii="Times New Roman" w:cs="Times New Roman" w:eastAsia="Times New Roman" w:hAnsi="Times New Roman"/>
                  <w:sz w:val="14"/>
                  <w:szCs w:val="14"/>
                  <w:color w:val="0000EE"/>
                  <w:w w:val="97"/>
                </w:rPr>
                <w:t>statement/prospectus filed on May 6, 2026).</w:t>
              </w:r>
            </w:hyperlink>
          </w:p>
        </w:tc>
        <w:tc>
          <w:tcPr>
            <w:tcW w:w="4160" w:type="dxa"/>
            <w:vAlign w:val="bottom"/>
            <w:gridSpan w:val="2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Amendment No. 2 to Business Combination Agreement, by and among Cartesian Growth Corporation III, Factorial</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00" w:type="dxa"/>
            <w:vAlign w:val="bottom"/>
            <w:tcBorders>
              <w:bottom w:val="single" w:sz="8" w:color="0000EE"/>
            </w:tcBorders>
            <w:gridSpan w:val="24"/>
          </w:tcPr>
          <w:p>
            <w:pPr>
              <w:spacing w:after="0" w:line="146" w:lineRule="exact"/>
              <w:rPr>
                <w:rFonts w:ascii="Times New Roman" w:cs="Times New Roman" w:eastAsia="Times New Roman" w:hAnsi="Times New Roman"/>
                <w:sz w:val="14"/>
                <w:szCs w:val="14"/>
                <w:color w:val="0000EE"/>
                <w:w w:val="98"/>
              </w:rPr>
            </w:pPr>
            <w:hyperlink r:id="rId257">
              <w:r>
                <w:rPr>
                  <w:rFonts w:ascii="Times New Roman" w:cs="Times New Roman" w:eastAsia="Times New Roman" w:hAnsi="Times New Roman"/>
                  <w:sz w:val="14"/>
                  <w:szCs w:val="14"/>
                  <w:color w:val="0000EE"/>
                  <w:w w:val="98"/>
                </w:rPr>
                <w:t>Inc. and Fenway MS, Inc., dated as of May 18, 2026 (incorporated by reference to the Registrant’s Current Report on</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Borders>
              <w:bottom w:val="single" w:sz="8" w:color="0000EE"/>
            </w:tcBorders>
            <w:gridSpan w:val="6"/>
          </w:tcPr>
          <w:p>
            <w:pPr>
              <w:spacing w:after="0" w:line="146" w:lineRule="exact"/>
              <w:rPr>
                <w:rFonts w:ascii="Times New Roman" w:cs="Times New Roman" w:eastAsia="Times New Roman" w:hAnsi="Times New Roman"/>
                <w:sz w:val="14"/>
                <w:szCs w:val="14"/>
                <w:color w:val="0000EE"/>
                <w:w w:val="97"/>
              </w:rPr>
            </w:pPr>
            <w:hyperlink r:id="rId257">
              <w:r>
                <w:rPr>
                  <w:rFonts w:ascii="Times New Roman" w:cs="Times New Roman" w:eastAsia="Times New Roman" w:hAnsi="Times New Roman"/>
                  <w:sz w:val="14"/>
                  <w:szCs w:val="14"/>
                  <w:color w:val="0000EE"/>
                  <w:w w:val="97"/>
                </w:rPr>
                <w:t>Form 8-K filed on June 10, 2026).</w:t>
              </w:r>
            </w:hyperlink>
          </w:p>
        </w:tc>
        <w:tc>
          <w:tcPr>
            <w:tcW w:w="470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2"/>
                <w:szCs w:val="12"/>
                <w:color w:val="auto"/>
              </w:rPr>
            </w:pPr>
          </w:p>
        </w:tc>
        <w:tc>
          <w:tcPr>
            <w:tcW w:w="6320" w:type="dxa"/>
            <w:vAlign w:val="bottom"/>
            <w:tcBorders>
              <w:bottom w:val="single" w:sz="8" w:color="0000EE"/>
            </w:tcBorders>
            <w:gridSpan w:val="17"/>
          </w:tcPr>
          <w:p>
            <w:pPr>
              <w:spacing w:after="0" w:line="146" w:lineRule="exact"/>
              <w:rPr>
                <w:rFonts w:ascii="Times New Roman" w:cs="Times New Roman" w:eastAsia="Times New Roman" w:hAnsi="Times New Roman"/>
                <w:sz w:val="14"/>
                <w:szCs w:val="14"/>
                <w:color w:val="0000EE"/>
                <w:w w:val="98"/>
              </w:rPr>
            </w:pPr>
            <w:hyperlink r:id="rId258">
              <w:r>
                <w:rPr>
                  <w:rFonts w:ascii="Times New Roman" w:cs="Times New Roman" w:eastAsia="Times New Roman" w:hAnsi="Times New Roman"/>
                  <w:sz w:val="14"/>
                  <w:szCs w:val="14"/>
                  <w:color w:val="0000EE"/>
                  <w:w w:val="98"/>
                </w:rPr>
                <w:t>Factorial Energy Inc. Certificate of Incorporation (incorporated by reference to the Registrant’s Current Report on</w:t>
              </w:r>
            </w:hyperlink>
          </w:p>
        </w:tc>
        <w:tc>
          <w:tcPr>
            <w:tcW w:w="28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Borders>
              <w:bottom w:val="single" w:sz="8" w:color="0000EE"/>
            </w:tcBorders>
            <w:gridSpan w:val="6"/>
          </w:tcPr>
          <w:p>
            <w:pPr>
              <w:spacing w:after="0" w:line="146" w:lineRule="exact"/>
              <w:rPr>
                <w:rFonts w:ascii="Times New Roman" w:cs="Times New Roman" w:eastAsia="Times New Roman" w:hAnsi="Times New Roman"/>
                <w:sz w:val="14"/>
                <w:szCs w:val="14"/>
                <w:color w:val="0000EE"/>
                <w:w w:val="97"/>
              </w:rPr>
            </w:pPr>
            <w:hyperlink r:id="rId258">
              <w:r>
                <w:rPr>
                  <w:rFonts w:ascii="Times New Roman" w:cs="Times New Roman" w:eastAsia="Times New Roman" w:hAnsi="Times New Roman"/>
                  <w:sz w:val="14"/>
                  <w:szCs w:val="14"/>
                  <w:color w:val="0000EE"/>
                  <w:w w:val="97"/>
                </w:rPr>
                <w:t>Form 8-K filed on June 10, 2026).</w:t>
              </w:r>
            </w:hyperlink>
          </w:p>
        </w:tc>
        <w:tc>
          <w:tcPr>
            <w:tcW w:w="470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w w:val="99"/>
              </w:rPr>
            </w:pPr>
            <w:hyperlink r:id="rId259">
              <w:r>
                <w:rPr>
                  <w:rFonts w:ascii="Times New Roman" w:cs="Times New Roman" w:eastAsia="Times New Roman" w:hAnsi="Times New Roman"/>
                  <w:sz w:val="14"/>
                  <w:szCs w:val="14"/>
                  <w:color w:val="0000EE"/>
                  <w:w w:val="99"/>
                </w:rPr>
                <w:t>Factorial Energy Inc. Bylaws (incorporated by reference to the Registrant’s Current Report on Form 8-K filed on June</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0000EE"/>
              <w:bottom w:val="single" w:sz="8" w:color="0000EE"/>
            </w:tcBorders>
            <w:gridSpan w:val="2"/>
          </w:tcPr>
          <w:p>
            <w:pPr>
              <w:spacing w:after="0" w:line="146" w:lineRule="exact"/>
              <w:rPr>
                <w:rFonts w:ascii="Times New Roman" w:cs="Times New Roman" w:eastAsia="Times New Roman" w:hAnsi="Times New Roman"/>
                <w:sz w:val="14"/>
                <w:szCs w:val="14"/>
                <w:color w:val="0000EE"/>
                <w:w w:val="94"/>
              </w:rPr>
            </w:pPr>
            <w:hyperlink r:id="rId259">
              <w:r>
                <w:rPr>
                  <w:rFonts w:ascii="Times New Roman" w:cs="Times New Roman" w:eastAsia="Times New Roman" w:hAnsi="Times New Roman"/>
                  <w:sz w:val="14"/>
                  <w:szCs w:val="14"/>
                  <w:color w:val="0000EE"/>
                  <w:w w:val="94"/>
                </w:rPr>
                <w:t>10, 2026).</w:t>
              </w:r>
            </w:hyperlink>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9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70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60">
              <w:r>
                <w:rPr>
                  <w:rFonts w:ascii="Times New Roman" w:cs="Times New Roman" w:eastAsia="Times New Roman" w:hAnsi="Times New Roman"/>
                  <w:sz w:val="14"/>
                  <w:szCs w:val="14"/>
                  <w:color w:val="0000EE"/>
                </w:rPr>
                <w:t>Specimen PubCo Series A Common Stock Certificate of Factorial Energy Inc. (incorporated by reference to the</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40" w:type="dxa"/>
            <w:vAlign w:val="bottom"/>
            <w:tcBorders>
              <w:top w:val="single" w:sz="8" w:color="0000EE"/>
              <w:bottom w:val="single" w:sz="8" w:color="0000EE"/>
            </w:tcBorders>
            <w:gridSpan w:val="10"/>
          </w:tcPr>
          <w:p>
            <w:pPr>
              <w:spacing w:after="0" w:line="146" w:lineRule="exact"/>
              <w:rPr>
                <w:rFonts w:ascii="Times New Roman" w:cs="Times New Roman" w:eastAsia="Times New Roman" w:hAnsi="Times New Roman"/>
                <w:sz w:val="14"/>
                <w:szCs w:val="14"/>
                <w:color w:val="0000EE"/>
                <w:w w:val="98"/>
              </w:rPr>
            </w:pPr>
            <w:hyperlink r:id="rId260">
              <w:r>
                <w:rPr>
                  <w:rFonts w:ascii="Times New Roman" w:cs="Times New Roman" w:eastAsia="Times New Roman" w:hAnsi="Times New Roman"/>
                  <w:sz w:val="14"/>
                  <w:szCs w:val="14"/>
                  <w:color w:val="0000EE"/>
                  <w:w w:val="98"/>
                </w:rPr>
                <w:t>Registrant’s Current Report on Form 8-K filed on June 10, 2026).</w:t>
              </w:r>
            </w:hyperlink>
          </w:p>
        </w:tc>
        <w:tc>
          <w:tcPr>
            <w:tcW w:w="2540" w:type="dxa"/>
            <w:vAlign w:val="bottom"/>
            <w:tcBorders>
              <w:top w:val="single" w:sz="8" w:color="0000EE"/>
            </w:tcBorders>
            <w:gridSpan w:val="4"/>
          </w:tcPr>
          <w:p>
            <w:pPr>
              <w:spacing w:after="0"/>
              <w:rPr>
                <w:sz w:val="12"/>
                <w:szCs w:val="12"/>
                <w:color w:val="auto"/>
              </w:rPr>
            </w:pPr>
          </w:p>
        </w:tc>
        <w:tc>
          <w:tcPr>
            <w:tcW w:w="42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2"/>
                <w:szCs w:val="12"/>
                <w:color w:val="auto"/>
              </w:rPr>
            </w:pPr>
          </w:p>
        </w:tc>
        <w:tc>
          <w:tcPr>
            <w:tcW w:w="6520" w:type="dxa"/>
            <w:vAlign w:val="bottom"/>
            <w:tcBorders>
              <w:bottom w:val="single" w:sz="8" w:color="0000EE"/>
            </w:tcBorders>
            <w:gridSpan w:val="25"/>
          </w:tcPr>
          <w:p>
            <w:pPr>
              <w:spacing w:after="0" w:line="146" w:lineRule="exact"/>
              <w:rPr>
                <w:rFonts w:ascii="Times New Roman" w:cs="Times New Roman" w:eastAsia="Times New Roman" w:hAnsi="Times New Roman"/>
                <w:sz w:val="14"/>
                <w:szCs w:val="14"/>
                <w:color w:val="0000EE"/>
                <w:w w:val="98"/>
              </w:rPr>
            </w:pPr>
            <w:hyperlink r:id="rId261">
              <w:r>
                <w:rPr>
                  <w:rFonts w:ascii="Times New Roman" w:cs="Times New Roman" w:eastAsia="Times New Roman" w:hAnsi="Times New Roman"/>
                  <w:sz w:val="14"/>
                  <w:szCs w:val="14"/>
                  <w:color w:val="0000EE"/>
                  <w:w w:val="98"/>
                </w:rPr>
                <w:t>Amended and Restated Warrant Agreement, dated June 5, 2026, between Factorial Energy Inc. and Continental Stock</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Transfer &amp; Trust Company. (incorporated by reference to the Registrant’s Current Report on Form 8-K filed on June</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0000EE"/>
              <w:bottom w:val="single" w:sz="8" w:color="0000EE"/>
            </w:tcBorders>
            <w:gridSpan w:val="2"/>
          </w:tcPr>
          <w:p>
            <w:pPr>
              <w:spacing w:after="0" w:line="146" w:lineRule="exact"/>
              <w:rPr>
                <w:rFonts w:ascii="Times New Roman" w:cs="Times New Roman" w:eastAsia="Times New Roman" w:hAnsi="Times New Roman"/>
                <w:sz w:val="14"/>
                <w:szCs w:val="14"/>
                <w:color w:val="0000EE"/>
                <w:w w:val="94"/>
              </w:rPr>
            </w:pPr>
            <w:hyperlink r:id="rId261">
              <w:r>
                <w:rPr>
                  <w:rFonts w:ascii="Times New Roman" w:cs="Times New Roman" w:eastAsia="Times New Roman" w:hAnsi="Times New Roman"/>
                  <w:sz w:val="14"/>
                  <w:szCs w:val="14"/>
                  <w:color w:val="0000EE"/>
                  <w:w w:val="94"/>
                </w:rPr>
                <w:t>10, 2026).</w:t>
              </w:r>
            </w:hyperlink>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9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70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260"/>
              <w:spacing w:after="0" w:line="146"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sz w:val="20"/>
                <w:szCs w:val="20"/>
                <w:color w:val="auto"/>
              </w:rPr>
            </w:pPr>
            <w:r>
              <w:rPr>
                <w:rFonts w:ascii="Times New Roman" w:cs="Times New Roman" w:eastAsia="Times New Roman" w:hAnsi="Times New Roman"/>
                <w:sz w:val="14"/>
                <w:szCs w:val="14"/>
                <w:color w:val="0000EE"/>
              </w:rPr>
              <w:t>Opinion of Goodwin Procter LLP.</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7"/>
              </w:rPr>
              <w:t>10.1</w:t>
            </w:r>
          </w:p>
        </w:tc>
        <w:tc>
          <w:tcPr>
            <w:tcW w:w="180" w:type="dxa"/>
            <w:vAlign w:val="bottom"/>
          </w:tcPr>
          <w:p>
            <w:pPr>
              <w:spacing w:after="0"/>
              <w:rPr>
                <w:sz w:val="12"/>
                <w:szCs w:val="12"/>
                <w:color w:val="auto"/>
              </w:rPr>
            </w:pPr>
          </w:p>
        </w:tc>
        <w:tc>
          <w:tcPr>
            <w:tcW w:w="6560" w:type="dxa"/>
            <w:vAlign w:val="bottom"/>
            <w:tcBorders>
              <w:bottom w:val="single" w:sz="8" w:color="0000EE"/>
            </w:tcBorders>
            <w:gridSpan w:val="27"/>
          </w:tcPr>
          <w:p>
            <w:pPr>
              <w:spacing w:after="0" w:line="146" w:lineRule="exact"/>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Amended and Restated Registration Rights Agreement, dated as of June 5, 2026, by and between the Registrant, CGC</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80" w:type="dxa"/>
            <w:vAlign w:val="bottom"/>
            <w:tcBorders>
              <w:bottom w:val="single" w:sz="8" w:color="0000EE"/>
            </w:tcBorders>
            <w:gridSpan w:val="28"/>
          </w:tcPr>
          <w:p>
            <w:pPr>
              <w:spacing w:after="0" w:line="146" w:lineRule="exact"/>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III Sponsor LLC, CGC III Sponsor DirectorCo LLC, Cantor Fitzgerald &amp; Co., certain former stockholders of Factorial</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80" w:type="dxa"/>
            <w:vAlign w:val="bottom"/>
            <w:tcBorders>
              <w:bottom w:val="single" w:sz="8" w:color="0000EE"/>
            </w:tcBorders>
            <w:gridSpan w:val="28"/>
          </w:tcPr>
          <w:p>
            <w:pPr>
              <w:spacing w:after="0" w:line="146" w:lineRule="exact"/>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Inc., and other persons and entities (incorporated by reference to the Registrant’s Current Report on Form 8-K filed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0000EE"/>
            </w:tcBorders>
            <w:gridSpan w:val="3"/>
          </w:tcPr>
          <w:p>
            <w:pPr>
              <w:spacing w:after="0" w:line="146" w:lineRule="exact"/>
              <w:rPr>
                <w:rFonts w:ascii="Times New Roman" w:cs="Times New Roman" w:eastAsia="Times New Roman" w:hAnsi="Times New Roman"/>
                <w:sz w:val="14"/>
                <w:szCs w:val="14"/>
                <w:color w:val="0000EE"/>
                <w:w w:val="97"/>
              </w:rPr>
            </w:pPr>
            <w:hyperlink r:id="rId262">
              <w:r>
                <w:rPr>
                  <w:rFonts w:ascii="Times New Roman" w:cs="Times New Roman" w:eastAsia="Times New Roman" w:hAnsi="Times New Roman"/>
                  <w:sz w:val="14"/>
                  <w:szCs w:val="14"/>
                  <w:color w:val="0000EE"/>
                  <w:w w:val="97"/>
                </w:rPr>
                <w:t>June 10, 2026).</w:t>
              </w:r>
            </w:hyperlink>
          </w:p>
        </w:tc>
        <w:tc>
          <w:tcPr>
            <w:tcW w:w="5740" w:type="dxa"/>
            <w:vAlign w:val="bottom"/>
            <w:gridSpan w:val="26"/>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7"/>
              </w:rPr>
              <w:t>10.2</w:t>
            </w:r>
          </w:p>
        </w:tc>
        <w:tc>
          <w:tcPr>
            <w:tcW w:w="180" w:type="dxa"/>
            <w:vAlign w:val="bottom"/>
          </w:tcPr>
          <w:p>
            <w:pPr>
              <w:spacing w:after="0"/>
              <w:rPr>
                <w:sz w:val="12"/>
                <w:szCs w:val="12"/>
                <w:color w:val="auto"/>
              </w:rPr>
            </w:pPr>
          </w:p>
        </w:tc>
        <w:tc>
          <w:tcPr>
            <w:tcW w:w="6560" w:type="dxa"/>
            <w:vAlign w:val="bottom"/>
            <w:tcBorders>
              <w:bottom w:val="single" w:sz="8" w:color="0000EE"/>
            </w:tcBorders>
            <w:gridSpan w:val="27"/>
          </w:tcPr>
          <w:p>
            <w:pPr>
              <w:spacing w:after="0" w:line="146" w:lineRule="exact"/>
              <w:rPr>
                <w:rFonts w:ascii="Times New Roman" w:cs="Times New Roman" w:eastAsia="Times New Roman" w:hAnsi="Times New Roman"/>
                <w:sz w:val="14"/>
                <w:szCs w:val="14"/>
                <w:color w:val="0000EE"/>
                <w:w w:val="98"/>
              </w:rPr>
            </w:pPr>
            <w:hyperlink r:id="rId263">
              <w:r>
                <w:rPr>
                  <w:rFonts w:ascii="Times New Roman" w:cs="Times New Roman" w:eastAsia="Times New Roman" w:hAnsi="Times New Roman"/>
                  <w:sz w:val="14"/>
                  <w:szCs w:val="14"/>
                  <w:color w:val="0000EE"/>
                  <w:w w:val="98"/>
                </w:rPr>
                <w:t>Form of Investor Stock Purchase Agreement, dated December 17, 2025, by and between the Registrant and each PIPE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88"/>
              </w:rPr>
              <w:t xml:space="preserve">10.3# </w:t>
            </w:r>
            <w:r>
              <w:rPr>
                <w:rFonts w:ascii="Arial" w:cs="Arial" w:eastAsia="Arial" w:hAnsi="Arial"/>
                <w:sz w:val="20"/>
                <w:szCs w:val="20"/>
                <w:color w:val="auto"/>
                <w:w w:val="88"/>
                <w:vertAlign w:val="superscript"/>
              </w:rPr>
              <w:t>˄</w:t>
            </w:r>
          </w:p>
        </w:tc>
        <w:tc>
          <w:tcPr>
            <w:tcW w:w="6500" w:type="dxa"/>
            <w:vAlign w:val="bottom"/>
            <w:tcBorders>
              <w:bottom w:val="single" w:sz="8" w:color="0000EE"/>
            </w:tcBorders>
            <w:gridSpan w:val="24"/>
          </w:tcPr>
          <w:p>
            <w:pPr>
              <w:spacing w:after="0" w:line="146" w:lineRule="exact"/>
              <w:rPr>
                <w:rFonts w:ascii="Times New Roman" w:cs="Times New Roman" w:eastAsia="Times New Roman" w:hAnsi="Times New Roman"/>
                <w:sz w:val="14"/>
                <w:szCs w:val="14"/>
                <w:color w:val="0000EE"/>
                <w:w w:val="98"/>
              </w:rPr>
            </w:pPr>
            <w:hyperlink r:id="rId263">
              <w:r>
                <w:rPr>
                  <w:rFonts w:ascii="Times New Roman" w:cs="Times New Roman" w:eastAsia="Times New Roman" w:hAnsi="Times New Roman"/>
                  <w:sz w:val="14"/>
                  <w:szCs w:val="14"/>
                  <w:color w:val="0000EE"/>
                  <w:w w:val="98"/>
                </w:rPr>
                <w:t>Investor (incorporated by reference to Annex E in the Registrant’s proxy statement/prospectus filed on May 6, 2026).</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continue"/>
          </w:tcPr>
          <w:p>
            <w:pPr>
              <w:spacing w:after="0"/>
              <w:rPr>
                <w:sz w:val="12"/>
                <w:szCs w:val="12"/>
                <w:color w:val="auto"/>
              </w:rPr>
            </w:pPr>
          </w:p>
        </w:tc>
        <w:tc>
          <w:tcPr>
            <w:tcW w:w="6300" w:type="dxa"/>
            <w:vAlign w:val="bottom"/>
            <w:tcBorders>
              <w:bottom w:val="single" w:sz="8" w:color="0000EE"/>
            </w:tcBorders>
            <w:gridSpan w:val="16"/>
          </w:tcPr>
          <w:p>
            <w:pPr>
              <w:spacing w:after="0" w:line="146" w:lineRule="exact"/>
              <w:rPr>
                <w:rFonts w:ascii="Times New Roman" w:cs="Times New Roman" w:eastAsia="Times New Roman" w:hAnsi="Times New Roman"/>
                <w:sz w:val="14"/>
                <w:szCs w:val="14"/>
                <w:color w:val="0000EE"/>
                <w:w w:val="98"/>
              </w:rPr>
            </w:pPr>
            <w:hyperlink r:id="rId264">
              <w:r>
                <w:rPr>
                  <w:rFonts w:ascii="Times New Roman" w:cs="Times New Roman" w:eastAsia="Times New Roman" w:hAnsi="Times New Roman"/>
                  <w:sz w:val="14"/>
                  <w:szCs w:val="14"/>
                  <w:color w:val="0000EE"/>
                  <w:w w:val="98"/>
                </w:rPr>
                <w:t>Common Development Agreement, dated November 26, 2021, by and between Factorial Inc. and Mercedes-Benz</w:t>
              </w:r>
            </w:hyperlink>
          </w:p>
        </w:tc>
        <w:tc>
          <w:tcPr>
            <w:tcW w:w="3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Research &amp; Development North America, Inc., as amended by that certain Amendment #1, dated August 1, 2025</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0" w:type="dxa"/>
            <w:vAlign w:val="bottom"/>
            <w:tcBorders>
              <w:bottom w:val="single" w:sz="8" w:color="0000EE"/>
            </w:tcBorders>
            <w:gridSpan w:val="29"/>
          </w:tcPr>
          <w:p>
            <w:pPr>
              <w:spacing w:after="0" w:line="146" w:lineRule="exact"/>
              <w:rPr>
                <w:rFonts w:ascii="Times New Roman" w:cs="Times New Roman" w:eastAsia="Times New Roman" w:hAnsi="Times New Roman"/>
                <w:sz w:val="14"/>
                <w:szCs w:val="14"/>
                <w:color w:val="0000EE"/>
                <w:w w:val="98"/>
              </w:rPr>
            </w:pPr>
            <w:hyperlink r:id="rId264">
              <w:r>
                <w:rPr>
                  <w:rFonts w:ascii="Times New Roman" w:cs="Times New Roman" w:eastAsia="Times New Roman" w:hAnsi="Times New Roman"/>
                  <w:sz w:val="14"/>
                  <w:szCs w:val="14"/>
                  <w:color w:val="0000EE"/>
                  <w:w w:val="98"/>
                </w:rPr>
                <w:t>(incorporated by reference to the exhibit 10.26 to Registrant’s Registration Statement on Form S-4/A filed on April 14,</w:t>
              </w:r>
            </w:hyperlink>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88"/>
              </w:rPr>
              <w:t xml:space="preserve">10.4# </w:t>
            </w:r>
            <w:r>
              <w:rPr>
                <w:rFonts w:ascii="Arial" w:cs="Arial" w:eastAsia="Arial" w:hAnsi="Arial"/>
                <w:sz w:val="20"/>
                <w:szCs w:val="20"/>
                <w:color w:val="auto"/>
                <w:w w:val="88"/>
                <w:vertAlign w:val="superscript"/>
              </w:rPr>
              <w:t>˄</w:t>
            </w:r>
          </w:p>
        </w:tc>
        <w:tc>
          <w:tcPr>
            <w:tcW w:w="360" w:type="dxa"/>
            <w:vAlign w:val="bottom"/>
            <w:tcBorders>
              <w:bottom w:val="single" w:sz="8" w:color="0000EE"/>
            </w:tcBorders>
          </w:tcPr>
          <w:p>
            <w:pPr>
              <w:spacing w:after="0" w:line="146" w:lineRule="exact"/>
              <w:rPr>
                <w:rFonts w:ascii="Times New Roman" w:cs="Times New Roman" w:eastAsia="Times New Roman" w:hAnsi="Times New Roman"/>
                <w:sz w:val="14"/>
                <w:szCs w:val="14"/>
                <w:color w:val="0000EE"/>
                <w:w w:val="93"/>
              </w:rPr>
            </w:pPr>
            <w:hyperlink r:id="rId264">
              <w:r>
                <w:rPr>
                  <w:rFonts w:ascii="Times New Roman" w:cs="Times New Roman" w:eastAsia="Times New Roman" w:hAnsi="Times New Roman"/>
                  <w:sz w:val="14"/>
                  <w:szCs w:val="14"/>
                  <w:color w:val="0000EE"/>
                  <w:w w:val="93"/>
                </w:rPr>
                <w:t>2026).</w:t>
              </w:r>
            </w:hyperlink>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continue"/>
          </w:tcPr>
          <w:p>
            <w:pPr>
              <w:spacing w:after="0"/>
              <w:rPr>
                <w:sz w:val="12"/>
                <w:szCs w:val="12"/>
                <w:color w:val="auto"/>
              </w:rPr>
            </w:pPr>
          </w:p>
        </w:tc>
        <w:tc>
          <w:tcPr>
            <w:tcW w:w="6440" w:type="dxa"/>
            <w:vAlign w:val="bottom"/>
            <w:tcBorders>
              <w:bottom w:val="single" w:sz="8" w:color="0000EE"/>
            </w:tcBorders>
            <w:gridSpan w:val="21"/>
          </w:tcPr>
          <w:p>
            <w:pPr>
              <w:spacing w:after="0" w:line="146" w:lineRule="exact"/>
              <w:rPr>
                <w:rFonts w:ascii="Times New Roman" w:cs="Times New Roman" w:eastAsia="Times New Roman" w:hAnsi="Times New Roman"/>
                <w:sz w:val="14"/>
                <w:szCs w:val="14"/>
                <w:color w:val="0000EE"/>
                <w:w w:val="98"/>
              </w:rPr>
            </w:pPr>
            <w:hyperlink r:id="rId265">
              <w:r>
                <w:rPr>
                  <w:rFonts w:ascii="Times New Roman" w:cs="Times New Roman" w:eastAsia="Times New Roman" w:hAnsi="Times New Roman"/>
                  <w:sz w:val="14"/>
                  <w:szCs w:val="14"/>
                  <w:color w:val="0000EE"/>
                  <w:w w:val="98"/>
                </w:rPr>
                <w:t>Joint Development Agreement, dated August 20, 2021, by and between Factorial Inc. and Hyundai Motor Company</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0" w:type="dxa"/>
            <w:vAlign w:val="bottom"/>
            <w:tcBorders>
              <w:bottom w:val="single" w:sz="8" w:color="0000EE"/>
            </w:tcBorders>
            <w:gridSpan w:val="29"/>
          </w:tcPr>
          <w:p>
            <w:pPr>
              <w:spacing w:after="0" w:line="146" w:lineRule="exact"/>
              <w:rPr>
                <w:rFonts w:ascii="Times New Roman" w:cs="Times New Roman" w:eastAsia="Times New Roman" w:hAnsi="Times New Roman"/>
                <w:sz w:val="14"/>
                <w:szCs w:val="14"/>
                <w:color w:val="0000EE"/>
                <w:w w:val="98"/>
              </w:rPr>
            </w:pPr>
            <w:hyperlink r:id="rId265">
              <w:r>
                <w:rPr>
                  <w:rFonts w:ascii="Times New Roman" w:cs="Times New Roman" w:eastAsia="Times New Roman" w:hAnsi="Times New Roman"/>
                  <w:sz w:val="14"/>
                  <w:szCs w:val="14"/>
                  <w:color w:val="0000EE"/>
                  <w:w w:val="98"/>
                </w:rPr>
                <w:t>(incorporated by reference to the exhibit 10.27 to Registrant’s Registration Statement on Form S-4/A filed on April 14,</w:t>
              </w:r>
            </w:hyperlink>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88"/>
              </w:rPr>
              <w:t xml:space="preserve">10.5# </w:t>
            </w:r>
            <w:r>
              <w:rPr>
                <w:rFonts w:ascii="Arial" w:cs="Arial" w:eastAsia="Arial" w:hAnsi="Arial"/>
                <w:sz w:val="20"/>
                <w:szCs w:val="20"/>
                <w:color w:val="auto"/>
                <w:w w:val="88"/>
                <w:vertAlign w:val="superscript"/>
              </w:rPr>
              <w:t>˄</w:t>
            </w:r>
          </w:p>
        </w:tc>
        <w:tc>
          <w:tcPr>
            <w:tcW w:w="360" w:type="dxa"/>
            <w:vAlign w:val="bottom"/>
            <w:tcBorders>
              <w:bottom w:val="single" w:sz="8" w:color="0000EE"/>
            </w:tcBorders>
          </w:tcPr>
          <w:p>
            <w:pPr>
              <w:spacing w:after="0" w:line="146" w:lineRule="exact"/>
              <w:rPr>
                <w:rFonts w:ascii="Times New Roman" w:cs="Times New Roman" w:eastAsia="Times New Roman" w:hAnsi="Times New Roman"/>
                <w:sz w:val="14"/>
                <w:szCs w:val="14"/>
                <w:color w:val="0000EE"/>
                <w:w w:val="93"/>
              </w:rPr>
            </w:pPr>
            <w:hyperlink r:id="rId265">
              <w:r>
                <w:rPr>
                  <w:rFonts w:ascii="Times New Roman" w:cs="Times New Roman" w:eastAsia="Times New Roman" w:hAnsi="Times New Roman"/>
                  <w:sz w:val="14"/>
                  <w:szCs w:val="14"/>
                  <w:color w:val="0000EE"/>
                  <w:w w:val="93"/>
                </w:rPr>
                <w:t>2026).</w:t>
              </w:r>
            </w:hyperlink>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continue"/>
          </w:tcPr>
          <w:p>
            <w:pPr>
              <w:spacing w:after="0"/>
              <w:rPr>
                <w:sz w:val="12"/>
                <w:szCs w:val="12"/>
                <w:color w:val="auto"/>
              </w:rPr>
            </w:pPr>
          </w:p>
        </w:tc>
        <w:tc>
          <w:tcPr>
            <w:tcW w:w="6400" w:type="dxa"/>
            <w:vAlign w:val="bottom"/>
            <w:tcBorders>
              <w:bottom w:val="single" w:sz="8" w:color="0000EE"/>
            </w:tcBorders>
            <w:gridSpan w:val="19"/>
          </w:tcPr>
          <w:p>
            <w:pPr>
              <w:spacing w:after="0" w:line="146" w:lineRule="exact"/>
              <w:rPr>
                <w:rFonts w:ascii="Times New Roman" w:cs="Times New Roman" w:eastAsia="Times New Roman" w:hAnsi="Times New Roman"/>
                <w:sz w:val="14"/>
                <w:szCs w:val="14"/>
                <w:color w:val="0000EE"/>
                <w:w w:val="98"/>
              </w:rPr>
            </w:pPr>
            <w:hyperlink r:id="rId266">
              <w:r>
                <w:rPr>
                  <w:rFonts w:ascii="Times New Roman" w:cs="Times New Roman" w:eastAsia="Times New Roman" w:hAnsi="Times New Roman"/>
                  <w:sz w:val="14"/>
                  <w:szCs w:val="14"/>
                  <w:color w:val="0000EE"/>
                  <w:w w:val="98"/>
                </w:rPr>
                <w:t>Collaboration Agreement, dated August 1, 2025, by and between Factorial Inc. and FCA US LLC (incorporated by</w:t>
              </w:r>
            </w:hyperlink>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88"/>
              </w:rPr>
              <w:t xml:space="preserve">10.6# </w:t>
            </w:r>
            <w:r>
              <w:rPr>
                <w:rFonts w:ascii="Arial" w:cs="Arial" w:eastAsia="Arial" w:hAnsi="Arial"/>
                <w:sz w:val="20"/>
                <w:szCs w:val="20"/>
                <w:color w:val="auto"/>
                <w:w w:val="88"/>
                <w:vertAlign w:val="superscript"/>
              </w:rPr>
              <w:t>˄</w:t>
            </w: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reference to the exhibit 10.25 to Registrant’s Registration Statement on Form S-4/A filed on April 14, 2026).</w:t>
              </w:r>
            </w:hyperlink>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gridSpan w:val="2"/>
            <w:vMerge w:val="continue"/>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w w:val="99"/>
              </w:rPr>
            </w:pPr>
            <w:hyperlink r:id="rId267">
              <w:r>
                <w:rPr>
                  <w:rFonts w:ascii="Times New Roman" w:cs="Times New Roman" w:eastAsia="Times New Roman" w:hAnsi="Times New Roman"/>
                  <w:sz w:val="14"/>
                  <w:szCs w:val="14"/>
                  <w:color w:val="0000EE"/>
                  <w:w w:val="99"/>
                </w:rPr>
                <w:t>Joint Development Agreement, dated February 2, 2026, by and between Factorial Inc. and PowerCo SE (incorporated</w:t>
              </w:r>
            </w:hyperlink>
          </w:p>
        </w:tc>
        <w:tc>
          <w:tcPr>
            <w:tcW w:w="0" w:type="dxa"/>
            <w:vAlign w:val="bottom"/>
          </w:tcPr>
          <w:p>
            <w:pPr>
              <w:spacing w:after="0"/>
              <w:rPr>
                <w:sz w:val="1"/>
                <w:szCs w:val="1"/>
                <w:color w:val="auto"/>
              </w:rPr>
            </w:pPr>
          </w:p>
        </w:tc>
      </w:tr>
      <w:tr>
        <w:trPr>
          <w:trHeight w:val="146"/>
        </w:trPr>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89"/>
              </w:rPr>
              <w:t xml:space="preserve">10.7 </w:t>
            </w:r>
            <w:r>
              <w:rPr>
                <w:rFonts w:ascii="Arial" w:cs="Arial" w:eastAsia="Arial" w:hAnsi="Arial"/>
                <w:sz w:val="20"/>
                <w:szCs w:val="20"/>
                <w:color w:val="auto"/>
                <w:w w:val="89"/>
                <w:vertAlign w:val="superscript"/>
              </w:rPr>
              <w:t>˄</w:t>
            </w:r>
          </w:p>
        </w:tc>
        <w:tc>
          <w:tcPr>
            <w:tcW w:w="6520" w:type="dxa"/>
            <w:vAlign w:val="bottom"/>
            <w:tcBorders>
              <w:top w:val="single" w:sz="8" w:color="0000EE"/>
            </w:tcBorders>
            <w:gridSpan w:val="25"/>
          </w:tcPr>
          <w:p>
            <w:pPr>
              <w:spacing w:after="0" w:line="146"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by reference to the exhibit 10.24 to Registrant’s Registration Statement on Form S-4 filed on March 27, 2026).</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gridSpan w:val="2"/>
            <w:vMerge w:val="continue"/>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w w:val="99"/>
              </w:rPr>
            </w:pPr>
            <w:hyperlink r:id="rId268">
              <w:r>
                <w:rPr>
                  <w:rFonts w:ascii="Times New Roman" w:cs="Times New Roman" w:eastAsia="Times New Roman" w:hAnsi="Times New Roman"/>
                  <w:sz w:val="14"/>
                  <w:szCs w:val="14"/>
                  <w:color w:val="0000EE"/>
                  <w:w w:val="99"/>
                </w:rPr>
                <w:t>Sublease, by and among 805 Middlesex Turnpike Owner LLC, ClearMotion, Inc. and Factorial Inc., dated November</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500" w:type="dxa"/>
            <w:vAlign w:val="bottom"/>
            <w:tcBorders>
              <w:top w:val="single" w:sz="8" w:color="0000EE"/>
            </w:tcBorders>
            <w:gridSpan w:val="24"/>
          </w:tcPr>
          <w:p>
            <w:pPr>
              <w:spacing w:after="0" w:line="146" w:lineRule="exact"/>
              <w:rPr>
                <w:rFonts w:ascii="Times New Roman" w:cs="Times New Roman" w:eastAsia="Times New Roman" w:hAnsi="Times New Roman"/>
                <w:sz w:val="14"/>
                <w:szCs w:val="14"/>
                <w:color w:val="0000EE"/>
                <w:w w:val="99"/>
              </w:rPr>
            </w:pPr>
            <w:hyperlink r:id="rId268">
              <w:r>
                <w:rPr>
                  <w:rFonts w:ascii="Times New Roman" w:cs="Times New Roman" w:eastAsia="Times New Roman" w:hAnsi="Times New Roman"/>
                  <w:sz w:val="14"/>
                  <w:szCs w:val="14"/>
                  <w:color w:val="0000EE"/>
                  <w:w w:val="99"/>
                </w:rPr>
                <w:t>11, 2022 (incorporated by reference to the exhibit 10.25 to Registrant’s Registration Statement on Form S-4 filed on</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0000EE"/>
              <w:bottom w:val="single" w:sz="8" w:color="0000EE"/>
            </w:tcBorders>
            <w:gridSpan w:val="4"/>
          </w:tcPr>
          <w:p>
            <w:pPr>
              <w:spacing w:after="0" w:line="146" w:lineRule="exact"/>
              <w:rPr>
                <w:rFonts w:ascii="Times New Roman" w:cs="Times New Roman" w:eastAsia="Times New Roman" w:hAnsi="Times New Roman"/>
                <w:sz w:val="14"/>
                <w:szCs w:val="14"/>
                <w:color w:val="0000EE"/>
                <w:w w:val="96"/>
              </w:rPr>
            </w:pPr>
            <w:hyperlink r:id="rId268">
              <w:r>
                <w:rPr>
                  <w:rFonts w:ascii="Times New Roman" w:cs="Times New Roman" w:eastAsia="Times New Roman" w:hAnsi="Times New Roman"/>
                  <w:sz w:val="14"/>
                  <w:szCs w:val="14"/>
                  <w:color w:val="0000EE"/>
                  <w:w w:val="96"/>
                </w:rPr>
                <w:t>March 27, 2026).</w:t>
              </w:r>
            </w:hyperlink>
          </w:p>
        </w:tc>
        <w:tc>
          <w:tcPr>
            <w:tcW w:w="5460" w:type="dxa"/>
            <w:vAlign w:val="bottom"/>
            <w:tcBorders>
              <w:top w:val="single" w:sz="8" w:color="0000EE"/>
            </w:tcBorders>
            <w:gridSpan w:val="16"/>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10.8+</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w w:val="99"/>
              </w:rPr>
            </w:pPr>
            <w:hyperlink r:id="rId269">
              <w:r>
                <w:rPr>
                  <w:rFonts w:ascii="Times New Roman" w:cs="Times New Roman" w:eastAsia="Times New Roman" w:hAnsi="Times New Roman"/>
                  <w:sz w:val="14"/>
                  <w:szCs w:val="14"/>
                  <w:color w:val="0000EE"/>
                  <w:w w:val="99"/>
                </w:rPr>
                <w:t>Employment Agreement by and between the Registrant and Siyu Huang (incorporated by reference to the Registrant’s</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9"/>
          </w:tcPr>
          <w:p>
            <w:pPr>
              <w:spacing w:after="0" w:line="146" w:lineRule="exact"/>
              <w:rPr>
                <w:rFonts w:ascii="Times New Roman" w:cs="Times New Roman" w:eastAsia="Times New Roman" w:hAnsi="Times New Roman"/>
                <w:sz w:val="14"/>
                <w:szCs w:val="14"/>
                <w:color w:val="0000EE"/>
                <w:w w:val="98"/>
              </w:rPr>
            </w:pPr>
            <w:hyperlink r:id="rId269">
              <w:r>
                <w:rPr>
                  <w:rFonts w:ascii="Times New Roman" w:cs="Times New Roman" w:eastAsia="Times New Roman" w:hAnsi="Times New Roman"/>
                  <w:sz w:val="14"/>
                  <w:szCs w:val="14"/>
                  <w:color w:val="0000EE"/>
                  <w:w w:val="98"/>
                </w:rPr>
                <w:t>Current Report on Form 8-K filed on June 10, 2026).</w:t>
              </w:r>
            </w:hyperlink>
          </w:p>
        </w:tc>
        <w:tc>
          <w:tcPr>
            <w:tcW w:w="3600" w:type="dxa"/>
            <w:vAlign w:val="bottom"/>
            <w:tcBorders>
              <w:top w:val="single" w:sz="8" w:color="0000EE"/>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10.9+</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70">
              <w:r>
                <w:rPr>
                  <w:rFonts w:ascii="Times New Roman" w:cs="Times New Roman" w:eastAsia="Times New Roman" w:hAnsi="Times New Roman"/>
                  <w:sz w:val="14"/>
                  <w:szCs w:val="14"/>
                  <w:color w:val="0000EE"/>
                </w:rPr>
                <w:t>Employment Agreement by and between the Registrant and Alex Yu (incorporated by reference to the Registrant’s</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9"/>
          </w:tcPr>
          <w:p>
            <w:pPr>
              <w:spacing w:after="0" w:line="146" w:lineRule="exact"/>
              <w:rPr>
                <w:rFonts w:ascii="Times New Roman" w:cs="Times New Roman" w:eastAsia="Times New Roman" w:hAnsi="Times New Roman"/>
                <w:sz w:val="14"/>
                <w:szCs w:val="14"/>
                <w:color w:val="0000EE"/>
                <w:w w:val="98"/>
              </w:rPr>
            </w:pPr>
            <w:hyperlink r:id="rId270">
              <w:r>
                <w:rPr>
                  <w:rFonts w:ascii="Times New Roman" w:cs="Times New Roman" w:eastAsia="Times New Roman" w:hAnsi="Times New Roman"/>
                  <w:sz w:val="14"/>
                  <w:szCs w:val="14"/>
                  <w:color w:val="0000EE"/>
                  <w:w w:val="98"/>
                </w:rPr>
                <w:t>Current Report on Form 8-K filed on June 10, 2026).</w:t>
              </w:r>
            </w:hyperlink>
          </w:p>
        </w:tc>
        <w:tc>
          <w:tcPr>
            <w:tcW w:w="3400" w:type="dxa"/>
            <w:vAlign w:val="bottom"/>
            <w:tcBorders>
              <w:top w:val="single" w:sz="8" w:color="0000EE"/>
            </w:tcBorders>
            <w:gridSpan w:val="9"/>
          </w:tcPr>
          <w:p>
            <w:pPr>
              <w:spacing w:after="0"/>
              <w:rPr>
                <w:sz w:val="12"/>
                <w:szCs w:val="12"/>
                <w:color w:val="auto"/>
              </w:rPr>
            </w:pPr>
          </w:p>
        </w:tc>
        <w:tc>
          <w:tcPr>
            <w:tcW w:w="2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10.10+</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w w:val="99"/>
              </w:rPr>
            </w:pPr>
            <w:hyperlink r:id="rId271">
              <w:r>
                <w:rPr>
                  <w:rFonts w:ascii="Times New Roman" w:cs="Times New Roman" w:eastAsia="Times New Roman" w:hAnsi="Times New Roman"/>
                  <w:sz w:val="14"/>
                  <w:szCs w:val="14"/>
                  <w:color w:val="0000EE"/>
                  <w:w w:val="99"/>
                </w:rPr>
                <w:t>Employment Agreement by and between the Registrant and Jason Duva (incorporated by reference to the Registrant’s</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tcBorders>
              <w:top w:val="single" w:sz="8" w:color="0000EE"/>
              <w:bottom w:val="single" w:sz="8" w:color="0000EE"/>
            </w:tcBorders>
            <w:gridSpan w:val="9"/>
          </w:tcPr>
          <w:p>
            <w:pPr>
              <w:spacing w:after="0" w:line="146" w:lineRule="exact"/>
              <w:rPr>
                <w:rFonts w:ascii="Times New Roman" w:cs="Times New Roman" w:eastAsia="Times New Roman" w:hAnsi="Times New Roman"/>
                <w:sz w:val="14"/>
                <w:szCs w:val="14"/>
                <w:color w:val="0000EE"/>
                <w:w w:val="98"/>
              </w:rPr>
            </w:pPr>
            <w:hyperlink r:id="rId271">
              <w:r>
                <w:rPr>
                  <w:rFonts w:ascii="Times New Roman" w:cs="Times New Roman" w:eastAsia="Times New Roman" w:hAnsi="Times New Roman"/>
                  <w:sz w:val="14"/>
                  <w:szCs w:val="14"/>
                  <w:color w:val="0000EE"/>
                  <w:w w:val="98"/>
                </w:rPr>
                <w:t>Current Report on Form 8-K filed on June 10, 2026).</w:t>
              </w:r>
            </w:hyperlink>
          </w:p>
        </w:tc>
        <w:tc>
          <w:tcPr>
            <w:tcW w:w="3580" w:type="dxa"/>
            <w:vAlign w:val="bottom"/>
            <w:tcBorders>
              <w:top w:val="single" w:sz="8" w:color="0000EE"/>
            </w:tcBorders>
            <w:gridSpan w:val="1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10.11+</w:t>
            </w:r>
          </w:p>
        </w:tc>
        <w:tc>
          <w:tcPr>
            <w:tcW w:w="180" w:type="dxa"/>
            <w:vAlign w:val="bottom"/>
          </w:tcPr>
          <w:p>
            <w:pPr>
              <w:spacing w:after="0"/>
              <w:rPr>
                <w:sz w:val="12"/>
                <w:szCs w:val="12"/>
                <w:color w:val="auto"/>
              </w:rPr>
            </w:pPr>
          </w:p>
        </w:tc>
        <w:tc>
          <w:tcPr>
            <w:tcW w:w="6580" w:type="dxa"/>
            <w:vAlign w:val="bottom"/>
            <w:tcBorders>
              <w:bottom w:val="single" w:sz="8" w:color="0000EE"/>
            </w:tcBorders>
            <w:gridSpan w:val="28"/>
          </w:tcPr>
          <w:p>
            <w:pPr>
              <w:spacing w:after="0" w:line="146" w:lineRule="exact"/>
              <w:rPr>
                <w:rFonts w:ascii="Times New Roman" w:cs="Times New Roman" w:eastAsia="Times New Roman" w:hAnsi="Times New Roman"/>
                <w:sz w:val="14"/>
                <w:szCs w:val="14"/>
                <w:color w:val="0000EE"/>
                <w:w w:val="98"/>
              </w:rPr>
            </w:pPr>
            <w:hyperlink r:id="rId272">
              <w:r>
                <w:rPr>
                  <w:rFonts w:ascii="Times New Roman" w:cs="Times New Roman" w:eastAsia="Times New Roman" w:hAnsi="Times New Roman"/>
                  <w:sz w:val="14"/>
                  <w:szCs w:val="14"/>
                  <w:color w:val="0000EE"/>
                  <w:w w:val="98"/>
                </w:rPr>
                <w:t>Employment Agreement by and between the Registrant and Richard Wei (incorporated by reference to the Registrant’s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tcBorders>
              <w:bottom w:val="single" w:sz="8" w:color="0000EE"/>
            </w:tcBorders>
            <w:gridSpan w:val="9"/>
          </w:tcPr>
          <w:p>
            <w:pPr>
              <w:spacing w:after="0" w:line="146" w:lineRule="exact"/>
              <w:rPr>
                <w:rFonts w:ascii="Times New Roman" w:cs="Times New Roman" w:eastAsia="Times New Roman" w:hAnsi="Times New Roman"/>
                <w:sz w:val="14"/>
                <w:szCs w:val="14"/>
                <w:color w:val="0000EE"/>
                <w:w w:val="98"/>
              </w:rPr>
            </w:pPr>
            <w:hyperlink r:id="rId272">
              <w:r>
                <w:rPr>
                  <w:rFonts w:ascii="Times New Roman" w:cs="Times New Roman" w:eastAsia="Times New Roman" w:hAnsi="Times New Roman"/>
                  <w:sz w:val="14"/>
                  <w:szCs w:val="14"/>
                  <w:color w:val="0000EE"/>
                  <w:w w:val="98"/>
                </w:rPr>
                <w:t>Current Report on Form 8-K filed on June 10, 2026).</w:t>
              </w:r>
            </w:hyperlink>
          </w:p>
        </w:tc>
        <w:tc>
          <w:tcPr>
            <w:tcW w:w="366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10.12+</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73">
              <w:r>
                <w:rPr>
                  <w:rFonts w:ascii="Times New Roman" w:cs="Times New Roman" w:eastAsia="Times New Roman" w:hAnsi="Times New Roman"/>
                  <w:sz w:val="14"/>
                  <w:szCs w:val="14"/>
                  <w:color w:val="0000EE"/>
                </w:rPr>
                <w:t>Employment Agreement by and between the Registrant and Joseph Taylor (incorporated by reference to the</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40" w:type="dxa"/>
            <w:vAlign w:val="bottom"/>
            <w:tcBorders>
              <w:top w:val="single" w:sz="8" w:color="0000EE"/>
              <w:bottom w:val="single" w:sz="8" w:color="0000EE"/>
            </w:tcBorders>
            <w:gridSpan w:val="10"/>
          </w:tcPr>
          <w:p>
            <w:pPr>
              <w:spacing w:after="0" w:line="146" w:lineRule="exact"/>
              <w:rPr>
                <w:rFonts w:ascii="Times New Roman" w:cs="Times New Roman" w:eastAsia="Times New Roman" w:hAnsi="Times New Roman"/>
                <w:sz w:val="14"/>
                <w:szCs w:val="14"/>
                <w:color w:val="0000EE"/>
                <w:w w:val="98"/>
              </w:rPr>
            </w:pPr>
            <w:hyperlink r:id="rId273">
              <w:r>
                <w:rPr>
                  <w:rFonts w:ascii="Times New Roman" w:cs="Times New Roman" w:eastAsia="Times New Roman" w:hAnsi="Times New Roman"/>
                  <w:sz w:val="14"/>
                  <w:szCs w:val="14"/>
                  <w:color w:val="0000EE"/>
                  <w:w w:val="98"/>
                </w:rPr>
                <w:t>Registrant’s Current Report on Form 8-K filed on June 10, 2026).</w:t>
              </w:r>
            </w:hyperlink>
          </w:p>
        </w:tc>
        <w:tc>
          <w:tcPr>
            <w:tcW w:w="2380" w:type="dxa"/>
            <w:vAlign w:val="bottom"/>
            <w:tcBorders>
              <w:top w:val="single" w:sz="8" w:color="0000EE"/>
            </w:tcBorders>
            <w:gridSpan w:val="2"/>
          </w:tcPr>
          <w:p>
            <w:pPr>
              <w:spacing w:after="0"/>
              <w:rPr>
                <w:sz w:val="12"/>
                <w:szCs w:val="12"/>
                <w:color w:val="auto"/>
              </w:rPr>
            </w:pPr>
          </w:p>
        </w:tc>
        <w:tc>
          <w:tcPr>
            <w:tcW w:w="58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6"/>
              </w:rPr>
              <w:t>10.13+</w:t>
            </w:r>
          </w:p>
        </w:tc>
        <w:tc>
          <w:tcPr>
            <w:tcW w:w="180" w:type="dxa"/>
            <w:vAlign w:val="bottom"/>
          </w:tcPr>
          <w:p>
            <w:pPr>
              <w:spacing w:after="0"/>
              <w:rPr>
                <w:sz w:val="12"/>
                <w:szCs w:val="12"/>
                <w:color w:val="auto"/>
              </w:rPr>
            </w:pPr>
          </w:p>
        </w:tc>
        <w:tc>
          <w:tcPr>
            <w:tcW w:w="6600" w:type="dxa"/>
            <w:vAlign w:val="bottom"/>
            <w:gridSpan w:val="29"/>
          </w:tcPr>
          <w:p>
            <w:pPr>
              <w:spacing w:after="0" w:line="146" w:lineRule="exact"/>
              <w:rPr>
                <w:rFonts w:ascii="Times New Roman" w:cs="Times New Roman" w:eastAsia="Times New Roman" w:hAnsi="Times New Roman"/>
                <w:sz w:val="14"/>
                <w:szCs w:val="14"/>
                <w:color w:val="0000EE"/>
              </w:rPr>
            </w:pPr>
            <w:hyperlink r:id="rId274">
              <w:r>
                <w:rPr>
                  <w:rFonts w:ascii="Times New Roman" w:cs="Times New Roman" w:eastAsia="Times New Roman" w:hAnsi="Times New Roman"/>
                  <w:sz w:val="14"/>
                  <w:szCs w:val="14"/>
                  <w:color w:val="0000EE"/>
                </w:rPr>
                <w:t>Form of Restrictive Covenant Agreement (incorporated by reference to the exhibit 10.20 to Registrant’s Registration</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tcBorders>
              <w:top w:val="single" w:sz="8" w:color="0000EE"/>
              <w:bottom w:val="single" w:sz="8" w:color="0000EE"/>
            </w:tcBorders>
            <w:gridSpan w:val="8"/>
          </w:tcPr>
          <w:p>
            <w:pPr>
              <w:spacing w:after="0" w:line="146" w:lineRule="exact"/>
              <w:rPr>
                <w:rFonts w:ascii="Times New Roman" w:cs="Times New Roman" w:eastAsia="Times New Roman" w:hAnsi="Times New Roman"/>
                <w:sz w:val="14"/>
                <w:szCs w:val="14"/>
                <w:color w:val="0000EE"/>
                <w:w w:val="98"/>
              </w:rPr>
            </w:pPr>
            <w:hyperlink r:id="rId274">
              <w:r>
                <w:rPr>
                  <w:rFonts w:ascii="Times New Roman" w:cs="Times New Roman" w:eastAsia="Times New Roman" w:hAnsi="Times New Roman"/>
                  <w:sz w:val="14"/>
                  <w:szCs w:val="14"/>
                  <w:color w:val="0000EE"/>
                  <w:w w:val="98"/>
                </w:rPr>
                <w:t>Statement on Form S-4/A filed on April 14, 2026).</w:t>
              </w:r>
            </w:hyperlink>
          </w:p>
        </w:tc>
        <w:tc>
          <w:tcPr>
            <w:tcW w:w="3640" w:type="dxa"/>
            <w:vAlign w:val="bottom"/>
            <w:tcBorders>
              <w:top w:val="single" w:sz="8" w:color="0000EE"/>
            </w:tcBorders>
            <w:gridSpan w:val="14"/>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510"/>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gridSpan w:val="10"/>
          </w:tcPr>
          <w:p>
            <w:pPr>
              <w:ind w:left="2760"/>
              <w:spacing w:after="0"/>
              <w:rPr>
                <w:sz w:val="20"/>
                <w:szCs w:val="20"/>
                <w:color w:val="auto"/>
              </w:rPr>
            </w:pPr>
            <w:r>
              <w:rPr>
                <w:rFonts w:ascii="Times New Roman" w:cs="Times New Roman" w:eastAsia="Times New Roman" w:hAnsi="Times New Roman"/>
                <w:sz w:val="14"/>
                <w:szCs w:val="14"/>
                <w:color w:val="auto"/>
              </w:rPr>
              <w:t>132</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72" w:right="1440" w:bottom="1440" w:gutter="0" w:footer="0" w:header="0"/>
        </w:sectPr>
      </w:pPr>
    </w:p>
    <w:bookmarkStart w:id="247" w:name="page248"/>
    <w:bookmarkEnd w:id="247"/>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172085</wp:posOffset>
            </wp:positionV>
            <wp:extent cx="5401945" cy="69856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27" w:lineRule="exact"/>
        <w:rPr>
          <w:sz w:val="20"/>
          <w:szCs w:val="20"/>
          <w:color w:val="auto"/>
        </w:rPr>
      </w:pPr>
    </w:p>
    <w:p>
      <w:pPr>
        <w:ind w:left="840"/>
        <w:spacing w:after="0"/>
        <w:tabs>
          <w:tab w:leader="none" w:pos="1500" w:val="left"/>
        </w:tabs>
        <w:rPr>
          <w:sz w:val="20"/>
          <w:szCs w:val="20"/>
          <w:color w:val="auto"/>
        </w:rPr>
      </w:pPr>
      <w:r>
        <w:rPr>
          <w:rFonts w:ascii="Times New Roman" w:cs="Times New Roman" w:eastAsia="Times New Roman" w:hAnsi="Times New Roman"/>
          <w:sz w:val="11"/>
          <w:szCs w:val="11"/>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vertAlign w:val="superscript"/>
        </w:rPr>
        <w:t xml:space="preserve">​​​ </w:t>
      </w:r>
      <w:r>
        <w:rPr>
          <w:rFonts w:ascii="Times New Roman" w:cs="Times New Roman" w:eastAsia="Times New Roman" w:hAnsi="Times New Roman"/>
          <w:sz w:val="12"/>
          <w:szCs w:val="12"/>
          <w:b w:val="1"/>
          <w:bCs w:val="1"/>
          <w:color w:val="auto"/>
        </w:rPr>
        <w:t>Description</w:t>
      </w:r>
    </w:p>
    <w:p>
      <w:pPr>
        <w:spacing w:after="0" w:line="38" w:lineRule="exact"/>
        <w:rPr>
          <w:sz w:val="20"/>
          <w:szCs w:val="20"/>
          <w:color w:val="auto"/>
        </w:rPr>
      </w:pPr>
    </w:p>
    <w:p>
      <w:pPr>
        <w:ind w:left="1640" w:right="103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10.14+</w:t>
      </w:r>
      <w:r>
        <w:rPr>
          <w:sz w:val="20"/>
          <w:szCs w:val="20"/>
          <w:color w:val="auto"/>
        </w:rPr>
        <w:tab/>
      </w:r>
      <w:hyperlink r:id="rId276">
        <w:r>
          <w:rPr>
            <w:rFonts w:ascii="Times New Roman" w:cs="Times New Roman" w:eastAsia="Times New Roman" w:hAnsi="Times New Roman"/>
            <w:sz w:val="14"/>
            <w:szCs w:val="14"/>
            <w:u w:val="single" w:color="auto"/>
            <w:color w:val="0000EE"/>
          </w:rPr>
          <w:t>Factorial Inc. 2019 Stock Incentive Plan, as amended, and forms of award agreements thereunder (incorporated by</w:t>
        </w:r>
      </w:hyperlink>
      <w:r>
        <w:rPr>
          <w:rFonts w:ascii="Times New Roman" w:cs="Times New Roman" w:eastAsia="Times New Roman" w:hAnsi="Times New Roman"/>
          <w:sz w:val="14"/>
          <w:szCs w:val="14"/>
          <w:u w:val="single" w:color="auto"/>
          <w:color w:val="0000EE"/>
        </w:rPr>
        <w:t xml:space="preserve"> </w:t>
      </w:r>
      <w:hyperlink r:id="rId276">
        <w:r>
          <w:rPr>
            <w:rFonts w:ascii="Times New Roman" w:cs="Times New Roman" w:eastAsia="Times New Roman" w:hAnsi="Times New Roman"/>
            <w:sz w:val="14"/>
            <w:szCs w:val="14"/>
            <w:u w:val="single" w:color="auto"/>
            <w:color w:val="0000EE"/>
          </w:rPr>
          <w:t>reference to the Registrant’s Current Report on Form 8-K filed on June 10, 2026).</w:t>
        </w:r>
      </w:hyperlink>
    </w:p>
    <w:p>
      <w:pPr>
        <w:ind w:left="1640" w:right="111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r>
        <w:rPr>
          <w:sz w:val="20"/>
          <w:szCs w:val="20"/>
          <w:color w:val="auto"/>
        </w:rPr>
        <w:tab/>
      </w:r>
      <w:hyperlink r:id="rId277">
        <w:r>
          <w:rPr>
            <w:rFonts w:ascii="Times New Roman" w:cs="Times New Roman" w:eastAsia="Times New Roman" w:hAnsi="Times New Roman"/>
            <w:sz w:val="14"/>
            <w:szCs w:val="14"/>
            <w:u w:val="single" w:color="auto"/>
            <w:color w:val="0000EE"/>
          </w:rPr>
          <w:t>2026 Equity Incentive Plan of Factorial Energy Inc., and forms of award agreements thereunder (incorporated by</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reference to the Registrant’s Current Report on Form 8-K filed on June 10, 2026).</w:t>
        </w:r>
      </w:hyperlink>
    </w:p>
    <w:p>
      <w:pPr>
        <w:spacing w:after="0" w:line="1" w:lineRule="exact"/>
        <w:rPr>
          <w:sz w:val="20"/>
          <w:szCs w:val="20"/>
          <w:color w:val="auto"/>
        </w:rPr>
      </w:pPr>
    </w:p>
    <w:p>
      <w:pPr>
        <w:ind w:left="1640" w:right="97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10.16+</w:t>
      </w:r>
      <w:r>
        <w:rPr>
          <w:sz w:val="20"/>
          <w:szCs w:val="20"/>
          <w:color w:val="auto"/>
        </w:rPr>
        <w:tab/>
      </w:r>
      <w:hyperlink r:id="rId278">
        <w:r>
          <w:rPr>
            <w:rFonts w:ascii="Times New Roman" w:cs="Times New Roman" w:eastAsia="Times New Roman" w:hAnsi="Times New Roman"/>
            <w:sz w:val="14"/>
            <w:szCs w:val="14"/>
            <w:u w:val="single" w:color="auto"/>
            <w:color w:val="0000EE"/>
          </w:rPr>
          <w:t>2026 Employee Stock Purchase Plan of Factorial Energy Inc. (incorporated by reference to the Registrant’s Current</w:t>
        </w:r>
      </w:hyperlink>
      <w:r>
        <w:rPr>
          <w:rFonts w:ascii="Times New Roman" w:cs="Times New Roman" w:eastAsia="Times New Roman" w:hAnsi="Times New Roman"/>
          <w:sz w:val="14"/>
          <w:szCs w:val="14"/>
          <w:u w:val="single" w:color="auto"/>
          <w:color w:val="0000EE"/>
        </w:rPr>
        <w:t xml:space="preserve"> </w:t>
      </w:r>
      <w:hyperlink r:id="rId278">
        <w:r>
          <w:rPr>
            <w:rFonts w:ascii="Times New Roman" w:cs="Times New Roman" w:eastAsia="Times New Roman" w:hAnsi="Times New Roman"/>
            <w:sz w:val="14"/>
            <w:szCs w:val="14"/>
            <w:u w:val="single" w:color="auto"/>
            <w:color w:val="0000EE"/>
          </w:rPr>
          <w:t>Report on Form 8-K filed on June 10, 2026).</w:t>
        </w:r>
      </w:hyperlink>
    </w:p>
    <w:p>
      <w:pPr>
        <w:spacing w:after="0" w:line="1" w:lineRule="exact"/>
        <w:rPr>
          <w:sz w:val="20"/>
          <w:szCs w:val="20"/>
          <w:color w:val="auto"/>
        </w:rPr>
      </w:pPr>
    </w:p>
    <w:p>
      <w:pPr>
        <w:ind w:left="1640" w:right="97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10.17+</w:t>
      </w:r>
      <w:r>
        <w:rPr>
          <w:sz w:val="20"/>
          <w:szCs w:val="20"/>
          <w:color w:val="auto"/>
        </w:rPr>
        <w:tab/>
      </w:r>
      <w:hyperlink r:id="rId279">
        <w:r>
          <w:rPr>
            <w:rFonts w:ascii="Times New Roman" w:cs="Times New Roman" w:eastAsia="Times New Roman" w:hAnsi="Times New Roman"/>
            <w:sz w:val="14"/>
            <w:szCs w:val="14"/>
            <w:u w:val="single" w:color="auto"/>
            <w:color w:val="0000EE"/>
          </w:rPr>
          <w:t>Executive Change in Control Severance Plan of Factorial Energy Inc. (incorporated by reference to the Registrant’s</w:t>
        </w:r>
      </w:hyperlink>
      <w:r>
        <w:rPr>
          <w:rFonts w:ascii="Times New Roman" w:cs="Times New Roman" w:eastAsia="Times New Roman" w:hAnsi="Times New Roman"/>
          <w:sz w:val="14"/>
          <w:szCs w:val="14"/>
          <w:u w:val="single" w:color="auto"/>
          <w:color w:val="0000EE"/>
        </w:rPr>
        <w:t xml:space="preserve"> </w:t>
      </w:r>
      <w:hyperlink r:id="rId279">
        <w:r>
          <w:rPr>
            <w:rFonts w:ascii="Times New Roman" w:cs="Times New Roman" w:eastAsia="Times New Roman" w:hAnsi="Times New Roman"/>
            <w:sz w:val="14"/>
            <w:szCs w:val="14"/>
            <w:u w:val="single" w:color="auto"/>
            <w:color w:val="0000EE"/>
          </w:rPr>
          <w:t>Current Report on Form 8-K filed on June 10, 2026).</w:t>
        </w:r>
      </w:hyperlink>
    </w:p>
    <w:p>
      <w:pPr>
        <w:spacing w:after="0" w:line="1" w:lineRule="exact"/>
        <w:rPr>
          <w:sz w:val="20"/>
          <w:szCs w:val="20"/>
          <w:color w:val="auto"/>
        </w:rPr>
      </w:pPr>
    </w:p>
    <w:p>
      <w:pPr>
        <w:ind w:left="1640" w:right="99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10.18+</w:t>
      </w:r>
      <w:r>
        <w:rPr>
          <w:sz w:val="20"/>
          <w:szCs w:val="20"/>
          <w:color w:val="auto"/>
        </w:rPr>
        <w:tab/>
      </w:r>
      <w:hyperlink r:id="rId280">
        <w:r>
          <w:rPr>
            <w:rFonts w:ascii="Times New Roman" w:cs="Times New Roman" w:eastAsia="Times New Roman" w:hAnsi="Times New Roman"/>
            <w:sz w:val="14"/>
            <w:szCs w:val="14"/>
            <w:u w:val="single" w:color="auto"/>
            <w:color w:val="0000EE"/>
          </w:rPr>
          <w:t>Senior Executive Cash Incentive Bonus Plan of Factorial Energy Inc. (incorporated by reference to the Registrant’s</w:t>
        </w:r>
      </w:hyperlink>
      <w:r>
        <w:rPr>
          <w:rFonts w:ascii="Times New Roman" w:cs="Times New Roman" w:eastAsia="Times New Roman" w:hAnsi="Times New Roman"/>
          <w:sz w:val="14"/>
          <w:szCs w:val="14"/>
          <w:u w:val="single" w:color="auto"/>
          <w:color w:val="0000EE"/>
        </w:rPr>
        <w:t xml:space="preserve"> </w:t>
      </w:r>
      <w:hyperlink r:id="rId280">
        <w:r>
          <w:rPr>
            <w:rFonts w:ascii="Times New Roman" w:cs="Times New Roman" w:eastAsia="Times New Roman" w:hAnsi="Times New Roman"/>
            <w:sz w:val="14"/>
            <w:szCs w:val="14"/>
            <w:u w:val="single" w:color="auto"/>
            <w:color w:val="0000EE"/>
          </w:rPr>
          <w:t>Current Report on Form 8-K filed on June 10, 2026).</w:t>
        </w:r>
      </w:hyperlink>
    </w:p>
    <w:p>
      <w:pPr>
        <w:spacing w:after="0" w:line="1" w:lineRule="exact"/>
        <w:rPr>
          <w:sz w:val="20"/>
          <w:szCs w:val="20"/>
          <w:color w:val="auto"/>
        </w:rPr>
      </w:pPr>
    </w:p>
    <w:p>
      <w:pPr>
        <w:ind w:left="1640" w:right="79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r>
        <w:rPr>
          <w:sz w:val="20"/>
          <w:szCs w:val="20"/>
          <w:color w:val="auto"/>
        </w:rPr>
        <w:tab/>
      </w:r>
      <w:hyperlink r:id="rId281">
        <w:r>
          <w:rPr>
            <w:rFonts w:ascii="Times New Roman" w:cs="Times New Roman" w:eastAsia="Times New Roman" w:hAnsi="Times New Roman"/>
            <w:sz w:val="14"/>
            <w:szCs w:val="14"/>
            <w:u w:val="single" w:color="auto"/>
            <w:color w:val="0000EE"/>
          </w:rPr>
          <w:t>Form of Director Indemnification Agreement (incorporated by reference to the Registrant’s Current Report on Form 8-</w:t>
        </w:r>
      </w:hyperlink>
      <w:hyperlink r:id="rId281">
        <w:r>
          <w:rPr>
            <w:rFonts w:ascii="Times New Roman" w:cs="Times New Roman" w:eastAsia="Times New Roman" w:hAnsi="Times New Roman"/>
            <w:sz w:val="14"/>
            <w:szCs w:val="14"/>
            <w:u w:val="single" w:color="auto"/>
            <w:color w:val="0000EE"/>
          </w:rPr>
          <w:t>K filed on June 10, 2026).</w:t>
        </w:r>
      </w:hyperlink>
    </w:p>
    <w:p>
      <w:pPr>
        <w:spacing w:after="0" w:line="1" w:lineRule="exact"/>
        <w:rPr>
          <w:sz w:val="20"/>
          <w:szCs w:val="20"/>
          <w:color w:val="auto"/>
        </w:rPr>
      </w:pPr>
    </w:p>
    <w:p>
      <w:pPr>
        <w:ind w:left="1640" w:right="85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w:t>
      </w:r>
      <w:r>
        <w:rPr>
          <w:sz w:val="20"/>
          <w:szCs w:val="20"/>
          <w:color w:val="auto"/>
        </w:rPr>
        <w:tab/>
      </w:r>
      <w:hyperlink r:id="rId282">
        <w:r>
          <w:rPr>
            <w:rFonts w:ascii="Times New Roman" w:cs="Times New Roman" w:eastAsia="Times New Roman" w:hAnsi="Times New Roman"/>
            <w:sz w:val="14"/>
            <w:szCs w:val="14"/>
            <w:u w:val="single" w:color="auto"/>
            <w:color w:val="0000EE"/>
          </w:rPr>
          <w:t>Form of Officer Indemnification Agreement (incorporated by reference to the Registrant’s Current Report on Form 8-</w:t>
        </w:r>
      </w:hyperlink>
      <w:hyperlink r:id="rId282">
        <w:r>
          <w:rPr>
            <w:rFonts w:ascii="Times New Roman" w:cs="Times New Roman" w:eastAsia="Times New Roman" w:hAnsi="Times New Roman"/>
            <w:sz w:val="14"/>
            <w:szCs w:val="14"/>
            <w:u w:val="single" w:color="auto"/>
            <w:color w:val="0000EE"/>
          </w:rPr>
          <w:t>K filed on June 10, 2026).</w:t>
        </w:r>
      </w:hyperlink>
    </w:p>
    <w:p>
      <w:pPr>
        <w:spacing w:after="0" w:line="1" w:lineRule="exact"/>
        <w:rPr>
          <w:sz w:val="20"/>
          <w:szCs w:val="20"/>
          <w:color w:val="auto"/>
        </w:rPr>
      </w:pPr>
    </w:p>
    <w:p>
      <w:pPr>
        <w:ind w:left="1640" w:right="919" w:hanging="718"/>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10.21+</w:t>
      </w:r>
      <w:r>
        <w:rPr>
          <w:sz w:val="20"/>
          <w:szCs w:val="20"/>
          <w:color w:val="auto"/>
        </w:rPr>
        <w:tab/>
      </w:r>
      <w:hyperlink r:id="rId283">
        <w:r>
          <w:rPr>
            <w:rFonts w:ascii="Times New Roman" w:cs="Times New Roman" w:eastAsia="Times New Roman" w:hAnsi="Times New Roman"/>
            <w:sz w:val="14"/>
            <w:szCs w:val="14"/>
            <w:u w:val="single" w:color="auto"/>
            <w:color w:val="0000EE"/>
          </w:rPr>
          <w:t>Non-Employee Director Compensation Policy of Factorial Energy Inc. (incorporated by reference to the Registrant’s</w:t>
        </w:r>
      </w:hyperlink>
      <w:r>
        <w:rPr>
          <w:rFonts w:ascii="Times New Roman" w:cs="Times New Roman" w:eastAsia="Times New Roman" w:hAnsi="Times New Roman"/>
          <w:sz w:val="14"/>
          <w:szCs w:val="14"/>
          <w:u w:val="single" w:color="auto"/>
          <w:color w:val="0000EE"/>
        </w:rPr>
        <w:t xml:space="preserve"> </w:t>
      </w:r>
      <w:hyperlink r:id="rId283">
        <w:r>
          <w:rPr>
            <w:rFonts w:ascii="Times New Roman" w:cs="Times New Roman" w:eastAsia="Times New Roman" w:hAnsi="Times New Roman"/>
            <w:sz w:val="14"/>
            <w:szCs w:val="14"/>
            <w:u w:val="single" w:color="auto"/>
            <w:color w:val="0000EE"/>
          </w:rPr>
          <w:t>Current Report on Form 8-K filed on June 10, 2026).</w:t>
        </w:r>
      </w:hyperlink>
    </w:p>
    <w:p>
      <w:pPr>
        <w:spacing w:after="0" w:line="1" w:lineRule="exact"/>
        <w:rPr>
          <w:sz w:val="20"/>
          <w:szCs w:val="20"/>
          <w:color w:val="auto"/>
        </w:rPr>
      </w:pPr>
    </w:p>
    <w:p>
      <w:pPr>
        <w:ind w:left="1640" w:right="939" w:hanging="645"/>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16.1</w:t>
      </w:r>
      <w:r>
        <w:rPr>
          <w:sz w:val="20"/>
          <w:szCs w:val="20"/>
          <w:color w:val="auto"/>
        </w:rPr>
        <w:tab/>
      </w:r>
      <w:hyperlink r:id="rId284">
        <w:r>
          <w:rPr>
            <w:rFonts w:ascii="Times New Roman" w:cs="Times New Roman" w:eastAsia="Times New Roman" w:hAnsi="Times New Roman"/>
            <w:sz w:val="14"/>
            <w:szCs w:val="14"/>
            <w:u w:val="single" w:color="auto"/>
            <w:color w:val="0000EE"/>
          </w:rPr>
          <w:t>Letter from CBIZ CPAs P.C. to the U.S. Securities and Exchange Commission dated June 10, 2026 (incorporated by</w:t>
        </w:r>
      </w:hyperlink>
      <w:r>
        <w:rPr>
          <w:rFonts w:ascii="Times New Roman" w:cs="Times New Roman" w:eastAsia="Times New Roman" w:hAnsi="Times New Roman"/>
          <w:sz w:val="14"/>
          <w:szCs w:val="14"/>
          <w:u w:val="single" w:color="auto"/>
          <w:color w:val="0000EE"/>
        </w:rPr>
        <w:t xml:space="preserve"> </w:t>
      </w:r>
      <w:hyperlink r:id="rId284">
        <w:r>
          <w:rPr>
            <w:rFonts w:ascii="Times New Roman" w:cs="Times New Roman" w:eastAsia="Times New Roman" w:hAnsi="Times New Roman"/>
            <w:sz w:val="14"/>
            <w:szCs w:val="14"/>
            <w:u w:val="single" w:color="auto"/>
            <w:color w:val="0000EE"/>
          </w:rPr>
          <w:t>reference to Exhibit 16.1 to the Registrant’s Current Report on Form 8-K filed on June 10, 2026).</w:t>
        </w:r>
      </w:hyperlink>
    </w:p>
    <w:p>
      <w:pPr>
        <w:spacing w:after="0" w:line="1" w:lineRule="exact"/>
        <w:rPr>
          <w:sz w:val="20"/>
          <w:szCs w:val="20"/>
          <w:color w:val="auto"/>
        </w:rPr>
      </w:pPr>
    </w:p>
    <w:p>
      <w:pPr>
        <w:ind w:left="1640" w:right="819" w:hanging="645"/>
        <w:spacing w:after="0" w:line="247" w:lineRule="auto"/>
        <w:tabs>
          <w:tab w:leader="none" w:pos="16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21.1</w:t>
      </w:r>
      <w:r>
        <w:rPr>
          <w:sz w:val="20"/>
          <w:szCs w:val="20"/>
          <w:color w:val="auto"/>
        </w:rPr>
        <w:tab/>
      </w:r>
      <w:hyperlink r:id="rId285">
        <w:r>
          <w:rPr>
            <w:rFonts w:ascii="Times New Roman" w:cs="Times New Roman" w:eastAsia="Times New Roman" w:hAnsi="Times New Roman"/>
            <w:sz w:val="14"/>
            <w:szCs w:val="14"/>
            <w:u w:val="single" w:color="auto"/>
            <w:color w:val="0000EE"/>
          </w:rPr>
          <w:t>Subsidiaries of the Registrant (incorporated by reference to Exhibit 21.1 to the Registrant’s Current Report on Form 8-</w:t>
        </w:r>
      </w:hyperlink>
      <w:hyperlink r:id="rId285">
        <w:r>
          <w:rPr>
            <w:rFonts w:ascii="Times New Roman" w:cs="Times New Roman" w:eastAsia="Times New Roman" w:hAnsi="Times New Roman"/>
            <w:sz w:val="14"/>
            <w:szCs w:val="14"/>
            <w:u w:val="single" w:color="auto"/>
            <w:color w:val="0000EE"/>
          </w:rPr>
          <w:t>K filed on June 10, 2026).</w:t>
        </w:r>
      </w:hyperlink>
    </w:p>
    <w:p>
      <w:pPr>
        <w:spacing w:after="0" w:line="1" w:lineRule="exact"/>
        <w:rPr>
          <w:sz w:val="20"/>
          <w:szCs w:val="20"/>
          <w:color w:val="auto"/>
        </w:rPr>
      </w:pPr>
    </w:p>
    <w:p>
      <w:pPr>
        <w:ind w:left="960"/>
        <w:spacing w:after="0"/>
        <w:tabs>
          <w:tab w:leader="none" w:pos="16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EE"/>
        </w:rPr>
        <w:t>Consent of CBIZ CPAs P.C.</w:t>
      </w:r>
    </w:p>
    <w:p>
      <w:pPr>
        <w:spacing w:after="0" w:line="5" w:lineRule="exact"/>
        <w:rPr>
          <w:sz w:val="20"/>
          <w:szCs w:val="20"/>
          <w:color w:val="auto"/>
        </w:rPr>
      </w:pPr>
    </w:p>
    <w:p>
      <w:pPr>
        <w:ind w:left="960"/>
        <w:spacing w:after="0"/>
        <w:tabs>
          <w:tab w:leader="none" w:pos="16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EE"/>
        </w:rPr>
        <w:t>Consent of RSM US LLP.</w:t>
      </w:r>
    </w:p>
    <w:p>
      <w:pPr>
        <w:spacing w:after="0" w:line="5" w:lineRule="exact"/>
        <w:rPr>
          <w:sz w:val="20"/>
          <w:szCs w:val="20"/>
          <w:color w:val="auto"/>
        </w:rPr>
      </w:pPr>
    </w:p>
    <w:p>
      <w:pPr>
        <w:ind w:left="960"/>
        <w:spacing w:after="0"/>
        <w:tabs>
          <w:tab w:leader="none" w:pos="162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3"/>
          <w:szCs w:val="13"/>
          <w:u w:val="single" w:color="auto"/>
          <w:color w:val="0000EE"/>
        </w:rPr>
        <w:t>Consent of Goodwin Procter LLP (included in Exhibit 5.1 hereto).</w:t>
      </w:r>
    </w:p>
    <w:p>
      <w:pPr>
        <w:spacing w:after="0" w:line="5" w:lineRule="exact"/>
        <w:rPr>
          <w:sz w:val="20"/>
          <w:szCs w:val="20"/>
          <w:color w:val="auto"/>
        </w:rPr>
      </w:pPr>
    </w:p>
    <w:p>
      <w:pPr>
        <w:ind w:left="960"/>
        <w:spacing w:after="0"/>
        <w:tabs>
          <w:tab w:leader="none" w:pos="162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u w:val="single" w:color="auto"/>
          <w:color w:val="0000EE"/>
        </w:rPr>
        <w:t>Power of Attorney (included on signature page to this Registration Statement).</w:t>
      </w:r>
    </w:p>
    <w:p>
      <w:pPr>
        <w:spacing w:after="0" w:line="5" w:lineRule="exact"/>
        <w:rPr>
          <w:sz w:val="20"/>
          <w:szCs w:val="20"/>
          <w:color w:val="auto"/>
        </w:rPr>
      </w:pPr>
    </w:p>
    <w:p>
      <w:pPr>
        <w:ind w:left="980"/>
        <w:spacing w:after="0"/>
        <w:tabs>
          <w:tab w:leader="none" w:pos="16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5" w:lineRule="exact"/>
        <w:rPr>
          <w:sz w:val="20"/>
          <w:szCs w:val="20"/>
          <w:color w:val="auto"/>
        </w:rPr>
      </w:pPr>
    </w:p>
    <w:p>
      <w:pPr>
        <w:ind w:left="980"/>
        <w:spacing w:after="0"/>
        <w:tabs>
          <w:tab w:leader="none" w:pos="162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Filing Fee Table.</w:t>
      </w:r>
    </w:p>
    <w:p>
      <w:pPr>
        <w:spacing w:after="0" w:line="156" w:lineRule="exact"/>
        <w:rPr>
          <w:sz w:val="20"/>
          <w:szCs w:val="20"/>
          <w:color w:val="auto"/>
        </w:rPr>
      </w:pPr>
    </w:p>
    <w:p>
      <w:pPr>
        <w:ind w:left="1020" w:hanging="256"/>
        <w:spacing w:after="0"/>
        <w:tabs>
          <w:tab w:leader="none" w:pos="10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p>
    <w:p>
      <w:pPr>
        <w:ind w:left="1020" w:right="919" w:hanging="256"/>
        <w:spacing w:after="0" w:line="247" w:lineRule="auto"/>
        <w:tabs>
          <w:tab w:leader="none" w:pos="10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601(b)(2) of Regulation S-K. The registrant agrees to furnish supplementally a copy of any omitted schedule or exhibit to the Commission upon request.</w:t>
      </w:r>
    </w:p>
    <w:p>
      <w:pPr>
        <w:spacing w:after="0" w:line="1" w:lineRule="exact"/>
        <w:rPr>
          <w:sz w:val="20"/>
          <w:szCs w:val="20"/>
          <w:color w:val="auto"/>
        </w:rPr>
      </w:pPr>
    </w:p>
    <w:p>
      <w:pPr>
        <w:ind w:left="1020" w:right="839" w:hanging="256"/>
        <w:spacing w:after="0" w:line="237" w:lineRule="auto"/>
        <w:tabs>
          <w:tab w:leader="none" w:pos="10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because they are both (i) not material and (ii) the type of information that the registrant treats as private or confidential.</w:t>
      </w:r>
    </w:p>
    <w:p>
      <w:pPr>
        <w:ind w:left="1020" w:hanging="256"/>
        <w:spacing w:after="0" w:line="188" w:lineRule="auto"/>
        <w:tabs>
          <w:tab w:leader="none" w:pos="1020" w:val="left"/>
        </w:tabs>
        <w:numPr>
          <w:ilvl w:val="0"/>
          <w:numId w:val="97"/>
        </w:numPr>
        <w:rPr>
          <w:rFonts w:ascii="Arial" w:cs="Arial" w:eastAsia="Arial" w:hAnsi="Arial"/>
          <w:sz w:val="20"/>
          <w:szCs w:val="20"/>
          <w:color w:val="auto"/>
          <w:vertAlign w:val="superscript"/>
        </w:rPr>
      </w:pPr>
      <w:r>
        <w:rPr>
          <w:rFonts w:ascii="Times New Roman" w:cs="Times New Roman" w:eastAsia="Times New Roman" w:hAnsi="Times New Roman"/>
          <w:sz w:val="13"/>
          <w:szCs w:val="13"/>
          <w:color w:val="auto"/>
        </w:rPr>
        <w:t>Certain schedules and similar attachments to this exhibit have been omitted in accordance with Regulation S-K Item 601(a)(5).</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Registrant agrees to furnish a copy of all omitted schedules and similar attachments to the Commission upon its request.</w:t>
      </w:r>
    </w:p>
    <w:p>
      <w:pPr>
        <w:spacing w:after="0" w:line="4" w:lineRule="exact"/>
        <w:rPr>
          <w:sz w:val="20"/>
          <w:szCs w:val="20"/>
          <w:color w:val="auto"/>
        </w:rPr>
      </w:pPr>
    </w:p>
    <w:p>
      <w:pPr>
        <w:ind w:left="1020" w:hanging="256"/>
        <w:spacing w:after="0"/>
        <w:tabs>
          <w:tab w:leader="none" w:pos="10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9019"/>
          </w:cols>
          <w:pgMar w:left="1440" w:top="572" w:right="1440" w:bottom="1440" w:gutter="0" w:footer="0" w:header="0"/>
        </w:sectPr>
      </w:pPr>
    </w:p>
    <w:bookmarkStart w:id="248" w:name="page249"/>
    <w:bookmarkEnd w:id="248"/>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69856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5401945" cy="6985635"/>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1" w:lineRule="exact"/>
        <w:rPr>
          <w:sz w:val="20"/>
          <w:szCs w:val="20"/>
          <w:color w:val="auto"/>
        </w:rPr>
      </w:pPr>
    </w:p>
    <w:p>
      <w:pPr>
        <w:ind w:left="1260" w:hanging="246"/>
        <w:spacing w:after="0"/>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4"/>
          <w:szCs w:val="14"/>
          <w:color w:val="auto"/>
        </w:rPr>
      </w:pPr>
    </w:p>
    <w:p>
      <w:pPr>
        <w:ind w:left="1540" w:hanging="256"/>
        <w:spacing w:after="0"/>
        <w:tabs>
          <w:tab w:leader="none" w:pos="154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1" w:lineRule="exact"/>
        <w:rPr>
          <w:rFonts w:ascii="Times New Roman" w:cs="Times New Roman" w:eastAsia="Times New Roman" w:hAnsi="Times New Roman"/>
          <w:sz w:val="14"/>
          <w:szCs w:val="14"/>
          <w:color w:val="auto"/>
        </w:rPr>
      </w:pPr>
    </w:p>
    <w:p>
      <w:pPr>
        <w:ind w:left="1540" w:right="839" w:hanging="256"/>
        <w:spacing w:after="0" w:line="252" w:lineRule="auto"/>
        <w:tabs>
          <w:tab w:leader="none" w:pos="154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43" w:lineRule="exact"/>
        <w:rPr>
          <w:rFonts w:ascii="Times New Roman" w:cs="Times New Roman" w:eastAsia="Times New Roman" w:hAnsi="Times New Roman"/>
          <w:sz w:val="14"/>
          <w:szCs w:val="14"/>
          <w:color w:val="auto"/>
        </w:rPr>
      </w:pPr>
    </w:p>
    <w:p>
      <w:pPr>
        <w:ind w:left="1540" w:right="939" w:hanging="256"/>
        <w:spacing w:after="0" w:line="278" w:lineRule="auto"/>
        <w:tabs>
          <w:tab w:leader="none" w:pos="154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5" w:lineRule="exact"/>
        <w:rPr>
          <w:rFonts w:ascii="Times New Roman" w:cs="Times New Roman" w:eastAsia="Times New Roman" w:hAnsi="Times New Roman"/>
          <w:sz w:val="14"/>
          <w:szCs w:val="14"/>
          <w:color w:val="auto"/>
        </w:rPr>
      </w:pPr>
    </w:p>
    <w:p>
      <w:pPr>
        <w:ind w:left="1260" w:right="899" w:hanging="246"/>
        <w:spacing w:after="0" w:line="262" w:lineRule="auto"/>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7" w:lineRule="exact"/>
        <w:rPr>
          <w:rFonts w:ascii="Times New Roman" w:cs="Times New Roman" w:eastAsia="Times New Roman" w:hAnsi="Times New Roman"/>
          <w:sz w:val="14"/>
          <w:szCs w:val="14"/>
          <w:color w:val="auto"/>
        </w:rPr>
      </w:pPr>
    </w:p>
    <w:p>
      <w:pPr>
        <w:ind w:left="1260" w:right="1059" w:hanging="246"/>
        <w:spacing w:after="0" w:line="278" w:lineRule="auto"/>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1260" w:right="779" w:hanging="246"/>
        <w:spacing w:after="0" w:line="251" w:lineRule="auto"/>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6" w:lineRule="exact"/>
        <w:rPr>
          <w:rFonts w:ascii="Times New Roman" w:cs="Times New Roman" w:eastAsia="Times New Roman" w:hAnsi="Times New Roman"/>
          <w:sz w:val="14"/>
          <w:szCs w:val="14"/>
          <w:color w:val="auto"/>
        </w:rPr>
      </w:pPr>
    </w:p>
    <w:p>
      <w:pPr>
        <w:ind w:left="1260" w:right="819" w:hanging="246"/>
        <w:spacing w:after="0" w:line="251" w:lineRule="auto"/>
        <w:tabs>
          <w:tab w:leader="none" w:pos="1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9019"/>
          </w:cols>
          <w:pgMar w:left="1440" w:top="572" w:right="1440" w:bottom="1440" w:gutter="0" w:footer="0" w:header="0"/>
        </w:sectPr>
      </w:pPr>
    </w:p>
    <w:bookmarkStart w:id="249" w:name="page250"/>
    <w:bookmarkEnd w:id="249"/>
    <w:p>
      <w:pPr>
        <w:ind w:left="76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1073150</wp:posOffset>
            </wp:positionH>
            <wp:positionV relativeFrom="page">
              <wp:posOffset>171450</wp:posOffset>
            </wp:positionV>
            <wp:extent cx="5401945" cy="7044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5401945" cy="7044690"/>
                    </a:xfrm>
                    <a:prstGeom prst="rect">
                      <a:avLst/>
                    </a:prstGeom>
                    <a:noFill/>
                  </pic:spPr>
                </pic:pic>
              </a:graphicData>
            </a:graphic>
          </wp:anchor>
        </w:drawing>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ind w:left="760" w:right="819" w:firstLine="24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Billerica, Massachusetts on June 30, 2026.</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FACTORIAL ENERGY INC.</w:t>
      </w:r>
    </w:p>
    <w:p>
      <w:pPr>
        <w:spacing w:after="0" w:line="173"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Siyu Huang</w:t>
            </w:r>
          </w:p>
        </w:tc>
      </w:tr>
      <w:tr>
        <w:trPr>
          <w:trHeight w:val="142"/>
        </w:trPr>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Name:</w:t>
            </w:r>
          </w:p>
        </w:tc>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Siyu Huang</w:t>
            </w:r>
          </w:p>
        </w:tc>
      </w:tr>
      <w:tr>
        <w:trPr>
          <w:trHeight w:val="18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3" w:lineRule="exact"/>
        <w:rPr>
          <w:sz w:val="20"/>
          <w:szCs w:val="20"/>
          <w:color w:val="auto"/>
        </w:rPr>
      </w:pPr>
    </w:p>
    <w:p>
      <w:pPr>
        <w:ind w:left="760" w:right="799" w:firstLine="249"/>
        <w:spacing w:after="0" w:line="25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Siyu Huang and Richard Wei,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45" w:lineRule="exact"/>
        <w:rPr>
          <w:sz w:val="20"/>
          <w:szCs w:val="20"/>
          <w:color w:val="auto"/>
        </w:rPr>
      </w:pPr>
    </w:p>
    <w:p>
      <w:pPr>
        <w:ind w:left="760" w:right="919" w:firstLine="24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on Form S-1 has been signed by the following persons in the capacities and on the dates indicated.</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54"/>
        </w:trPr>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4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3"/>
        </w:trPr>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Siyu Huang</w:t>
            </w:r>
          </w:p>
        </w:tc>
        <w:tc>
          <w:tcPr>
            <w:tcW w:w="180" w:type="dxa"/>
            <w:vAlign w:val="bottom"/>
          </w:tcPr>
          <w:p>
            <w:pPr>
              <w:spacing w:after="0"/>
              <w:rPr>
                <w:sz w:val="24"/>
                <w:szCs w:val="24"/>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 and Director</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Siyu Huang</w:t>
            </w:r>
          </w:p>
        </w:tc>
        <w:tc>
          <w:tcPr>
            <w:tcW w:w="18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Richard Wei</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Richard Wei</w:t>
            </w:r>
          </w:p>
        </w:tc>
        <w:tc>
          <w:tcPr>
            <w:tcW w:w="18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Financial Officer)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Jay Scuteri</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VP, Finance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42"/>
        </w:trPr>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Jay Scuteri</w:t>
            </w:r>
          </w:p>
        </w:tc>
        <w:tc>
          <w:tcPr>
            <w:tcW w:w="180" w:type="dxa"/>
            <w:vAlign w:val="bottom"/>
          </w:tcPr>
          <w:p>
            <w:pPr>
              <w:spacing w:after="0"/>
              <w:rPr>
                <w:sz w:val="12"/>
                <w:szCs w:val="12"/>
                <w:color w:val="auto"/>
              </w:rPr>
            </w:pPr>
          </w:p>
        </w:tc>
        <w:tc>
          <w:tcPr>
            <w:tcW w:w="4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(Principal Accounting Officer)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1"/>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Alex Yu</w:t>
            </w:r>
          </w:p>
        </w:tc>
        <w:tc>
          <w:tcPr>
            <w:tcW w:w="180" w:type="dxa"/>
            <w:vAlign w:val="bottom"/>
          </w:tcPr>
          <w:p>
            <w:pPr>
              <w:spacing w:after="0"/>
              <w:rPr>
                <w:sz w:val="15"/>
                <w:szCs w:val="15"/>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Co-Founder, Chief Technical Officer and Director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42"/>
        </w:trPr>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1"/>
              </w:rPr>
              <w:t>Alex Yu</w:t>
            </w:r>
          </w:p>
        </w:tc>
        <w:tc>
          <w:tcPr>
            <w:tcW w:w="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1"/>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Joseph M. Taylor</w:t>
            </w:r>
          </w:p>
        </w:tc>
        <w:tc>
          <w:tcPr>
            <w:tcW w:w="180" w:type="dxa"/>
            <w:vAlign w:val="bottom"/>
          </w:tcPr>
          <w:p>
            <w:pPr>
              <w:spacing w:after="0"/>
              <w:rPr>
                <w:sz w:val="15"/>
                <w:szCs w:val="15"/>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Executive Chairperson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Joseph M. Taylor</w:t>
            </w: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Uwe Keller</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Uwe Keller</w:t>
            </w: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Liad Meidar</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Liad Meidar</w:t>
            </w: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Jon K. Nelson</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K. Nelson</w:t>
            </w: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7"/>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Dieter Zetsche</w:t>
            </w:r>
          </w:p>
        </w:tc>
        <w:tc>
          <w:tcPr>
            <w:tcW w:w="1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9"/>
              </w:rPr>
              <w:t>June 30, 2026</w:t>
            </w:r>
          </w:p>
        </w:tc>
      </w:tr>
      <w:tr>
        <w:trPr>
          <w:trHeight w:val="172"/>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Dieter Zetsche</w:t>
            </w:r>
          </w:p>
        </w:tc>
        <w:tc>
          <w:tcPr>
            <w:tcW w:w="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27"/>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40" w:type="dxa"/>
            <w:vAlign w:val="bottom"/>
          </w:tcPr>
          <w:p>
            <w:pPr>
              <w:jc w:val="right"/>
              <w:ind w:right="2272"/>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019"/>
          </w:cols>
          <w:pgMar w:left="1440" w:top="571"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-92075</wp:posOffset>
            </wp:positionV>
            <wp:extent cx="1312545" cy="290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1312545" cy="29019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New York, New York 10018</w:t>
      </w:r>
    </w:p>
    <w:p>
      <w:pPr>
        <w:spacing w:after="0" w:line="1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goodwinlaw.com</w:t>
      </w:r>
    </w:p>
    <w:p>
      <w:pPr>
        <w:spacing w:after="0" w:line="2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+1 212 813 8800</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June 30, 2026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Factorial Energy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805 Middlesex Turnpike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Billerica, MA 01821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 </w:t>
      </w:r>
      <w:r>
        <w:rPr>
          <w:rFonts w:ascii="Times New Roman" w:cs="Times New Roman" w:eastAsia="Times New Roman" w:hAnsi="Times New Roman"/>
          <w:sz w:val="14"/>
          <w:szCs w:val="14"/>
          <w:u w:val="single" w:color="auto"/>
          <w:color w:val="auto"/>
        </w:rPr>
        <w:t>Securities Registered under Registration Statement on Form S-1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0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3"/>
          <w:szCs w:val="13"/>
          <w:color w:val="auto"/>
        </w:rPr>
        <w:t>We have acted as counsel to you in connection with your filing of a Registration Statement on Form S-1 (as amended or supplemented, the “Registration Statement”) pursuant to the Securities Act of 1933, as amended (the “Securities Act”), relating to the registration of the offering by (i) Factorial Energy Inc., a Delaware corporation (the “Company”), of up to 13,800,000 shares (the “Public Warrant Shares”) of Series A common stock, par value $0.00001 per share (the “Common Stock”), of the Company issuable upon exercise of 13,800,000 warrants to purchase Common Stock (the “Public Warrants”), and (ii) up to 86,441,489 shares (the “Selling Securityholder Shares”) of Common Stock to be sold by the selling securityholders listed in the Registration Statement under “Selling Securityholders” (the “Selling Securityholders”), including (a) 13,293,953 shares (the “Option Shares”) of Common Stock issuable upon exercise of options to purchase Common Stock (“Options”) held by certain of the Selling Securityholders, (b) 4,630,954 shares (the “RSU Shares”) of Common Stock issuable upon vesting and settlement of restricted stock unit awards (“RSUs”) held by certain of the Selling Securityholders, (c) up to 6,800,000 shares (the “Private Warrant Shares,” and together with the Public Warrant Shares, the “Warrant Shares”) of Common Stock issuable upon exercise of 6,800,000 warrants to purchase Common Stock (the “Private Warrants” and together with the Public Warrants, the “Warrants”), and (d) 15,512,744 shares (the “Conversion Shares”) of Common Stock issuable upon conversion of 15,512,744 shares of the Company’s Series B common stock, par value $0.00001 per share (“Series B Common Stock”).</w:t>
      </w:r>
    </w:p>
    <w:p>
      <w:pPr>
        <w:spacing w:after="0" w:line="7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opinion set forth below is limited to the Delaware General Corporation Law.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the foregoing, we are of the opinion that:</w:t>
      </w:r>
    </w:p>
    <w:p>
      <w:pPr>
        <w:spacing w:after="0" w:line="109" w:lineRule="exact"/>
        <w:rPr>
          <w:sz w:val="20"/>
          <w:szCs w:val="20"/>
          <w:color w:val="auto"/>
        </w:rPr>
      </w:pPr>
    </w:p>
    <w:p>
      <w:pPr>
        <w:ind w:right="80" w:firstLine="256"/>
        <w:spacing w:after="0" w:line="278" w:lineRule="auto"/>
        <w:tabs>
          <w:tab w:leader="none" w:pos="74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Shares, other than the Option Shares, RSU Shares, Private Warrant Shares and Conversion Shares, have been duly authorized and validly issued and are fully paid and nonassessable.</w:t>
      </w:r>
    </w:p>
    <w:p>
      <w:pPr>
        <w:spacing w:after="0" w:line="63" w:lineRule="exact"/>
        <w:rPr>
          <w:rFonts w:ascii="Times New Roman" w:cs="Times New Roman" w:eastAsia="Times New Roman" w:hAnsi="Times New Roman"/>
          <w:sz w:val="14"/>
          <w:szCs w:val="14"/>
          <w:color w:val="auto"/>
        </w:rPr>
      </w:pPr>
    </w:p>
    <w:p>
      <w:pPr>
        <w:ind w:right="60" w:firstLine="256"/>
        <w:spacing w:after="0" w:line="278" w:lineRule="auto"/>
        <w:tabs>
          <w:tab w:leader="none" w:pos="74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Warrant Shares issuable upon exercise of the Warrants were issued today in accordance with the terms of the Warrants, they would be duly authorized, validly issued, fully paid and nonassessable.</w:t>
      </w:r>
    </w:p>
    <w:p>
      <w:pPr>
        <w:spacing w:after="0" w:line="63" w:lineRule="exact"/>
        <w:rPr>
          <w:rFonts w:ascii="Times New Roman" w:cs="Times New Roman" w:eastAsia="Times New Roman" w:hAnsi="Times New Roman"/>
          <w:sz w:val="14"/>
          <w:szCs w:val="14"/>
          <w:color w:val="auto"/>
        </w:rPr>
      </w:pPr>
    </w:p>
    <w:p>
      <w:pPr>
        <w:ind w:right="240" w:firstLine="256"/>
        <w:spacing w:after="0" w:line="278" w:lineRule="auto"/>
        <w:tabs>
          <w:tab w:leader="none" w:pos="74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Option Shares issuable upon exercise of the Options were issued today in accordance with the terms of the Options, they would be duly authorized, validly issued, fully paid and nonassessable.</w:t>
      </w:r>
    </w:p>
    <w:p>
      <w:pPr>
        <w:spacing w:after="0" w:line="63" w:lineRule="exact"/>
        <w:rPr>
          <w:rFonts w:ascii="Times New Roman" w:cs="Times New Roman" w:eastAsia="Times New Roman" w:hAnsi="Times New Roman"/>
          <w:sz w:val="14"/>
          <w:szCs w:val="14"/>
          <w:color w:val="auto"/>
        </w:rPr>
      </w:pPr>
    </w:p>
    <w:p>
      <w:pPr>
        <w:ind w:right="460" w:firstLine="256"/>
        <w:spacing w:after="0" w:line="278" w:lineRule="auto"/>
        <w:tabs>
          <w:tab w:leader="none" w:pos="74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RSU Shares issuable upon vesting and settlement of the RSUs were issued today in accordance with the terms of the RSUs, they would be duly authorized, validly issued, fully paid and nonassessable.</w:t>
      </w:r>
    </w:p>
    <w:p>
      <w:pPr>
        <w:spacing w:after="0" w:line="63" w:lineRule="exact"/>
        <w:rPr>
          <w:rFonts w:ascii="Times New Roman" w:cs="Times New Roman" w:eastAsia="Times New Roman" w:hAnsi="Times New Roman"/>
          <w:sz w:val="14"/>
          <w:szCs w:val="14"/>
          <w:color w:val="auto"/>
        </w:rPr>
      </w:pPr>
    </w:p>
    <w:p>
      <w:pPr>
        <w:ind w:right="120" w:firstLine="256"/>
        <w:spacing w:after="0" w:line="278" w:lineRule="auto"/>
        <w:tabs>
          <w:tab w:leader="none" w:pos="74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shares of Series B Common Stock were converted today in accordance with the Company’s certificate of incorporation, the Conversion Shares would be duly authorized, validly issued, fully paid and nonassessable.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opinion letter and the opinion it contains shall be interpreted in accordance with the Core Opinion Principles as published in 74 Business Lawyer 815 (Summer 2019).</w:t>
      </w:r>
    </w:p>
    <w:p>
      <w:pPr>
        <w:spacing w:after="0" w:line="10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Goodwin Procter LLP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GOODWIN PROCTER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6319520"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6319520" cy="19685"/>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7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consent to the inclusion in this Registration Statement on Form S-1 of our report dated March 20, 2026, with respect to the financial statements of Cartesian Growth Corporation III included in this Registration Statement. We also consent to the reference to us under the heading “Experts” in such Registration Statement.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CBIZ CPA</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xml:space="preserve">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319520"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6319520" cy="19685"/>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We consent to the use in this Registration Statement on Form S-1 of Factorial Energy Inc. of our report dated March 26, 2026, relating to the consolidated financial statements of Factorial Inc., appearing in the Prospectus, which is part of this Registration Statement.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319520"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6319520" cy="19685"/>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53" w:name="page254"/>
    <w:bookmarkEnd w:id="253"/>
    <w:p>
      <w:pPr>
        <w:spacing w:after="0" w:line="62"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Factorial Energy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Series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86,441,489</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$ 11.25</w:t>
            </w:r>
          </w:p>
        </w:tc>
        <w:tc>
          <w:tcPr>
            <w:tcW w:w="20" w:type="dxa"/>
            <w:vAlign w:val="bottom"/>
          </w:tcPr>
          <w:p>
            <w:pPr>
              <w:spacing w:after="0"/>
              <w:rPr>
                <w:sz w:val="8"/>
                <w:szCs w:val="8"/>
                <w:color w:val="auto"/>
              </w:rPr>
            </w:pPr>
          </w:p>
        </w:tc>
        <w:tc>
          <w:tcPr>
            <w:tcW w:w="13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$ 972,466,751.25</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$ 134,297.66</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Series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13,800,000</w:t>
            </w:r>
          </w:p>
        </w:tc>
        <w:tc>
          <w:tcPr>
            <w:tcW w:w="20" w:type="dxa"/>
            <w:vAlign w:val="bottom"/>
          </w:tcPr>
          <w:p>
            <w:pPr>
              <w:spacing w:after="0"/>
              <w:rPr>
                <w:sz w:val="16"/>
                <w:szCs w:val="16"/>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$ 11.25</w:t>
            </w: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$ 155,250,000.00</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$ 21,440.02</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exercise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of</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$ 155,737.68</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1,127,716,751.25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$ 155,737.68</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360"/>
        <w:spacing w:after="0" w:line="257" w:lineRule="auto"/>
        <w:rPr>
          <w:sz w:val="20"/>
          <w:szCs w:val="20"/>
          <w:color w:val="auto"/>
        </w:rPr>
      </w:pPr>
      <w:r>
        <w:rPr>
          <w:rFonts w:ascii="Arial" w:cs="Arial" w:eastAsia="Arial" w:hAnsi="Arial"/>
          <w:sz w:val="17"/>
          <w:szCs w:val="17"/>
          <w:color w:val="auto"/>
        </w:rPr>
        <w:t>Pursuant to Rule 416(a) promulgated under the Securities Act, there are also being registered an indeterminable number of additional securities as may be issued to prevent dilution resulting from share splits, share dividends or similar transactions.</w:t>
      </w:r>
    </w:p>
    <w:p>
      <w:pPr>
        <w:spacing w:after="0" w:line="142" w:lineRule="exact"/>
        <w:rPr>
          <w:sz w:val="20"/>
          <w:szCs w:val="20"/>
          <w:color w:val="auto"/>
        </w:rPr>
      </w:pPr>
    </w:p>
    <w:p>
      <w:pPr>
        <w:ind w:left="220" w:right="140"/>
        <w:spacing w:after="0" w:line="248" w:lineRule="auto"/>
        <w:rPr>
          <w:sz w:val="20"/>
          <w:szCs w:val="20"/>
          <w:color w:val="auto"/>
        </w:rPr>
      </w:pPr>
      <w:r>
        <w:rPr>
          <w:rFonts w:ascii="Arial" w:cs="Arial" w:eastAsia="Arial" w:hAnsi="Arial"/>
          <w:sz w:val="16"/>
          <w:szCs w:val="16"/>
          <w:color w:val="auto"/>
        </w:rPr>
        <w:t>Consisting of (i) 32,812,316 shares of Factorial Energy Inc. ("Factorial") Series A Common Stock that were issued to certain Selling Stockholders in the Business Combination, (ii) 15,512,744 shares of Factorial Series A Common Stock issuable upon conversion of 15,512,744 shares of Series B Common Stock, par value $0.00001 per share of Factorial Energy Inc., issued to the Founders, (iii) 5,810,000 shares of Series A Common Stock issued to the Sponsor and certain initial shareholders of CGC, (iv) 7,519,404 shares of Series A Common Stock in the aggregate issued in connection with the PIPE Investments to PIPE Investors and shares purchased by Pangaea Three-B, LP, an affiliate of Sponsor, to satisfy in part its purchase obligations under its Investor Stock Purchase Agreement, (v) 13,293,953 shares of Series A Common Stock issuable upon exercise of options to purchase Series A Common Stock held by certain Selling Securityholders, (vi) 4,402,090 shares of Series A Common Stock issuable upon vesting and settlement of restricted stock unit awards held by certain Selling Securityholders, (vii) 62,118 shares of Series A Common Stock issued to Cantor Fitzgerald &amp; Co. ("CF&amp;CO") pursuant to a financial advisor engagement letter with respect to services provided by CF&amp;CO to Factorial in connection with the Business Combination and (h) 6,800,000 shares of Series A Common Stock that may be issued upon the exercise of the Private Warrants. Capitalized terms used but not defined herein shall have the meanings ascribed to them in the Registration Statement on Form S-1.</w:t>
      </w:r>
    </w:p>
    <w:p>
      <w:pPr>
        <w:spacing w:after="0" w:line="153" w:lineRule="exact"/>
        <w:rPr>
          <w:sz w:val="20"/>
          <w:szCs w:val="20"/>
          <w:color w:val="auto"/>
        </w:rPr>
      </w:pPr>
    </w:p>
    <w:p>
      <w:pPr>
        <w:jc w:val="both"/>
        <w:ind w:left="220" w:right="300"/>
        <w:spacing w:after="0" w:line="243" w:lineRule="auto"/>
        <w:rPr>
          <w:sz w:val="20"/>
          <w:szCs w:val="20"/>
          <w:color w:val="auto"/>
        </w:rPr>
      </w:pPr>
      <w:r>
        <w:rPr>
          <w:rFonts w:ascii="Arial" w:cs="Arial" w:eastAsia="Arial" w:hAnsi="Arial"/>
          <w:sz w:val="17"/>
          <w:szCs w:val="17"/>
          <w:color w:val="auto"/>
        </w:rPr>
        <w:t>Pursuant to Rules 457(c) promulgated under the Securities Act and solely for the purpose of calculating the registration fee, the proposed maximum offering price per unit is $11.25 (the average of the high and low prices of the Series A Common Stock as reported on the Nasdaq Capital Market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59055</wp:posOffset>
            </wp:positionV>
            <wp:extent cx="71494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2" w:lineRule="exact"/>
        <w:rPr>
          <w:sz w:val="20"/>
          <w:szCs w:val="20"/>
          <w:color w:val="auto"/>
        </w:rPr>
      </w:pPr>
    </w:p>
    <w:p>
      <w:pPr>
        <w:ind w:left="220" w:right="360"/>
        <w:spacing w:after="0" w:line="257" w:lineRule="auto"/>
        <w:rPr>
          <w:sz w:val="20"/>
          <w:szCs w:val="20"/>
          <w:color w:val="auto"/>
        </w:rPr>
      </w:pPr>
      <w:r>
        <w:rPr>
          <w:rFonts w:ascii="Arial" w:cs="Arial" w:eastAsia="Arial" w:hAnsi="Arial"/>
          <w:sz w:val="17"/>
          <w:szCs w:val="17"/>
          <w:color w:val="auto"/>
        </w:rPr>
        <w:t>Pursuant to Rule 416(a) promulgated under the Securities Act, there are also being registered an indeterminable number of additional securities as may be issued to prevent dilution resulting from share splits, share dividends or similar transactions.</w:t>
      </w:r>
    </w:p>
    <w:p>
      <w:pPr>
        <w:spacing w:after="0" w:line="142" w:lineRule="exact"/>
        <w:rPr>
          <w:sz w:val="20"/>
          <w:szCs w:val="20"/>
          <w:color w:val="auto"/>
        </w:rPr>
      </w:pPr>
    </w:p>
    <w:p>
      <w:pPr>
        <w:jc w:val="both"/>
        <w:ind w:left="220" w:right="300"/>
        <w:spacing w:after="0" w:line="243" w:lineRule="auto"/>
        <w:rPr>
          <w:sz w:val="20"/>
          <w:szCs w:val="20"/>
          <w:color w:val="auto"/>
        </w:rPr>
      </w:pPr>
      <w:r>
        <w:rPr>
          <w:rFonts w:ascii="Arial" w:cs="Arial" w:eastAsia="Arial" w:hAnsi="Arial"/>
          <w:sz w:val="17"/>
          <w:szCs w:val="17"/>
          <w:color w:val="auto"/>
        </w:rPr>
        <w:t>Pursuant to Rules 457(c) promulgated under the Securities Act and solely for the purpose of calculating the registration fee, the proposed maximum offering price per unit is $11.25 (the average of the high and low prices of the Series A Common Stock as reported on the Nasdaq Capital Market on June 25, 2026).</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Consisting of 13,800,000 shares of Series A Common Stock issuable upon exercise of the Public Warrants.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Capitalized terms used but not defined herein shall have the meanings ascribed to them in the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494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3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r>
      <w:tr>
        <w:trPr>
          <w:trHeight w:val="192"/>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6"/>
                <w:szCs w:val="16"/>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9"/>
                <w:szCs w:val="19"/>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9"/>
                <w:szCs w:val="19"/>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bl>
    <w:p>
      <w:pPr>
        <w:sectPr>
          <w:pgSz w:w="11900" w:h="16900" w:orient="portrait"/>
          <w:cols w:equalWidth="0" w:num="1">
            <w:col w:w="11360"/>
          </w:cols>
          <w:pgMar w:left="300" w:top="141" w:right="239" w:bottom="0" w:gutter="0" w:footer="0" w:header="0"/>
        </w:sectPr>
      </w:pPr>
    </w:p>
    <w:bookmarkStart w:id="254" w:name="page255"/>
    <w:bookmarkEnd w:id="2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8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vMerge w:val="restart"/>
          </w:tcPr>
          <w:p>
            <w:pPr>
              <w:spacing w:after="0"/>
              <w:rPr>
                <w:sz w:val="11"/>
                <w:szCs w:val="11"/>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vMerge w:val="continue"/>
          </w:tcPr>
          <w:p>
            <w:pPr>
              <w:spacing w:after="0"/>
              <w:rPr>
                <w:sz w:val="7"/>
                <w:szCs w:val="7"/>
                <w:color w:val="auto"/>
              </w:rPr>
            </w:pPr>
          </w:p>
        </w:tc>
        <w:tc>
          <w:tcPr>
            <w:tcW w:w="9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00" w:type="dxa"/>
            <w:vAlign w:val="bottom"/>
            <w:gridSpan w:val="12"/>
          </w:tcPr>
          <w:p>
            <w:pPr>
              <w:ind w:left="18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17"/>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740" w:type="dxa"/>
            <w:vAlign w:val="bottom"/>
            <w:gridSpan w:val="5"/>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3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1740" w:type="dxa"/>
            <w:vAlign w:val="bottom"/>
            <w:gridSpan w:val="5"/>
            <w:vMerge w:val="continue"/>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17"/>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617"/>
    </w:lvl>
  </w:abstractNum>
  <w:abstractNum w:abstractNumId="1">
    <w:nsid w:val="1BA026FA"/>
    <w:multiLevelType w:val="hybridMultilevel"/>
    <w:lvl w:ilvl="0">
      <w:lvlJc w:val="left"/>
      <w:lvlText w:val="1"/>
      <w:numFmt w:val="bullet"/>
      <w:start w:val="1"/>
    </w:lvl>
  </w:abstractNum>
  <w:abstractNum w:abstractNumId="2">
    <w:nsid w:val="79A1DEAA"/>
    <w:multiLevelType w:val="hybridMultilevel"/>
    <w:lvl w:ilvl="0">
      <w:lvlJc w:val="left"/>
      <w:lvlText w:val="2"/>
      <w:numFmt w:val="bullet"/>
      <w:start w:val="1"/>
    </w:lvl>
  </w:abstractNum>
  <w:abstractNum w:abstractNumId="3">
    <w:nsid w:val="75C6C33A"/>
    <w:multiLevelType w:val="hybridMultilevel"/>
    <w:lvl w:ilvl="0">
      <w:lvlJc w:val="left"/>
      <w:lvlText w:val="3"/>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4"/>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lvl w:ilvl="1">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lowerRoman"/>
      <w:start w:val="1"/>
    </w:lvl>
    <w:lvl w:ilvl="1">
      <w:lvlJc w:val="left"/>
      <w:lvlText w:val="%2."/>
      <w:numFmt w:val="lowerLetter"/>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3"/>
    </w:lvl>
  </w:abstractNum>
  <w:abstractNum w:abstractNumId="22">
    <w:nsid w:val="3F6AB60F"/>
    <w:multiLevelType w:val="hybridMultilevel"/>
    <w:lvl w:ilvl="0">
      <w:lvlJc w:val="left"/>
      <w:lvlText w:val="(%1)"/>
      <w:numFmt w:val="lowerLetter"/>
      <w:start w:val="4"/>
    </w:lvl>
    <w:lvl w:ilvl="1">
      <w:lvlJc w:val="left"/>
      <w:lvlText w:val="%2."/>
      <w:numFmt w:val="lowerRoman"/>
      <w:start w:val="1"/>
    </w:lvl>
  </w:abstractNum>
  <w:abstractNum w:abstractNumId="23">
    <w:nsid w:val="61574095"/>
    <w:multiLevelType w:val="hybridMultilevel"/>
    <w:lvl w:ilvl="0">
      <w:lvlJc w:val="left"/>
      <w:lvlText w:val="%1"/>
      <w:numFmt w:val="lowerLetter"/>
      <w:start w:val="1"/>
    </w:lvl>
    <w:lvl w:ilvl="1">
      <w:lvlJc w:val="left"/>
      <w:lvlText w:val="%2."/>
      <w:numFmt w:val="lowerRoman"/>
      <w:start w:val="7"/>
    </w:lvl>
  </w:abstractNum>
  <w:abstractNum w:abstractNumId="24">
    <w:nsid w:val="7E0C57B1"/>
    <w:multiLevelType w:val="hybridMultilevel"/>
    <w:lvl w:ilvl="0">
      <w:lvlJc w:val="left"/>
      <w:lvlText w:val="(%1)"/>
      <w:numFmt w:val="lowerLetter"/>
      <w:start w:val="6"/>
    </w:lvl>
    <w:lvl w:ilvl="1">
      <w:lvlJc w:val="left"/>
      <w:lvlText w:val="%2."/>
      <w:numFmt w:val="lowerRoman"/>
      <w:start w:val="1"/>
    </w:lvl>
  </w:abstractNum>
  <w:abstractNum w:abstractNumId="25">
    <w:nsid w:val="77AE35EB"/>
    <w:multiLevelType w:val="hybridMultilevel"/>
    <w:lvl w:ilvl="0">
      <w:lvlJc w:val="left"/>
      <w:lvlText w:val="(%1)"/>
      <w:numFmt w:val="lowerLetter"/>
      <w:start w:val="1"/>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
      <w:numFmt w:val="bullet"/>
      <w:start w:val="1"/>
    </w:lvl>
    <w:lvl w:ilvl="1">
      <w:lvlJc w:val="left"/>
      <w:lvlText w:val="​"/>
      <w:numFmt w:val="bullet"/>
      <w:start w:val="1"/>
    </w:lvl>
  </w:abstractNum>
  <w:abstractNum w:abstractNumId="28">
    <w:nsid w:val="5FF87E05"/>
    <w:multiLevelType w:val="hybridMultilevel"/>
    <w:lvl w:ilvl="0">
      <w:lvlJc w:val="left"/>
      <w:lvlText w:val="1"/>
      <w:numFmt w:val="bullet"/>
      <w:start w:val="1"/>
    </w:lvl>
  </w:abstractNum>
  <w:abstractNum w:abstractNumId="29">
    <w:nsid w:val="2F305DEF"/>
    <w:multiLevelType w:val="hybridMultilevel"/>
    <w:lvl w:ilvl="0">
      <w:lvlJc w:val="left"/>
      <w:lvlText w:val="4"/>
      <w:numFmt w:val="bullet"/>
      <w:start w:val="1"/>
    </w:lvl>
  </w:abstractNum>
  <w:abstractNum w:abstractNumId="30">
    <w:nsid w:val="25A70BF7"/>
    <w:multiLevelType w:val="hybridMultilevel"/>
    <w:lvl w:ilvl="0">
      <w:lvlJc w:val="left"/>
      <w:lvlText w:val="7"/>
      <w:numFmt w:val="bullet"/>
      <w:start w:val="1"/>
    </w:lvl>
  </w:abstractNum>
  <w:abstractNum w:abstractNumId="31">
    <w:nsid w:val="1DBABF00"/>
    <w:multiLevelType w:val="hybridMultilevel"/>
    <w:lvl w:ilvl="0">
      <w:lvlJc w:val="left"/>
      <w:lvlText w:val="8"/>
      <w:numFmt w:val="bullet"/>
      <w:start w:val="1"/>
    </w:lvl>
  </w:abstractNum>
  <w:abstractNum w:abstractNumId="32">
    <w:nsid w:val="4AD084E9"/>
    <w:multiLevelType w:val="hybridMultilevel"/>
    <w:lvl w:ilvl="0">
      <w:lvlJc w:val="left"/>
      <w:lvlText w:val="9"/>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1"/>
      <w:numFmt w:val="decimal"/>
      <w:start w:val="14"/>
    </w:lvl>
  </w:abstractNum>
  <w:abstractNum w:abstractNumId="37">
    <w:nsid w:val="6590700B"/>
    <w:multiLevelType w:val="hybridMultilevel"/>
    <w:lvl w:ilvl="0">
      <w:lvlJc w:val="left"/>
      <w:lvlText w:val="%1"/>
      <w:numFmt w:val="decimal"/>
      <w:start w:val="15"/>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3"/>
    </w:lvl>
  </w:abstractNum>
  <w:abstractNum w:abstractNumId="42">
    <w:nsid w:val="6B94764"/>
    <w:multiLevelType w:val="hybridMultilevel"/>
    <w:lvl w:ilvl="0">
      <w:lvlJc w:val="left"/>
      <w:lvlText w:val="(%1)"/>
      <w:numFmt w:val="lowerRoman"/>
      <w:start w:val="1"/>
    </w:lvl>
  </w:abstractNum>
  <w:abstractNum w:abstractNumId="43">
    <w:nsid w:val="42C296BD"/>
    <w:multiLevelType w:val="hybridMultilevel"/>
    <w:lvl w:ilvl="0">
      <w:lvlJc w:val="left"/>
      <w:lvlText w:val="%1"/>
      <w:numFmt w:val="upperLetter"/>
      <w:start w:val="6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lowerRoman"/>
      <w:start w:val="2"/>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5"/>
    </w:lvl>
  </w:abstractNum>
  <w:abstractNum w:abstractNumId="54">
    <w:nsid w:val="42963E5A"/>
    <w:multiLevelType w:val="hybridMultilevel"/>
    <w:lvl w:ilvl="0">
      <w:lvlJc w:val="left"/>
      <w:lvlText w:val="(%1)"/>
      <w:numFmt w:val="lowerRoman"/>
      <w:start w:val="5"/>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lowerLetter"/>
      <w:start w:val="2"/>
    </w:lvl>
  </w:abstractNum>
  <w:abstractNum w:abstractNumId="57">
    <w:nsid w:val="1A32234B"/>
    <w:multiLevelType w:val="hybridMultilevel"/>
    <w:lvl w:ilvl="0">
      <w:lvlJc w:val="left"/>
      <w:lvlText w:val="(%1)"/>
      <w:numFmt w:val="lowerRoman"/>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lowerRoman"/>
      <w:start w:val="1"/>
    </w:lvl>
  </w:abstractNum>
  <w:abstractNum w:abstractNumId="63">
    <w:nsid w:val="14330624"/>
    <w:multiLevelType w:val="hybridMultilevel"/>
    <w:lvl w:ilvl="0">
      <w:lvlJc w:val="left"/>
      <w:lvlText w:val="(%1)"/>
      <w:numFmt w:val="lowerRoman"/>
      <w:start w:val="3"/>
    </w:lvl>
  </w:abstractNum>
  <w:abstractNum w:abstractNumId="64">
    <w:nsid w:val="7FFFCA11"/>
    <w:multiLevelType w:val="hybridMultilevel"/>
    <w:lvl w:ilvl="0">
      <w:lvlJc w:val="left"/>
      <w:lvlText w:val="(%1)"/>
      <w:numFmt w:val="lowerRoman"/>
      <w:start w:val="3"/>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4"/>
    </w:lvl>
  </w:abstractNum>
  <w:abstractNum w:abstractNumId="71">
    <w:nsid w:val="94211F2"/>
    <w:multiLevelType w:val="hybridMultilevel"/>
    <w:lvl w:ilvl="0">
      <w:lvlJc w:val="left"/>
      <w:lvlText w:val="(%1)"/>
      <w:numFmt w:val="lowerLetter"/>
      <w:start w:val="4"/>
    </w:lvl>
  </w:abstractNum>
  <w:abstractNum w:abstractNumId="72">
    <w:nsid w:val="885E1B"/>
    <w:multiLevelType w:val="hybridMultilevel"/>
    <w:lvl w:ilvl="0">
      <w:lvlJc w:val="left"/>
      <w:lvlText w:val="(%1)"/>
      <w:numFmt w:val="lowerLetter"/>
      <w:start w:val="8"/>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5"/>
    </w:lvl>
  </w:abstractNum>
  <w:abstractNum w:abstractNumId="75">
    <w:nsid w:val="1716703B"/>
    <w:multiLevelType w:val="hybridMultilevel"/>
    <w:lvl w:ilvl="0">
      <w:lvlJc w:val="left"/>
      <w:lvlText w:val="(%1)"/>
      <w:numFmt w:val="decimal"/>
      <w:start w:val="13"/>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1)"/>
      <w:numFmt w:val="lowerRoman"/>
      <w:start w:val="3"/>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1)"/>
      <w:numFmt w:val="lowerRoman"/>
      <w:start w:val="3"/>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1)"/>
      <w:numFmt w:val="lowerLetter"/>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upperLetter"/>
      <w:start w:val="1"/>
    </w:lvl>
    <w:lvl w:ilvl="1">
      <w:lvlJc w:val="left"/>
      <w:lvlText w:val="(%2)"/>
      <w:numFmt w:val="lowerRoman"/>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7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jpe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55" Type="http://schemas.openxmlformats.org/officeDocument/2006/relationships/hyperlink" Target="https://www.sec.gov/Archives/edgar/data/1788013/000110465926056342/tm264324-14_424b3.htm#fANNEA" TargetMode="External"/><Relationship Id="rId256" Type="http://schemas.openxmlformats.org/officeDocument/2006/relationships/hyperlink" Target="https://www.sec.gov/Archives/edgar/data/1788013/000110465926056342/tm264324-14_424b3.htm#fANNEA2" TargetMode="External"/><Relationship Id="rId257" Type="http://schemas.openxmlformats.org/officeDocument/2006/relationships/hyperlink" Target="https://www.sec.gov/Archives/edgar/data/2049662/000110465926063016/tm2614914d1_ex2-1.htm" TargetMode="External"/><Relationship Id="rId258" Type="http://schemas.openxmlformats.org/officeDocument/2006/relationships/hyperlink" Target="https://www.sec.gov/Archives/edgar/data/2049662/000110465926072433/tm2617149d1_ex3-1.htm" TargetMode="External"/><Relationship Id="rId259" Type="http://schemas.openxmlformats.org/officeDocument/2006/relationships/hyperlink" Target="https://www.sec.gov/Archives/edgar/data/2049662/000110465926072433/tm2617149d1_ex3-2.htm" TargetMode="External"/><Relationship Id="rId260" Type="http://schemas.openxmlformats.org/officeDocument/2006/relationships/hyperlink" Target="https://www.sec.gov/Archives/edgar/data/2049662/000110465926072433/tm2617149d1_ex4-1.htm" TargetMode="External"/><Relationship Id="rId261" Type="http://schemas.openxmlformats.org/officeDocument/2006/relationships/hyperlink" Target="https://www.sec.gov/Archives/edgar/data/2049662/000110465926072433/tm2617149d1_ex4-2.htm" TargetMode="External"/><Relationship Id="rId262" Type="http://schemas.openxmlformats.org/officeDocument/2006/relationships/hyperlink" Target="https://www.sec.gov/Archives/edgar/data/2049662/000110465926072433/tm2617149d1_ex10-1.htm" TargetMode="External"/><Relationship Id="rId263" Type="http://schemas.openxmlformats.org/officeDocument/2006/relationships/hyperlink" Target="https://www.sec.gov/Archives/edgar/data/1788013/000110465926056342/tm264324-14_424b3.htm#tANNE" TargetMode="External"/><Relationship Id="rId264" Type="http://schemas.openxmlformats.org/officeDocument/2006/relationships/hyperlink" Target="https://www.sec.gov/Archives/edgar/data/1788013/000110465926042746/tmb-20260413xex10d26.htm" TargetMode="External"/><Relationship Id="rId265" Type="http://schemas.openxmlformats.org/officeDocument/2006/relationships/hyperlink" Target="https://www.sec.gov/Archives/edgar/data/1788013/000110465926042746/tmb-20260413xex10d27.htm" TargetMode="External"/><Relationship Id="rId266" Type="http://schemas.openxmlformats.org/officeDocument/2006/relationships/hyperlink" Target="https://www.sec.gov/Archives/edgar/data/1788013/000110465926042746/tmb-20260413xex10d25.htm" TargetMode="External"/><Relationship Id="rId267" Type="http://schemas.openxmlformats.org/officeDocument/2006/relationships/hyperlink" Target="https://www.sec.gov/Archives/edgar/data/1788013/000110465926035439/tmb-20260326xex10d24.htm" TargetMode="External"/><Relationship Id="rId268" Type="http://schemas.openxmlformats.org/officeDocument/2006/relationships/hyperlink" Target="https://www.sec.gov/Archives/edgar/data/1788013/000110465926035439/tmb-20260326xex10d25.htm" TargetMode="External"/><Relationship Id="rId269" Type="http://schemas.openxmlformats.org/officeDocument/2006/relationships/hyperlink" Target="https://www.sec.gov/Archives/edgar/data/2049662/000110465926072433/tm2617149d1_ex10-8.htm" TargetMode="External"/><Relationship Id="rId270" Type="http://schemas.openxmlformats.org/officeDocument/2006/relationships/hyperlink" Target="https://www.sec.gov/Archives/edgar/data/2049662/000110465926072433/tm2617149d1_ex10-9.htm" TargetMode="External"/><Relationship Id="rId271" Type="http://schemas.openxmlformats.org/officeDocument/2006/relationships/hyperlink" Target="https://www.sec.gov/Archives/edgar/data/2049662/000110465926072433/tm2617149d1_ex10-10.htm" TargetMode="External"/><Relationship Id="rId272" Type="http://schemas.openxmlformats.org/officeDocument/2006/relationships/hyperlink" Target="https://www.sec.gov/Archives/edgar/data/2049662/000110465926072433/tm2617149d1_ex10-11.htm" TargetMode="External"/><Relationship Id="rId273" Type="http://schemas.openxmlformats.org/officeDocument/2006/relationships/hyperlink" Target="https://www.sec.gov/Archives/edgar/data/2049662/000110465926072433/tm2617149d1_ex10-12.htm" TargetMode="External"/><Relationship Id="rId274" Type="http://schemas.openxmlformats.org/officeDocument/2006/relationships/hyperlink" Target="https://www.sec.gov/Archives/edgar/data/1788013/000110465926042746/tmb-20260413xex10d20.htm" TargetMode="External"/><Relationship Id="rId276" Type="http://schemas.openxmlformats.org/officeDocument/2006/relationships/hyperlink" Target="https://www.sec.gov/Archives/edgar/data/2049662/000110465926072433/tm2617149d1_ex10-16.htm" TargetMode="External"/><Relationship Id="rId277" Type="http://schemas.openxmlformats.org/officeDocument/2006/relationships/hyperlink" Target="https://www.sec.gov/Archives/edgar/data/2049662/000110465926072433/tm2617149d1_ex10-17.htm" TargetMode="External"/><Relationship Id="rId278" Type="http://schemas.openxmlformats.org/officeDocument/2006/relationships/hyperlink" Target="https://www.sec.gov/Archives/edgar/data/2049662/000110465926072433/tm2617149d1_ex10-18.htm" TargetMode="External"/><Relationship Id="rId279" Type="http://schemas.openxmlformats.org/officeDocument/2006/relationships/hyperlink" Target="https://www.sec.gov/Archives/edgar/data/2049662/000110465926072433/tm2617149d1_ex10-19.htm" TargetMode="External"/><Relationship Id="rId280" Type="http://schemas.openxmlformats.org/officeDocument/2006/relationships/hyperlink" Target="https://www.sec.gov/Archives/edgar/data/2049662/000110465926072433/tm2617149d1_ex10-20.htm" TargetMode="External"/><Relationship Id="rId281" Type="http://schemas.openxmlformats.org/officeDocument/2006/relationships/hyperlink" Target="https://www.sec.gov/Archives/edgar/data/2049662/000110465926072433/tm2617149d1_ex10-14.htm" TargetMode="External"/><Relationship Id="rId282" Type="http://schemas.openxmlformats.org/officeDocument/2006/relationships/hyperlink" Target="https://www.sec.gov/Archives/edgar/data/2049662/000110465926072433/tm2617149d1_ex10-15.htm" TargetMode="External"/><Relationship Id="rId283" Type="http://schemas.openxmlformats.org/officeDocument/2006/relationships/hyperlink" Target="https://www.sec.gov/Archives/edgar/data/2049662/000110465926072433/tm2617149d1_ex10-21.htm" TargetMode="External"/><Relationship Id="rId284" Type="http://schemas.openxmlformats.org/officeDocument/2006/relationships/hyperlink" Target="https://www.sec.gov/Archives/edgar/data/2049662/000110465926072433/tm2617149d1_ex16-1.htm" TargetMode="External"/><Relationship Id="rId285" Type="http://schemas.openxmlformats.org/officeDocument/2006/relationships/hyperlink" Target="https://www.sec.gov/Archives/edgar/data/2049662/000110465926072433/tm2617149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2026-06-30T15:24:07Z</dcterms:created>
  <dcterms:modified xsi:type="dcterms:W3CDTF">2026-06-30T15:24:07Z</dcterms:modified>
</cp:coreProperties>
</file>