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Factorial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Series A 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Giorgio Fossati</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Taurusavenue 1,</w:t>
      </w:r>
    </w:p>
    <w:p>
      <w:pPr>
        <w:ind w:left="3700"/>
        <w:spacing w:after="0" w:line="230" w:lineRule="auto"/>
        <w:rPr>
          <w:sz w:val="20"/>
          <w:szCs w:val="20"/>
          <w:color w:val="auto"/>
        </w:rPr>
      </w:pPr>
      <w:r>
        <w:rPr>
          <w:rFonts w:ascii="Times New Roman" w:cs="Times New Roman" w:eastAsia="Times New Roman" w:hAnsi="Times New Roman"/>
          <w:sz w:val="22"/>
          <w:szCs w:val="22"/>
          <w:b w:val="1"/>
          <w:bCs w:val="1"/>
          <w:color w:val="0000FF"/>
        </w:rPr>
        <w:t>Hoofddorp, P7, 2132 LS</w:t>
      </w:r>
    </w:p>
    <w:p>
      <w:pPr>
        <w:spacing w:after="0" w:line="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0000FF"/>
        </w:rPr>
        <w:t>31-23-700-1511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Stellantis N.V.</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8,669,995.00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8,669,995.00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8,669,995.00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Stellantis Europe S.p.A.</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ITALY</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7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-1344295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8,234,493.00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8,234,493.00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8,234,493.00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9.0 %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Stellantis Ventures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435,502.00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435,502.00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435,502.00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Series A Common Stock, $0.00001 par value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Factorial Energy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805 MIDDLESEX TURNPIKE, BILLERICA, MASSACHUSETTS , 01821.</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340"/>
        <w:spacing w:after="0" w:line="253" w:lineRule="auto"/>
        <w:rPr>
          <w:sz w:val="20"/>
          <w:szCs w:val="20"/>
          <w:color w:val="auto"/>
        </w:rPr>
      </w:pPr>
      <w:r>
        <w:rPr>
          <w:rFonts w:ascii="Times New Roman" w:cs="Times New Roman" w:eastAsia="Times New Roman" w:hAnsi="Times New Roman"/>
          <w:sz w:val="21"/>
          <w:szCs w:val="21"/>
          <w:color w:val="auto"/>
        </w:rPr>
        <w:t>This Schedule 13D is being jointly filed by: (i) Stellantis N.V., a Netherlands public limited liability company ("Stellantis"); (ii) Stellantis Europe S.p.A., a company organized under the laws of Italy ("Stellantis Europe"); and</w:t>
      </w:r>
    </w:p>
    <w:p>
      <w:pPr>
        <w:spacing w:after="0" w:line="1" w:lineRule="exact"/>
        <w:rPr>
          <w:sz w:val="20"/>
          <w:szCs w:val="20"/>
          <w:color w:val="auto"/>
        </w:rPr>
      </w:pPr>
    </w:p>
    <w:p>
      <w:pPr>
        <w:ind w:left="940" w:right="200" w:hanging="932"/>
        <w:spacing w:after="0" w:line="189" w:lineRule="auto"/>
        <w:tabs>
          <w:tab w:leader="none" w:pos="94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(iii) Stellantis Ventures B.V., a Netherlands private limited company ("Stellantis Ventures"), (collectively, the "Reporting Persons"). Stellantis directly owns all of the equity interests in Stellantis Europe and Stellantis Ventures. Any disclosures herein with respect to persons other than the Reporting Persons are made on information and belief after making inquiry to the appropriate party.</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The business address of: (i) Stellantis is Taurusavenue 1, 2132LS, Hoofddorp, The Netherlands; (ii) Stellantis Europe</w:t>
      </w:r>
    </w:p>
    <w:p>
      <w:pPr>
        <w:spacing w:after="0" w:line="25" w:lineRule="exact"/>
        <w:rPr>
          <w:rFonts w:ascii="Times New Roman" w:cs="Times New Roman" w:eastAsia="Times New Roman" w:hAnsi="Times New Roman"/>
          <w:sz w:val="43"/>
          <w:szCs w:val="43"/>
          <w:color w:val="auto"/>
          <w:vertAlign w:val="subscript"/>
        </w:rPr>
      </w:pPr>
    </w:p>
    <w:p>
      <w:pPr>
        <w:ind w:left="940" w:right="940" w:hanging="932"/>
        <w:spacing w:after="0" w:line="237" w:lineRule="auto"/>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Corso Giovanni Agnelli 200, 10135 Turin, Italy; and (iii) Stellantis Ventures is Taurusavenue 1, 2132LS, Hoofddorp, The Netherlands.</w:t>
      </w:r>
    </w:p>
    <w:p>
      <w:pPr>
        <w:spacing w:after="0" w:line="16" w:lineRule="exact"/>
        <w:rPr>
          <w:rFonts w:ascii="Times New Roman" w:cs="Times New Roman" w:eastAsia="Times New Roman" w:hAnsi="Times New Roman"/>
          <w:sz w:val="22"/>
          <w:szCs w:val="22"/>
          <w:color w:val="auto"/>
        </w:rPr>
      </w:pPr>
    </w:p>
    <w:p>
      <w:pPr>
        <w:ind w:left="940" w:right="140" w:hanging="932"/>
        <w:spacing w:after="0" w:line="185" w:lineRule="auto"/>
        <w:tabs>
          <w:tab w:leader="none" w:pos="94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(i) Stellantis is the holding of equity investments; (ii) Stellantis Europe is the manufacture and sale of automobiles; and (iii) Stellantis Ventures is the holding of equity investments.</w:t>
      </w:r>
    </w:p>
    <w:p>
      <w:pPr>
        <w:spacing w:after="0" w:line="17" w:lineRule="exact"/>
        <w:rPr>
          <w:rFonts w:ascii="Times New Roman" w:cs="Times New Roman" w:eastAsia="Times New Roman" w:hAnsi="Times New Roman"/>
          <w:sz w:val="39"/>
          <w:szCs w:val="39"/>
          <w:color w:val="auto"/>
          <w:vertAlign w:val="subscript"/>
        </w:rPr>
      </w:pPr>
    </w:p>
    <w:p>
      <w:pPr>
        <w:ind w:left="940" w:right="960" w:hanging="932"/>
        <w:spacing w:after="0" w:line="280" w:lineRule="auto"/>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last five years, the Reporting Persons have not been convicted in a criminal proceeding. During the last five years, the Reporting Persons have not been a party to a civil proceeding of a judicial or</w:t>
      </w:r>
    </w:p>
    <w:p>
      <w:pPr>
        <w:ind w:left="940" w:right="240" w:hanging="932"/>
        <w:spacing w:after="0" w:line="184" w:lineRule="auto"/>
        <w:tabs>
          <w:tab w:leader="none" w:pos="940" w:val="left"/>
        </w:tabs>
        <w:numPr>
          <w:ilvl w:val="0"/>
          <w:numId w:val="5"/>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judgement,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Stellantis: Netherlands Stellantis Europe: Italy Stellantis Ventures: Netherlands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The shares of Series A Common Stock reported herein as beneficially owned by the Reporting Persons were acquired in connection with a business combination (the "Business Combination") pursuant to the Business Combination Agreement, dated December 17, 2025, by and among the Issuer, Fenway MS, Inc., a Delaware corporation and wholly-owned subsidiary of the Issuer, and Factorial Inc., a Delaware corporation ("Factorial") (as amended by Amendment No.1 to Business Combination Agreement, dated as of March 26, 2026, and Amendment No. 2 to Business Combination Agreement, dated as of May 18, 2026, the "Business Combination Agreement"). In December 2021, Factorial issued and sold to Stellantis Europe (i) 2,205, 032 shares of Series D redeemable preferred stock of Factorial, and (ii) warrants exercisable for 137,814 shares of common stock of Factorial. In August 2025, concurrent with Factorial and FCA US LLC, an affiliate of the Reporting Persons, entering into the Collaboration Agreement files as Exhibit 2 hereto, Factorial issued and sold to Stellantis Ventures a secured convertible promissory note in the aggregate principal amount of $2,000,000. On June 5, 2026 (the "Closing Date"), as a result of the completion of the Business Combination, the Factorial securities (including accrued and unpaid interest, in the case of the promissory note) directly held by Stellantis Europe and Stellantis Ventures were converted into an aggregate of 8,669,995 shares of Series A Common Stock.</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8" w:lineRule="auto"/>
        <w:rPr>
          <w:sz w:val="20"/>
          <w:szCs w:val="20"/>
          <w:color w:val="auto"/>
        </w:rPr>
      </w:pPr>
      <w:r>
        <w:rPr>
          <w:rFonts w:ascii="Times New Roman" w:cs="Times New Roman" w:eastAsia="Times New Roman" w:hAnsi="Times New Roman"/>
          <w:sz w:val="21"/>
          <w:szCs w:val="21"/>
          <w:color w:val="auto"/>
        </w:rPr>
        <w:t>The Reporting Persons acquired the securities disclosed herein based on the belief that the securities, when acquired, represented an attractive investment opportunity. In connection with the completion of the Business Combination, Jon Nelson, Chief Executive of Stellantis Financial Services, was elected to the board of directors of the Issuer (the "Board"). Except as otherwise disclosed in this Item 4, the Reporting Persons do not have any present plan or proposal which would relate to or result in any of the matters set forth in subparagraphs (a)-(j) of Item 4 of Schedule 13D. The Reporting Persons may from time to time engage in discussions with management and the Board and other shareholders and potential shareholders of the Issuer and other parties concerning, among other things, the business,</w:t>
      </w:r>
    </w:p>
    <w:p>
      <w:pPr>
        <w:sectPr>
          <w:pgSz w:w="11900" w:h="16923" w:orient="portrait"/>
          <w:cols w:equalWidth="0" w:num="1">
            <w:col w:w="11140"/>
          </w:cols>
          <w:pgMar w:left="360" w:top="369" w:right="399" w:bottom="0" w:gutter="0" w:footer="0" w:header="0"/>
        </w:sectPr>
      </w:pPr>
    </w:p>
    <w:bookmarkStart w:id="4" w:name="page5"/>
    <w:bookmarkEnd w:id="4"/>
    <w:p>
      <w:pPr>
        <w:ind w:left="940"/>
        <w:spacing w:after="0" w:line="249" w:lineRule="auto"/>
        <w:rPr>
          <w:sz w:val="20"/>
          <w:szCs w:val="20"/>
          <w:color w:val="auto"/>
        </w:rPr>
      </w:pPr>
      <w:r>
        <w:rPr>
          <w:rFonts w:ascii="Times New Roman" w:cs="Times New Roman" w:eastAsia="Times New Roman" w:hAnsi="Times New Roman"/>
          <w:sz w:val="21"/>
          <w:szCs w:val="21"/>
          <w:color w:val="auto"/>
        </w:rPr>
        <w:t>operations and future plans of the Issuer. Depending on various factors including without limitation, the Issuer's financial position and business strategy and the execution of that strategy by management, the price levels of the securities of the Issuer, conditions in the securities markets and general economic and industry conditions, the Reporting Persons may in the future take such actions with respect to their respective investments in the Issuer as they deem appropriate including, without limitation, purchasing additional securities of the Issuer, selling some or all of its securities of the Issuer, or changing its intention with respect to any and all matters referred to in this Item 4.</w:t>
      </w:r>
    </w:p>
    <w:p>
      <w:pPr>
        <w:spacing w:after="0" w:line="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See Items 7-13 of the cover pages and Item 3 above. The percentage calculations herein are based upon the statement</w:t>
      </w:r>
    </w:p>
    <w:p>
      <w:pPr>
        <w:spacing w:after="0" w:line="26" w:lineRule="exact"/>
        <w:rPr>
          <w:sz w:val="20"/>
          <w:szCs w:val="20"/>
          <w:color w:val="auto"/>
        </w:rPr>
      </w:pPr>
    </w:p>
    <w:p>
      <w:pPr>
        <w:ind w:left="940" w:right="62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Issuer's Form 8-K, as filed with the SEC on June 11, 2026, that there were 91,510,501 shares of Series A Common Stock of the Issuer outstanding as of the Closing Date.</w:t>
      </w:r>
    </w:p>
    <w:p>
      <w:pPr>
        <w:spacing w:after="0" w:line="16"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See Items 7-13 of the cover pages and Item 3 above. The percentage calculations herein are based upon the statement</w:t>
      </w:r>
    </w:p>
    <w:p>
      <w:pPr>
        <w:spacing w:after="0" w:line="25" w:lineRule="exact"/>
        <w:rPr>
          <w:rFonts w:ascii="Times New Roman" w:cs="Times New Roman" w:eastAsia="Times New Roman" w:hAnsi="Times New Roman"/>
          <w:sz w:val="22"/>
          <w:szCs w:val="22"/>
          <w:color w:val="auto"/>
        </w:rPr>
      </w:pPr>
    </w:p>
    <w:p>
      <w:pPr>
        <w:ind w:left="940" w:right="68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Issuer's Form 8-K, as filed with the SEC on June 11, 2026 that there were 91,510,501 shares of Series A Common Stock of the Issuer outstanding as of the Closing Date.</w:t>
      </w:r>
    </w:p>
    <w:p>
      <w:pPr>
        <w:spacing w:after="0" w:line="16" w:lineRule="exact"/>
        <w:rPr>
          <w:rFonts w:ascii="Times New Roman" w:cs="Times New Roman" w:eastAsia="Times New Roman" w:hAnsi="Times New Roman"/>
          <w:sz w:val="22"/>
          <w:szCs w:val="22"/>
          <w:color w:val="auto"/>
        </w:rPr>
      </w:pPr>
    </w:p>
    <w:p>
      <w:pPr>
        <w:ind w:left="940" w:right="480" w:hanging="932"/>
        <w:spacing w:after="0" w:line="185" w:lineRule="auto"/>
        <w:tabs>
          <w:tab w:leader="none" w:pos="940" w:val="left"/>
        </w:tabs>
        <w:numPr>
          <w:ilvl w:val="0"/>
          <w:numId w:val="6"/>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for the receipt of Issuer securities described in Item 3 above, the Reporting Persons have not effected any transaction in the Series A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To the knowledge of the Reporting Persons, no one other than the Reporting Persons has the right to receive or the</w:t>
      </w:r>
    </w:p>
    <w:p>
      <w:pPr>
        <w:spacing w:after="0" w:line="14" w:lineRule="exact"/>
        <w:rPr>
          <w:rFonts w:ascii="Times New Roman" w:cs="Times New Roman" w:eastAsia="Times New Roman" w:hAnsi="Times New Roman"/>
          <w:sz w:val="39"/>
          <w:szCs w:val="39"/>
          <w:color w:val="auto"/>
          <w:vertAlign w:val="subscript"/>
        </w:rPr>
      </w:pPr>
    </w:p>
    <w:p>
      <w:pPr>
        <w:ind w:left="940" w:right="160" w:hanging="932"/>
        <w:spacing w:after="0" w:line="237" w:lineRule="auto"/>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power to direct the receipt of dividends from, or the proceeds from the sale of, the Series A Common Stock reported herein as beneficially owned by the Reporting Persons.</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Note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jc w:val="both"/>
        <w:ind w:left="940" w:right="80"/>
        <w:spacing w:after="0" w:line="249" w:lineRule="auto"/>
        <w:rPr>
          <w:sz w:val="20"/>
          <w:szCs w:val="20"/>
          <w:color w:val="auto"/>
        </w:rPr>
      </w:pPr>
      <w:r>
        <w:rPr>
          <w:rFonts w:ascii="Times New Roman" w:cs="Times New Roman" w:eastAsia="Times New Roman" w:hAnsi="Times New Roman"/>
          <w:sz w:val="21"/>
          <w:szCs w:val="21"/>
          <w:color w:val="auto"/>
        </w:rPr>
        <w:t>Lock-Up Provisions The bylaws of the Issuer (the "Bylaws") provide that certain stockholders of Factorial (including Stellantis Europe and Stellantis Ventures) will be prohibited from transferring (except for certain permitted transfers) any shares of Common Stock held by such holder (the "Lock-Up Shares") beginning on the Closing Date and ending</w:t>
      </w:r>
    </w:p>
    <w:p>
      <w:pPr>
        <w:spacing w:after="0" w:line="1" w:lineRule="exact"/>
        <w:rPr>
          <w:sz w:val="20"/>
          <w:szCs w:val="20"/>
          <w:color w:val="auto"/>
        </w:rPr>
      </w:pPr>
    </w:p>
    <w:p>
      <w:pPr>
        <w:ind w:left="940"/>
        <w:spacing w:after="0" w:line="231" w:lineRule="auto"/>
        <w:tabs>
          <w:tab w:leader="none" w:pos="11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25% of the Lock-Up Shares, on the date 180 days after the Closing Date (the "Six-Month Lock-Up Date"), (ii) with respect to 25% of the Lock-Up Shares, on the date 270 days after the Closing Date (the "Nine-Month Lock-Up Date") and (iii) with respect to 50% of the Lock-Up Shares, on the first anniversary of the Closing Date (the "One Year Lock-Up Date" and each of the Six-Month Lock-Up Date, the Nine-Month Lock-Up Date and the One Year Lock-Up Date, a "Lock-Up Termination Date"); provided, however, that on the dates on which certain trading price conditions are satisfied, such transfer restrictions will terminate with respect to one-third of the Lock-Up Shares ("Early Release Lock-Up Shares"), with such Early Release Lock-Up Shares allocated first among the Lock-Up Shares with the earliest Lock-Up Termination Date that has not yet occurred and successively to each remaining tranche of Lock-Up Shares in chronological order. Registration Rights Agreement In connection with the Business Combination, the Issuer and certain stockholders of Factorial (including Stellantis Europe and Stellantis Ventures) entered into an amended and restated registration rights agreement (the "Registration Rights Agreement"). Pursuant to the Registration Rights Agreement, among other things, the Issuer agreed that, within 30 calendar days following the Closing Date, the Issuer will file with the SEC (at its sole cost and expense) a registration statement registering the resale of certain shares of the Issuer's Series A Common Stock held by or issuable to the parties thereto, and the Issuer will use its commercially reasonable efforts to have the resale registration statement declared effective as soon as reasonably practicable after the filing thereof. Such holders will be entitled to customary piggyback registration rights and demand registration rights, including underwritten demands. The registration rights agreement will terminate on the earlier of (a) the seven year anniversary of the date of the registration rights agreement or (b) with respect to any holder party thereto, on the date that such holder no longer holds any registerable securities. The foregoing descriptions of the Bylaws and Registration Rights Agreement do not purport to be complete and are qualified in their entirety by reference to the full text of such agreements, copies of which are included as Exhibits 6 and 7 hereto.</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right="40"/>
        <w:spacing w:after="0" w:line="245" w:lineRule="auto"/>
        <w:tabs>
          <w:tab w:leader="none" w:pos="1156"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Joint Filing Agreement of the Reporting Persons (filed herewith). 2. Collaboration Agreement, dated August 1, 2025 (incorporated by reference to Exhibit 10.25 to the Issuer's Amendment No. 2. to Form S-4 registration statement filed on April 29, 2026). 3. Business Combination Agreement, dated as of December 17, 2025 (incorporated by reference to Annex A-1 to the Issuer's Proxy Statement/Prospectus filed on May 6, 2026). 4. Amendment No. 1 to Business Combination Agreement, dated as of March 26, 2026 (incorporated by reference to Annex A-1 to the Issuer's Proxy Statement/Prospectus filed on May 6, 2026). 5. Amendment No. 2 to Business Combination Agreement, dated as of May 18, 2026 (incorporated by reference to Exhibit 2.1 to the Issuer's Current Report on Form 8-K filed on May 18, 2026). 6. Issuer's Bylaws (incorporated by reference to Exhibit 3.2 to the Issuer's Current Report on Form 8-K filed on June 10, 2026). 7. Amended and Restated Registration Rights Agreement, dated as of June 5, 2026 (incorporated by reference to Exhibit 10.1 to the Issuer's Current Report on Form 8-K filed on June 10, 2026). 8. Powers of Attorney (filed herewith). 9. Directors and Executive Officers of Stellantis (filed herewith).</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Stellantis N.V.</w:t>
      </w:r>
    </w:p>
    <w:p>
      <w:pPr>
        <w:spacing w:after="0" w:line="152" w:lineRule="exact"/>
        <w:rPr>
          <w:sz w:val="20"/>
          <w:szCs w:val="20"/>
          <w:color w:val="auto"/>
        </w:rPr>
      </w:pPr>
    </w:p>
    <w:p>
      <w:pPr>
        <w:jc w:val="center"/>
        <w:ind w:right="220"/>
        <w:spacing w:after="0"/>
        <w:tabs>
          <w:tab w:leader="none" w:pos="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Giorgio Fossati</w:t>
      </w:r>
    </w:p>
    <w:p>
      <w:pPr>
        <w:sectPr>
          <w:pgSz w:w="11900" w:h="16838" w:orient="portrait"/>
          <w:cols w:equalWidth="0" w:num="1">
            <w:col w:w="11160"/>
          </w:cols>
          <w:pgMar w:left="360" w:top="112" w:right="379" w:bottom="0" w:gutter="0" w:footer="0" w:header="0"/>
        </w:sectPr>
      </w:pPr>
    </w:p>
    <w:bookmarkStart w:id="5" w:name="page6"/>
    <w:bookmarkEnd w:id="5"/>
    <w:p>
      <w:pPr>
        <w:ind w:left="3040"/>
        <w:spacing w:after="0"/>
        <w:rPr>
          <w:sz w:val="20"/>
          <w:szCs w:val="20"/>
          <w:color w:val="auto"/>
        </w:rPr>
      </w:pPr>
      <w:r>
        <w:rPr>
          <w:rFonts w:ascii="Times New Roman" w:cs="Times New Roman" w:eastAsia="Times New Roman" w:hAnsi="Times New Roman"/>
          <w:sz w:val="21"/>
          <w:szCs w:val="21"/>
          <w:color w:val="auto"/>
        </w:rPr>
        <w:t>Name/Title: Giorgio Fossati/General Counsel</w:t>
      </w:r>
    </w:p>
    <w:p>
      <w:pPr>
        <w:spacing w:after="0" w:line="56"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Stellantis Europe S.p.A.</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Giorgio Fossati</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Name/Title: Giorgio Fossati/Attorney-in-Fact</w:t>
      </w:r>
    </w:p>
    <w:p>
      <w:pPr>
        <w:spacing w:after="0" w:line="56"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Stellantis Ventures B.V.</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Giorgio Fossati</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1"/>
          <w:szCs w:val="21"/>
          <w:color w:val="auto"/>
        </w:rPr>
        <w:t>Name/Title: Giorgio Fossati/Attorney-in-Fact</w:t>
      </w:r>
    </w:p>
    <w:p>
      <w:pPr>
        <w:spacing w:after="0" w:line="56"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ectPr>
          <w:pgSz w:w="11900" w:h="16838" w:orient="portrait"/>
          <w:cols w:equalWidth="0" w:num="1">
            <w:col w:w="9019"/>
          </w:cols>
          <w:pgMar w:left="1440" w:top="111"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In accordance with Rule 13d-1(k)(1) under the Securities Exchange Act of 1934, as amended, the persons named below agree to the joint filing on behalf of each of them of a statement on Schedule 13D (including amendments thereto) with respect to the shares of Series A Common Stock, $0.00001 par value per share, of Factorial Energy Inc. and further agree that this Joint Filing Agreement be included as an Exhibit to such joint filings. In evidence thereof, the undersigned, being duly authorized, have executed this Joint Filing Agreement this 16th day of June 2026.</w:t>
      </w:r>
    </w:p>
    <w:p>
      <w:pPr>
        <w:spacing w:after="0" w:line="200" w:lineRule="exact"/>
        <w:rPr>
          <w:sz w:val="20"/>
          <w:szCs w:val="20"/>
          <w:color w:val="auto"/>
        </w:rPr>
      </w:pPr>
    </w:p>
    <w:p>
      <w:pPr>
        <w:spacing w:after="0" w:line="249"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color w:val="auto"/>
        </w:rPr>
        <w:t>STELLANTIS N.V.</w:t>
      </w:r>
    </w:p>
    <w:p>
      <w:pPr>
        <w:spacing w:after="0" w:line="2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 Giorgio Fossati</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w:t>
      </w:r>
    </w:p>
    <w:p>
      <w:pPr>
        <w:ind w:left="4940"/>
        <w:spacing w:after="0" w:line="217" w:lineRule="auto"/>
        <w:rPr>
          <w:sz w:val="20"/>
          <w:szCs w:val="20"/>
          <w:color w:val="auto"/>
        </w:rPr>
      </w:pPr>
      <w:r>
        <w:rPr>
          <w:rFonts w:ascii="Times New Roman" w:cs="Times New Roman" w:eastAsia="Times New Roman" w:hAnsi="Times New Roman"/>
          <w:sz w:val="22"/>
          <w:szCs w:val="22"/>
          <w:color w:val="auto"/>
        </w:rPr>
        <w:t>Name: Giorgio Fossati</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0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STELLANTIS EUROPE S.p.A.</w:t>
      </w:r>
    </w:p>
    <w:p>
      <w:pPr>
        <w:spacing w:after="0" w:line="1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 Giorgio Fossati</w:t>
      </w:r>
    </w:p>
    <w:p>
      <w:pPr>
        <w:ind w:left="4940"/>
        <w:spacing w:after="0" w:line="233" w:lineRule="auto"/>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w:t>
      </w:r>
    </w:p>
    <w:p>
      <w:pPr>
        <w:ind w:left="4940"/>
        <w:spacing w:after="0" w:line="231" w:lineRule="auto"/>
        <w:rPr>
          <w:sz w:val="20"/>
          <w:szCs w:val="20"/>
          <w:color w:val="auto"/>
        </w:rPr>
      </w:pPr>
      <w:r>
        <w:rPr>
          <w:rFonts w:ascii="Times New Roman" w:cs="Times New Roman" w:eastAsia="Times New Roman" w:hAnsi="Times New Roman"/>
          <w:sz w:val="22"/>
          <w:szCs w:val="22"/>
          <w:color w:val="auto"/>
        </w:rPr>
        <w:t>Name: Giorgio Fossati</w:t>
      </w:r>
    </w:p>
    <w:p>
      <w:pPr>
        <w:ind w:left="4940"/>
        <w:spacing w:after="0"/>
        <w:rPr>
          <w:sz w:val="20"/>
          <w:szCs w:val="20"/>
          <w:color w:val="auto"/>
        </w:rPr>
      </w:pPr>
      <w:r>
        <w:rPr>
          <w:rFonts w:ascii="Times New Roman" w:cs="Times New Roman" w:eastAsia="Times New Roman" w:hAnsi="Times New Roman"/>
          <w:sz w:val="22"/>
          <w:szCs w:val="22"/>
          <w:color w:val="auto"/>
        </w:rPr>
        <w:t>Title: Attorney-in-Fact</w:t>
      </w:r>
    </w:p>
    <w:p>
      <w:pPr>
        <w:spacing w:after="0" w:line="1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STELLANTIS VENTURES B.V.</w:t>
      </w:r>
    </w:p>
    <w:p>
      <w:pPr>
        <w:spacing w:after="0" w:line="23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 Giorgio Fossati</w:t>
      </w:r>
    </w:p>
    <w:p>
      <w:pPr>
        <w:spacing w:after="0" w:line="1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____________________________</w:t>
      </w:r>
    </w:p>
    <w:p>
      <w:pPr>
        <w:ind w:left="4940"/>
        <w:spacing w:after="0" w:line="230" w:lineRule="auto"/>
        <w:rPr>
          <w:sz w:val="20"/>
          <w:szCs w:val="20"/>
          <w:color w:val="auto"/>
        </w:rPr>
      </w:pPr>
      <w:r>
        <w:rPr>
          <w:rFonts w:ascii="Times New Roman" w:cs="Times New Roman" w:eastAsia="Times New Roman" w:hAnsi="Times New Roman"/>
          <w:sz w:val="22"/>
          <w:szCs w:val="22"/>
          <w:color w:val="auto"/>
        </w:rPr>
        <w:t>Name: Giorgio Fossati</w:t>
      </w:r>
    </w:p>
    <w:p>
      <w:pPr>
        <w:spacing w:after="0" w:line="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Title: Attorney-in-Fact</w:t>
      </w:r>
    </w:p>
    <w:p>
      <w:pPr>
        <w:sectPr>
          <w:pgSz w:w="11900" w:h="16838" w:orient="portrait"/>
          <w:cols w:equalWidth="0" w:num="1">
            <w:col w:w="11240"/>
          </w:cols>
          <w:pgMar w:left="320" w:top="141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8</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KNOW ALL PERSONS BY THESE PRESENTS that STELLANTIS EUROPE S.P.A. (the “Company”) does hereby make, constitute and appoint Giorgio Fossati, with full power of substitution and resubstitution, to act as the undersigned’s true and lawful attorney-in-fact to:</w:t>
      </w:r>
    </w:p>
    <w:p>
      <w:pPr>
        <w:ind w:left="1540" w:right="160" w:hanging="650"/>
        <w:spacing w:after="0" w:line="250"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thereunder, and Forms 3, 4, and 5 in accordance with Section 16 of the Exchange Act and the rules thereunder;</w:t>
      </w:r>
    </w:p>
    <w:p>
      <w:pPr>
        <w:spacing w:after="0" w:line="136" w:lineRule="exact"/>
        <w:rPr>
          <w:rFonts w:ascii="Times New Roman" w:cs="Times New Roman" w:eastAsia="Times New Roman" w:hAnsi="Times New Roman"/>
          <w:sz w:val="18"/>
          <w:szCs w:val="18"/>
          <w:color w:val="auto"/>
        </w:rPr>
      </w:pPr>
    </w:p>
    <w:p>
      <w:pPr>
        <w:ind w:left="1540" w:right="100" w:hanging="650"/>
        <w:spacing w:after="0" w:line="250"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36" w:lineRule="exact"/>
        <w:rPr>
          <w:rFonts w:ascii="Times New Roman" w:cs="Times New Roman" w:eastAsia="Times New Roman" w:hAnsi="Times New Roman"/>
          <w:sz w:val="18"/>
          <w:szCs w:val="18"/>
          <w:color w:val="auto"/>
        </w:rPr>
      </w:pPr>
    </w:p>
    <w:p>
      <w:pPr>
        <w:ind w:left="1540" w:right="160" w:hanging="650"/>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33"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attorney-in-fact, in serving in such capacity at the request of the undersigned, is not assuming, any of the undersigned’s responsibilities to comply with Section 13 and Section 16 of the Exchange Act.</w:t>
      </w:r>
    </w:p>
    <w:p>
      <w:pPr>
        <w:spacing w:after="0" w:line="18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June 1, 2028, unless earlier revoked by the undersigned in a signed writing delivered to the foregoing attorney-in-fact.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11th day of June, 2026.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STELLANTIS EUROPE S.P.A.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Emanuele Cappellano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w:t>
      </w:r>
    </w:p>
    <w:p>
      <w:pPr>
        <w:spacing w:after="0"/>
        <w:rPr>
          <w:sz w:val="20"/>
          <w:szCs w:val="20"/>
          <w:color w:val="auto"/>
        </w:rPr>
      </w:pPr>
      <w:r>
        <w:rPr>
          <w:rFonts w:ascii="Times New Roman" w:cs="Times New Roman" w:eastAsia="Times New Roman" w:hAnsi="Times New Roman"/>
          <w:sz w:val="18"/>
          <w:szCs w:val="18"/>
          <w:color w:val="auto"/>
        </w:rPr>
        <w:t>Name: Emanuele Cappellano</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1240"/>
          </w:cols>
          <w:pgMar w:left="320" w:top="1406" w:right="3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43"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KNOW ALL PERSONS BY THESE PRESENTS that STELLANTIS VENTURES B.V. (the “Company”) does hereby make, constitute and appoint Giorgio Fossati, with full power of substitution and resubstitution, to act as the undersigned’s true and lawful attorney-in-fact to:</w:t>
      </w:r>
    </w:p>
    <w:p>
      <w:pPr>
        <w:ind w:left="1540" w:right="60" w:hanging="650"/>
        <w:spacing w:after="0" w:line="254"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Schedules 13D and 13G in accordance with Section 13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color w:val="auto"/>
        </w:rPr>
        <w:t>), and the rules thereunder, and Forms 3, 4, and 5 in accordance with Section 16 of the Exchange Act and the rules thereunder;</w:t>
      </w:r>
    </w:p>
    <w:p>
      <w:pPr>
        <w:spacing w:after="0" w:line="116" w:lineRule="exact"/>
        <w:rPr>
          <w:rFonts w:ascii="Times New Roman" w:cs="Times New Roman" w:eastAsia="Times New Roman" w:hAnsi="Times New Roman"/>
          <w:sz w:val="18"/>
          <w:szCs w:val="18"/>
          <w:color w:val="auto"/>
        </w:rPr>
      </w:pPr>
    </w:p>
    <w:p>
      <w:pPr>
        <w:ind w:left="1540" w:hanging="650"/>
        <w:spacing w:after="0" w:line="250"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Schedule 13D or 13G or Form 3, 4, or 5, complete and execute any amendment or amendments thereto, and timely file such schedule or form with the SEC and any stock exchange or similar authority; and</w:t>
      </w:r>
    </w:p>
    <w:p>
      <w:pPr>
        <w:spacing w:after="0" w:line="136" w:lineRule="exact"/>
        <w:rPr>
          <w:rFonts w:ascii="Times New Roman" w:cs="Times New Roman" w:eastAsia="Times New Roman" w:hAnsi="Times New Roman"/>
          <w:sz w:val="18"/>
          <w:szCs w:val="18"/>
          <w:color w:val="auto"/>
        </w:rPr>
      </w:pPr>
    </w:p>
    <w:p>
      <w:pPr>
        <w:ind w:left="1540" w:right="60" w:hanging="650"/>
        <w:spacing w:after="0" w:line="245"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6"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attorney-in-fact, in serving in such capacity at the request of the undersigned, is not assuming, any of the undersigned’s responsibilities to comply with Section 13 and Section 16 of the Exchange Act.</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June 1, 2028, unless earlier revoked by the undersigned in a signed writing delivered to the foregoing attorney-in-fact.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have caused this Power of Attorney to be executed as a deed on this 11th day of June, 2026.</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STELLANTIS VENTURES B.V.</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Niccolo Camerana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34" w:lineRule="auto"/>
        <w:rPr>
          <w:sz w:val="20"/>
          <w:szCs w:val="20"/>
          <w:color w:val="auto"/>
        </w:rPr>
      </w:pPr>
      <w:r>
        <w:rPr>
          <w:rFonts w:ascii="Times New Roman" w:cs="Times New Roman" w:eastAsia="Times New Roman" w:hAnsi="Times New Roman"/>
          <w:sz w:val="18"/>
          <w:szCs w:val="18"/>
          <w:color w:val="auto"/>
        </w:rPr>
        <w:t>Name: Niccolo Camerana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Trbizan</w:t>
      </w:r>
    </w:p>
    <w:p>
      <w:pPr>
        <w:spacing w:after="0" w:line="237" w:lineRule="auto"/>
        <w:rPr>
          <w:sz w:val="20"/>
          <w:szCs w:val="20"/>
          <w:color w:val="auto"/>
        </w:rPr>
      </w:pPr>
      <w:r>
        <w:rPr>
          <w:rFonts w:ascii="Times New Roman" w:cs="Times New Roman" w:eastAsia="Times New Roman" w:hAnsi="Times New Roman"/>
          <w:sz w:val="18"/>
          <w:szCs w:val="18"/>
          <w:color w:val="auto"/>
        </w:rPr>
        <w:t>By: ________________________________</w:t>
      </w:r>
    </w:p>
    <w:p>
      <w:pPr>
        <w:spacing w:after="0" w:line="234" w:lineRule="auto"/>
        <w:rPr>
          <w:sz w:val="20"/>
          <w:szCs w:val="20"/>
          <w:color w:val="auto"/>
        </w:rPr>
      </w:pPr>
      <w:r>
        <w:rPr>
          <w:rFonts w:ascii="Times New Roman" w:cs="Times New Roman" w:eastAsia="Times New Roman" w:hAnsi="Times New Roman"/>
          <w:sz w:val="18"/>
          <w:szCs w:val="18"/>
          <w:color w:val="auto"/>
        </w:rPr>
        <w:t>Name: Linda Trbizan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11140"/>
          </w:cols>
          <w:pgMar w:left="320" w:top="1400"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4"/>
          <w:szCs w:val="14"/>
          <w:b w:val="1"/>
          <w:bCs w:val="1"/>
          <w:color w:val="auto"/>
        </w:rPr>
        <w:t>EXHIBIT 9</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DIRECTORS AND EXECUTIVE OFFICERS OF STELLANTIS</w:t>
      </w:r>
    </w:p>
    <w:p>
      <w:pPr>
        <w:spacing w:after="0" w:line="10" w:lineRule="exact"/>
        <w:rPr>
          <w:sz w:val="20"/>
          <w:szCs w:val="20"/>
          <w:color w:val="auto"/>
        </w:rPr>
      </w:pPr>
    </w:p>
    <w:p>
      <w:pPr>
        <w:ind w:right="380"/>
        <w:spacing w:after="0" w:line="239" w:lineRule="auto"/>
        <w:rPr>
          <w:sz w:val="20"/>
          <w:szCs w:val="20"/>
          <w:color w:val="auto"/>
        </w:rPr>
      </w:pPr>
      <w:r>
        <w:rPr>
          <w:rFonts w:ascii="Times New Roman" w:cs="Times New Roman" w:eastAsia="Times New Roman" w:hAnsi="Times New Roman"/>
          <w:sz w:val="18"/>
          <w:szCs w:val="18"/>
          <w:color w:val="auto"/>
        </w:rPr>
        <w:t>The following sets forth the name, address, principal occupation/position(s) and citizenship of each director and executive officer of Stellantis, which exercises ultimate control over each of the other Reporting Persons. To the best of the Reporting Persons’ knowledge, none of the persons listed below owns any shares of Common Stock of the Issuer.</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6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Name</w:t>
            </w:r>
          </w:p>
        </w:tc>
        <w:tc>
          <w:tcPr>
            <w:tcW w:w="3600" w:type="dxa"/>
            <w:vAlign w:val="bottom"/>
            <w:gridSpan w:val="2"/>
          </w:tcPr>
          <w:p>
            <w:pPr>
              <w:ind w:left="1060"/>
              <w:spacing w:after="0"/>
              <w:rPr>
                <w:sz w:val="20"/>
                <w:szCs w:val="20"/>
                <w:color w:val="auto"/>
              </w:rPr>
            </w:pPr>
            <w:r>
              <w:rPr>
                <w:rFonts w:ascii="Times New Roman" w:cs="Times New Roman" w:eastAsia="Times New Roman" w:hAnsi="Times New Roman"/>
                <w:sz w:val="16"/>
                <w:szCs w:val="16"/>
                <w:color w:val="auto"/>
              </w:rPr>
              <w:t>Business Address</w:t>
            </w:r>
          </w:p>
        </w:tc>
        <w:tc>
          <w:tcPr>
            <w:tcW w:w="32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Occupation/Position(s) with Reporting</w:t>
            </w:r>
          </w:p>
        </w:tc>
        <w:tc>
          <w:tcPr>
            <w:tcW w:w="1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Citizenship</w:t>
            </w:r>
          </w:p>
        </w:tc>
      </w:tr>
      <w:tr>
        <w:trPr>
          <w:trHeight w:val="223"/>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40" w:type="dxa"/>
            <w:vAlign w:val="bottom"/>
            <w:gridSpan w:val="2"/>
          </w:tcPr>
          <w:p>
            <w:pPr>
              <w:ind w:left="1240"/>
              <w:spacing w:after="0"/>
              <w:rPr>
                <w:sz w:val="20"/>
                <w:szCs w:val="20"/>
                <w:color w:val="auto"/>
              </w:rPr>
            </w:pPr>
            <w:r>
              <w:rPr>
                <w:rFonts w:ascii="Times New Roman" w:cs="Times New Roman" w:eastAsia="Times New Roman" w:hAnsi="Times New Roman"/>
                <w:sz w:val="16"/>
                <w:szCs w:val="16"/>
                <w:color w:val="auto"/>
              </w:rPr>
              <w:t>Person</w:t>
            </w:r>
          </w:p>
        </w:tc>
        <w:tc>
          <w:tcPr>
            <w:tcW w:w="1740" w:type="dxa"/>
            <w:vAlign w:val="bottom"/>
          </w:tcPr>
          <w:p>
            <w:pPr>
              <w:spacing w:after="0"/>
              <w:rPr>
                <w:sz w:val="19"/>
                <w:szCs w:val="19"/>
                <w:color w:val="auto"/>
              </w:rPr>
            </w:pPr>
          </w:p>
        </w:tc>
      </w:tr>
      <w:tr>
        <w:trPr>
          <w:trHeight w:val="189"/>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John Elkann</w:t>
            </w:r>
          </w:p>
        </w:tc>
        <w:tc>
          <w:tcPr>
            <w:tcW w:w="340" w:type="dxa"/>
            <w:vAlign w:val="bottom"/>
          </w:tcPr>
          <w:p>
            <w:pPr>
              <w:spacing w:after="0"/>
              <w:rPr>
                <w:sz w:val="16"/>
                <w:szCs w:val="16"/>
                <w:color w:val="auto"/>
              </w:rPr>
            </w:pPr>
          </w:p>
        </w:tc>
        <w:tc>
          <w:tcPr>
            <w:tcW w:w="3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0" w:type="dxa"/>
            <w:vAlign w:val="bottom"/>
          </w:tcPr>
          <w:p>
            <w:pPr>
              <w:spacing w:after="0"/>
              <w:rPr>
                <w:sz w:val="16"/>
                <w:szCs w:val="16"/>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Chairman and Executive Director</w:t>
            </w:r>
          </w:p>
        </w:tc>
        <w:tc>
          <w:tcPr>
            <w:tcW w:w="320" w:type="dxa"/>
            <w:vAlign w:val="bottom"/>
          </w:tcPr>
          <w:p>
            <w:pPr>
              <w:spacing w:after="0"/>
              <w:rPr>
                <w:sz w:val="16"/>
                <w:szCs w:val="16"/>
                <w:color w:val="auto"/>
              </w:rPr>
            </w:pPr>
          </w:p>
        </w:tc>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Antonio Filosa</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Chief Executive Officer and Executive</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Robert Peugeot</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Vice Chairman and Non-Executive 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Henri de Castries</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Senior Independent Director and Non-</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Executive Director</w:t>
            </w: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Fiona Clare Cicconi</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Employee Engagement Non-Executive</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UK – Italy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Nicolas Dufourcq</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Juergen Esser</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Germany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Ann Godbehere</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Canada – UK</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Claudia Parzani</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Daniel Ramot</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U.S. – Israel</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Benoît Ribadeau-Dumas</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Alice Davey Schroeder</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Non-Executive Director</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U.S.</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Emanuele Cappellano</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Enlarged Europe &amp; European Brands,</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Stellantis Pro One</w:t>
            </w: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Herlander Zola</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South America</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Samir Cherfan</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Middle East &amp; Africa and Micromobility</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Gregoire Olivier</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China and Asia Pacific</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Davide Mele</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Product Planning</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Ned Curic</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Product Development &amp; Technology</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U.S.</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Sebastien Jacquet</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Quality</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Monica Genovese</w:t>
            </w: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Purchasing</w:t>
            </w:r>
          </w:p>
        </w:tc>
        <w:tc>
          <w:tcPr>
            <w:tcW w:w="1740" w:type="dxa"/>
            <w:vAlign w:val="bottom"/>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30"/>
        </w:trPr>
        <w:tc>
          <w:tcPr>
            <w:tcW w:w="232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3600" w:type="dxa"/>
            <w:vAlign w:val="bottom"/>
            <w:gridSpan w:val="2"/>
            <w:shd w:val="clear" w:color="auto" w:fill="E5E5E5"/>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E5E5E5"/>
          </w:tcPr>
          <w:p>
            <w:pPr>
              <w:spacing w:after="0"/>
              <w:rPr>
                <w:sz w:val="19"/>
                <w:szCs w:val="19"/>
                <w:color w:val="auto"/>
              </w:rPr>
            </w:pPr>
          </w:p>
        </w:tc>
        <w:tc>
          <w:tcPr>
            <w:tcW w:w="320" w:type="dxa"/>
            <w:vAlign w:val="bottom"/>
            <w:shd w:val="clear" w:color="auto" w:fill="E5E5E5"/>
          </w:tcPr>
          <w:p>
            <w:pPr>
              <w:spacing w:after="0"/>
              <w:rPr>
                <w:sz w:val="19"/>
                <w:szCs w:val="19"/>
                <w:color w:val="auto"/>
              </w:rPr>
            </w:pPr>
          </w:p>
        </w:tc>
        <w:tc>
          <w:tcPr>
            <w:tcW w:w="1740" w:type="dxa"/>
            <w:vAlign w:val="bottom"/>
            <w:shd w:val="clear" w:color="auto" w:fill="E5E5E5"/>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Scott Thiele</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Supply Chain</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Francesco Ciancia</w:t>
            </w:r>
          </w:p>
        </w:tc>
        <w:tc>
          <w:tcPr>
            <w:tcW w:w="360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7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Italy</w:t>
            </w:r>
          </w:p>
        </w:tc>
      </w:tr>
      <w:tr>
        <w:trPr>
          <w:trHeight w:val="230"/>
        </w:trPr>
        <w:tc>
          <w:tcPr>
            <w:tcW w:w="23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360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740" w:type="dxa"/>
            <w:vAlign w:val="bottom"/>
            <w:shd w:val="clear" w:color="auto" w:fill="D9D9D9"/>
          </w:tcPr>
          <w:p>
            <w:pPr>
              <w:spacing w:after="0"/>
              <w:rPr>
                <w:sz w:val="19"/>
                <w:szCs w:val="19"/>
                <w:color w:val="auto"/>
              </w:rPr>
            </w:pPr>
          </w:p>
        </w:tc>
      </w:tr>
      <w:tr>
        <w:trPr>
          <w:trHeight w:val="189"/>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Joao Laranjo</w:t>
            </w: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Brazil</w:t>
            </w:r>
          </w:p>
        </w:tc>
      </w:tr>
      <w:tr>
        <w:trPr>
          <w:trHeight w:val="220"/>
        </w:trPr>
        <w:tc>
          <w:tcPr>
            <w:tcW w:w="2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198"/>
        </w:trPr>
        <w:tc>
          <w:tcPr>
            <w:tcW w:w="266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Xavier Chereau</w:t>
            </w:r>
          </w:p>
        </w:tc>
        <w:tc>
          <w:tcPr>
            <w:tcW w:w="360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Human Resources</w:t>
            </w:r>
          </w:p>
        </w:tc>
        <w:tc>
          <w:tcPr>
            <w:tcW w:w="174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France</w:t>
            </w:r>
          </w:p>
        </w:tc>
      </w:tr>
      <w:tr>
        <w:trPr>
          <w:trHeight w:val="230"/>
        </w:trPr>
        <w:tc>
          <w:tcPr>
            <w:tcW w:w="232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3600" w:type="dxa"/>
            <w:vAlign w:val="bottom"/>
            <w:gridSpan w:val="2"/>
            <w:shd w:val="clear" w:color="auto" w:fill="D9D9D9"/>
          </w:tcPr>
          <w:p>
            <w:pPr>
              <w:ind w:left="20"/>
              <w:spacing w:after="0"/>
              <w:rPr>
                <w:sz w:val="20"/>
                <w:szCs w:val="20"/>
                <w:color w:val="auto"/>
              </w:rPr>
            </w:pPr>
            <w:r>
              <w:rPr>
                <w:rFonts w:ascii="Times New Roman" w:cs="Times New Roman" w:eastAsia="Times New Roman" w:hAnsi="Times New Roman"/>
                <w:sz w:val="16"/>
                <w:szCs w:val="16"/>
                <w:color w:val="auto"/>
              </w:rPr>
              <w:t>Netherlands</w:t>
            </w:r>
          </w:p>
        </w:tc>
        <w:tc>
          <w:tcPr>
            <w:tcW w:w="2920" w:type="dxa"/>
            <w:vAlign w:val="bottom"/>
            <w:shd w:val="clear" w:color="auto" w:fill="D9D9D9"/>
          </w:tcPr>
          <w:p>
            <w:pPr>
              <w:spacing w:after="0"/>
              <w:rPr>
                <w:sz w:val="19"/>
                <w:szCs w:val="19"/>
                <w:color w:val="auto"/>
              </w:rPr>
            </w:pPr>
          </w:p>
        </w:tc>
        <w:tc>
          <w:tcPr>
            <w:tcW w:w="320" w:type="dxa"/>
            <w:vAlign w:val="bottom"/>
            <w:shd w:val="clear" w:color="auto" w:fill="D9D9D9"/>
          </w:tcPr>
          <w:p>
            <w:pPr>
              <w:spacing w:after="0"/>
              <w:rPr>
                <w:sz w:val="19"/>
                <w:szCs w:val="19"/>
                <w:color w:val="auto"/>
              </w:rPr>
            </w:pPr>
          </w:p>
        </w:tc>
        <w:tc>
          <w:tcPr>
            <w:tcW w:w="1740" w:type="dxa"/>
            <w:vAlign w:val="bottom"/>
            <w:shd w:val="clear" w:color="auto" w:fill="D9D9D9"/>
          </w:tcPr>
          <w:p>
            <w:pPr>
              <w:spacing w:after="0"/>
              <w:rPr>
                <w:sz w:val="19"/>
                <w:szCs w:val="19"/>
                <w:color w:val="auto"/>
              </w:rPr>
            </w:pPr>
          </w:p>
        </w:tc>
      </w:tr>
    </w:tbl>
    <w:p>
      <w:pPr>
        <w:sectPr>
          <w:pgSz w:w="11900" w:h="16838" w:orient="portrait"/>
          <w:cols w:equalWidth="0" w:num="1">
            <w:col w:w="11240"/>
          </w:cols>
          <w:pgMar w:left="320" w:top="60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18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EXHIBIT 9</w:t>
            </w:r>
          </w:p>
        </w:tc>
        <w:tc>
          <w:tcPr>
            <w:tcW w:w="0" w:type="dxa"/>
            <w:vAlign w:val="bottom"/>
          </w:tcPr>
          <w:p>
            <w:pPr>
              <w:spacing w:after="0"/>
              <w:rPr>
                <w:sz w:val="1"/>
                <w:szCs w:val="1"/>
                <w:color w:val="auto"/>
              </w:rPr>
            </w:pPr>
          </w:p>
        </w:tc>
      </w:tr>
      <w:tr>
        <w:trPr>
          <w:trHeight w:val="847"/>
        </w:trPr>
        <w:tc>
          <w:tcPr>
            <w:tcW w:w="1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Clara Ingen-Housz</w:t>
            </w:r>
          </w:p>
        </w:tc>
        <w:tc>
          <w:tcPr>
            <w:tcW w:w="3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Corporate Affairs &amp; Communication</w:t>
            </w:r>
          </w:p>
        </w:tc>
        <w:tc>
          <w:tcPr>
            <w:tcW w:w="2180" w:type="dxa"/>
            <w:vAlign w:val="bottom"/>
            <w:gridSpan w:val="2"/>
          </w:tcPr>
          <w:p>
            <w:pPr>
              <w:ind w:left="420"/>
              <w:spacing w:after="0"/>
              <w:rPr>
                <w:sz w:val="20"/>
                <w:szCs w:val="20"/>
                <w:color w:val="auto"/>
              </w:rPr>
            </w:pPr>
            <w:r>
              <w:rPr>
                <w:rFonts w:ascii="Times New Roman" w:cs="Times New Roman" w:eastAsia="Times New Roman" w:hAnsi="Times New Roman"/>
                <w:sz w:val="16"/>
                <w:szCs w:val="16"/>
                <w:color w:val="auto"/>
              </w:rPr>
              <w:t>France - Netherlands</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60" w:type="dxa"/>
            <w:vAlign w:val="bottom"/>
            <w:shd w:val="clear" w:color="auto" w:fill="D9D9D9"/>
          </w:tcPr>
          <w:p>
            <w:pPr>
              <w:ind w:left="20"/>
              <w:spacing w:after="0" w:line="175" w:lineRule="exact"/>
              <w:rPr>
                <w:sz w:val="20"/>
                <w:szCs w:val="20"/>
                <w:color w:val="auto"/>
              </w:rPr>
            </w:pPr>
            <w:r>
              <w:rPr>
                <w:rFonts w:ascii="Times New Roman" w:cs="Times New Roman" w:eastAsia="Times New Roman" w:hAnsi="Times New Roman"/>
                <w:sz w:val="16"/>
                <w:szCs w:val="16"/>
                <w:color w:val="auto"/>
              </w:rPr>
              <w:t>Ralph Gilles</w:t>
            </w:r>
          </w:p>
        </w:tc>
        <w:tc>
          <w:tcPr>
            <w:tcW w:w="3880" w:type="dxa"/>
            <w:vAlign w:val="bottom"/>
            <w:shd w:val="clear" w:color="auto" w:fill="D9D9D9"/>
          </w:tcPr>
          <w:p>
            <w:pPr>
              <w:ind w:left="720"/>
              <w:spacing w:after="0" w:line="175" w:lineRule="exact"/>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shd w:val="clear" w:color="auto" w:fill="D9D9D9"/>
          </w:tcPr>
          <w:p>
            <w:pPr>
              <w:ind w:left="440"/>
              <w:spacing w:after="0" w:line="175" w:lineRule="exact"/>
              <w:rPr>
                <w:sz w:val="20"/>
                <w:szCs w:val="20"/>
                <w:color w:val="auto"/>
              </w:rPr>
            </w:pPr>
            <w:r>
              <w:rPr>
                <w:rFonts w:ascii="Times New Roman" w:cs="Times New Roman" w:eastAsia="Times New Roman" w:hAnsi="Times New Roman"/>
                <w:sz w:val="16"/>
                <w:szCs w:val="16"/>
                <w:color w:val="auto"/>
              </w:rPr>
              <w:t>Design</w:t>
            </w:r>
          </w:p>
        </w:tc>
        <w:tc>
          <w:tcPr>
            <w:tcW w:w="2160" w:type="dxa"/>
            <w:vAlign w:val="bottom"/>
            <w:shd w:val="clear" w:color="auto" w:fill="D9D9D9"/>
          </w:tcPr>
          <w:p>
            <w:pPr>
              <w:ind w:left="420"/>
              <w:spacing w:after="0" w:line="175" w:lineRule="exact"/>
              <w:rPr>
                <w:sz w:val="20"/>
                <w:szCs w:val="20"/>
                <w:color w:val="auto"/>
              </w:rPr>
            </w:pPr>
            <w:r>
              <w:rPr>
                <w:rFonts w:ascii="Times New Roman" w:cs="Times New Roman" w:eastAsia="Times New Roman" w:hAnsi="Times New Roman"/>
                <w:sz w:val="16"/>
                <w:szCs w:val="16"/>
                <w:color w:val="auto"/>
              </w:rPr>
              <w:t>U.S.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D9D9D9"/>
            </w:tcBorders>
            <w:shd w:val="clear" w:color="auto" w:fill="D9D9D9"/>
          </w:tcPr>
          <w:p>
            <w:pPr>
              <w:spacing w:after="0"/>
              <w:rPr>
                <w:sz w:val="19"/>
                <w:szCs w:val="19"/>
                <w:color w:val="auto"/>
              </w:rPr>
            </w:pPr>
          </w:p>
        </w:tc>
        <w:tc>
          <w:tcPr>
            <w:tcW w:w="3880" w:type="dxa"/>
            <w:vAlign w:val="bottom"/>
            <w:tcBorders>
              <w:bottom w:val="single" w:sz="8" w:color="D9D9D9"/>
            </w:tcBorders>
            <w:shd w:val="clear" w:color="auto" w:fill="D9D9D9"/>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tcBorders>
              <w:bottom w:val="single" w:sz="8" w:color="D9D9D9"/>
            </w:tcBorders>
            <w:shd w:val="clear" w:color="auto" w:fill="D9D9D9"/>
          </w:tcPr>
          <w:p>
            <w:pPr>
              <w:spacing w:after="0"/>
              <w:rPr>
                <w:sz w:val="19"/>
                <w:szCs w:val="19"/>
                <w:color w:val="auto"/>
              </w:rPr>
            </w:pPr>
          </w:p>
        </w:tc>
        <w:tc>
          <w:tcPr>
            <w:tcW w:w="2160" w:type="dxa"/>
            <w:vAlign w:val="bottom"/>
            <w:tcBorders>
              <w:bottom w:val="single" w:sz="8" w:color="D9D9D9"/>
            </w:tcBorders>
            <w:shd w:val="clear" w:color="auto" w:fill="D9D9D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Giorgio Fossati</w:t>
            </w:r>
          </w:p>
        </w:tc>
        <w:tc>
          <w:tcPr>
            <w:tcW w:w="3880" w:type="dxa"/>
            <w:vAlign w:val="bottom"/>
          </w:tcPr>
          <w:p>
            <w:pPr>
              <w:ind w:left="720"/>
              <w:spacing w:after="0" w:line="175" w:lineRule="exact"/>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tcPr>
          <w:p>
            <w:pPr>
              <w:ind w:left="440"/>
              <w:spacing w:after="0" w:line="175" w:lineRule="exact"/>
              <w:rPr>
                <w:sz w:val="20"/>
                <w:szCs w:val="20"/>
                <w:color w:val="auto"/>
              </w:rPr>
            </w:pPr>
            <w:r>
              <w:rPr>
                <w:rFonts w:ascii="Times New Roman" w:cs="Times New Roman" w:eastAsia="Times New Roman" w:hAnsi="Times New Roman"/>
                <w:sz w:val="16"/>
                <w:szCs w:val="16"/>
                <w:color w:val="auto"/>
              </w:rPr>
              <w:t>General Counsel</w:t>
            </w:r>
          </w:p>
        </w:tc>
        <w:tc>
          <w:tcPr>
            <w:tcW w:w="2160" w:type="dxa"/>
            <w:vAlign w:val="bottom"/>
          </w:tcPr>
          <w:p>
            <w:pPr>
              <w:ind w:left="420"/>
              <w:spacing w:after="0" w:line="175" w:lineRule="exact"/>
              <w:rPr>
                <w:sz w:val="20"/>
                <w:szCs w:val="20"/>
                <w:color w:val="auto"/>
              </w:rPr>
            </w:pPr>
            <w:r>
              <w:rPr>
                <w:rFonts w:ascii="Times New Roman" w:cs="Times New Roman" w:eastAsia="Times New Roman" w:hAnsi="Times New Roman"/>
                <w:sz w:val="16"/>
                <w:szCs w:val="16"/>
                <w:color w:val="auto"/>
              </w:rPr>
              <w:t>Italy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388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38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60" w:type="dxa"/>
            <w:vAlign w:val="bottom"/>
            <w:shd w:val="clear" w:color="auto" w:fill="D9D9D9"/>
          </w:tcPr>
          <w:p>
            <w:pPr>
              <w:ind w:left="20"/>
              <w:spacing w:after="0" w:line="175" w:lineRule="exact"/>
              <w:rPr>
                <w:sz w:val="20"/>
                <w:szCs w:val="20"/>
                <w:color w:val="auto"/>
              </w:rPr>
            </w:pPr>
            <w:r>
              <w:rPr>
                <w:rFonts w:ascii="Times New Roman" w:cs="Times New Roman" w:eastAsia="Times New Roman" w:hAnsi="Times New Roman"/>
                <w:sz w:val="16"/>
                <w:szCs w:val="16"/>
                <w:color w:val="auto"/>
              </w:rPr>
              <w:t>Bonnie Van Etten</w:t>
            </w:r>
          </w:p>
        </w:tc>
        <w:tc>
          <w:tcPr>
            <w:tcW w:w="3880" w:type="dxa"/>
            <w:vAlign w:val="bottom"/>
            <w:shd w:val="clear" w:color="auto" w:fill="D9D9D9"/>
          </w:tcPr>
          <w:p>
            <w:pPr>
              <w:ind w:left="720"/>
              <w:spacing w:after="0" w:line="175" w:lineRule="exact"/>
              <w:rPr>
                <w:sz w:val="20"/>
                <w:szCs w:val="20"/>
                <w:color w:val="auto"/>
              </w:rPr>
            </w:pPr>
            <w:r>
              <w:rPr>
                <w:rFonts w:ascii="Times New Roman" w:cs="Times New Roman" w:eastAsia="Times New Roman" w:hAnsi="Times New Roman"/>
                <w:sz w:val="16"/>
                <w:szCs w:val="16"/>
                <w:color w:val="auto"/>
              </w:rPr>
              <w:t>Taurusavenue 1, 2132 LS Hoofddorp, The</w:t>
            </w:r>
          </w:p>
        </w:tc>
        <w:tc>
          <w:tcPr>
            <w:tcW w:w="3240" w:type="dxa"/>
            <w:vAlign w:val="bottom"/>
            <w:shd w:val="clear" w:color="auto" w:fill="D9D9D9"/>
          </w:tcPr>
          <w:p>
            <w:pPr>
              <w:ind w:left="440"/>
              <w:spacing w:after="0" w:line="175" w:lineRule="exact"/>
              <w:rPr>
                <w:sz w:val="20"/>
                <w:szCs w:val="20"/>
                <w:color w:val="auto"/>
              </w:rPr>
            </w:pPr>
            <w:r>
              <w:rPr>
                <w:rFonts w:ascii="Times New Roman" w:cs="Times New Roman" w:eastAsia="Times New Roman" w:hAnsi="Times New Roman"/>
                <w:sz w:val="16"/>
                <w:szCs w:val="16"/>
                <w:color w:val="auto"/>
              </w:rPr>
              <w:t>Chief Accounting Officer</w:t>
            </w:r>
          </w:p>
        </w:tc>
        <w:tc>
          <w:tcPr>
            <w:tcW w:w="2160" w:type="dxa"/>
            <w:vAlign w:val="bottom"/>
            <w:shd w:val="clear" w:color="auto" w:fill="D9D9D9"/>
          </w:tcPr>
          <w:p>
            <w:pPr>
              <w:ind w:left="420"/>
              <w:spacing w:after="0" w:line="175" w:lineRule="exact"/>
              <w:rPr>
                <w:sz w:val="20"/>
                <w:szCs w:val="20"/>
                <w:color w:val="auto"/>
              </w:rPr>
            </w:pPr>
            <w:r>
              <w:rPr>
                <w:rFonts w:ascii="Times New Roman" w:cs="Times New Roman" w:eastAsia="Times New Roman" w:hAnsi="Times New Roman"/>
                <w:sz w:val="16"/>
                <w:szCs w:val="16"/>
                <w:color w:val="auto"/>
              </w:rPr>
              <w:t>U.S.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60" w:type="dxa"/>
            <w:vAlign w:val="bottom"/>
            <w:shd w:val="clear" w:color="auto" w:fill="D9D9D9"/>
          </w:tcPr>
          <w:p>
            <w:pPr>
              <w:spacing w:after="0"/>
              <w:rPr>
                <w:sz w:val="18"/>
                <w:szCs w:val="18"/>
                <w:color w:val="auto"/>
              </w:rPr>
            </w:pPr>
          </w:p>
        </w:tc>
        <w:tc>
          <w:tcPr>
            <w:tcW w:w="3880" w:type="dxa"/>
            <w:vAlign w:val="bottom"/>
            <w:shd w:val="clear" w:color="auto" w:fill="D9D9D9"/>
          </w:tcPr>
          <w:p>
            <w:pPr>
              <w:ind w:left="720"/>
              <w:spacing w:after="0"/>
              <w:rPr>
                <w:sz w:val="20"/>
                <w:szCs w:val="20"/>
                <w:color w:val="auto"/>
              </w:rPr>
            </w:pPr>
            <w:r>
              <w:rPr>
                <w:rFonts w:ascii="Times New Roman" w:cs="Times New Roman" w:eastAsia="Times New Roman" w:hAnsi="Times New Roman"/>
                <w:sz w:val="16"/>
                <w:szCs w:val="16"/>
                <w:color w:val="auto"/>
              </w:rPr>
              <w:t>Netherlands</w:t>
            </w:r>
          </w:p>
        </w:tc>
        <w:tc>
          <w:tcPr>
            <w:tcW w:w="3240" w:type="dxa"/>
            <w:vAlign w:val="bottom"/>
            <w:shd w:val="clear" w:color="auto" w:fill="D9D9D9"/>
          </w:tcPr>
          <w:p>
            <w:pPr>
              <w:spacing w:after="0"/>
              <w:rPr>
                <w:sz w:val="18"/>
                <w:szCs w:val="18"/>
                <w:color w:val="auto"/>
              </w:rPr>
            </w:pPr>
          </w:p>
        </w:tc>
        <w:tc>
          <w:tcPr>
            <w:tcW w:w="216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60" w:type="dxa"/>
            <w:vAlign w:val="bottom"/>
            <w:shd w:val="clear" w:color="auto" w:fill="D9D9D9"/>
          </w:tcPr>
          <w:p>
            <w:pPr>
              <w:spacing w:after="0"/>
              <w:rPr>
                <w:sz w:val="2"/>
                <w:szCs w:val="2"/>
                <w:color w:val="auto"/>
              </w:rPr>
            </w:pPr>
          </w:p>
        </w:tc>
        <w:tc>
          <w:tcPr>
            <w:tcW w:w="3880" w:type="dxa"/>
            <w:vAlign w:val="bottom"/>
            <w:shd w:val="clear" w:color="auto" w:fill="D9D9D9"/>
          </w:tcPr>
          <w:p>
            <w:pPr>
              <w:spacing w:after="0"/>
              <w:rPr>
                <w:sz w:val="2"/>
                <w:szCs w:val="2"/>
                <w:color w:val="auto"/>
              </w:rPr>
            </w:pPr>
          </w:p>
        </w:tc>
        <w:tc>
          <w:tcPr>
            <w:tcW w:w="3240" w:type="dxa"/>
            <w:vAlign w:val="bottom"/>
            <w:shd w:val="clear" w:color="auto" w:fill="D9D9D9"/>
          </w:tcPr>
          <w:p>
            <w:pPr>
              <w:spacing w:after="0"/>
              <w:rPr>
                <w:sz w:val="2"/>
                <w:szCs w:val="2"/>
                <w:color w:val="auto"/>
              </w:rPr>
            </w:pPr>
          </w:p>
        </w:tc>
        <w:tc>
          <w:tcPr>
            <w:tcW w:w="2160" w:type="dxa"/>
            <w:vAlign w:val="bottom"/>
            <w:shd w:val="clear" w:color="auto" w:fill="D9D9D9"/>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2026-06-17T15:21:16Z</dcterms:created>
  <dcterms:modified xsi:type="dcterms:W3CDTF">2026-06-17T15:21:16Z</dcterms:modified>
</cp:coreProperties>
</file>