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8831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1580"/>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CGC III Sponsor LLC</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505 FIFTH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Factorial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4"/>
          <w:szCs w:val="24"/>
          <w:color w:val="auto"/>
        </w:rPr>
      </w:pPr>
      <w:r>
        <w:rPr>
          <w:sz w:val="24"/>
          <w:szCs w:val="24"/>
          <w:color w:val="auto"/>
        </w:rPr>
        <w:br w:type="column"/>
      </w:r>
    </w:p>
    <w:p>
      <w:pPr>
        <w:ind w:left="-1" w:right="740" w:firstLine="1"/>
        <w:spacing w:after="0" w:line="279"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9"/>
        <w:spacing w:after="0"/>
        <w:tabs>
          <w:tab w:leader="none" w:pos="172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3" w:lineRule="exact"/>
        <w:rPr>
          <w:sz w:val="24"/>
          <w:szCs w:val="24"/>
          <w:color w:val="auto"/>
        </w:rPr>
      </w:pPr>
    </w:p>
    <w:p>
      <w:pPr>
        <w:sectPr>
          <w:pgSz w:w="11900" w:h="16838" w:orient="portrait"/>
          <w:cols w:equalWidth="0" w:num="3">
            <w:col w:w="3180" w:space="720"/>
            <w:col w:w="3121" w:space="720"/>
            <w:col w:w="3339"/>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7"/>
          </w:tcPr>
          <w:p>
            <w:pPr>
              <w:jc w:val="center"/>
              <w:ind w:right="108"/>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10"/>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10017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5"/>
          </w:tcPr>
          <w:p>
            <w:pPr>
              <w:ind w:left="16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gridSpan w:val="8"/>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372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4"/>
          </w:tcPr>
          <w:p>
            <w:pPr>
              <w:jc w:val="center"/>
              <w:ind w:left="2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jc w:val="center"/>
              <w:ind w:left="533"/>
              <w:spacing w:after="0"/>
              <w:rPr>
                <w:sz w:val="20"/>
                <w:szCs w:val="20"/>
                <w:color w:val="auto"/>
              </w:rPr>
            </w:pPr>
            <w:r>
              <w:rPr>
                <w:rFonts w:ascii="Arial" w:cs="Arial" w:eastAsia="Arial" w:hAnsi="Arial"/>
                <w:sz w:val="11"/>
                <w:szCs w:val="11"/>
                <w:b w:val="1"/>
                <w:bCs w:val="1"/>
                <w:color w:val="auto"/>
                <w:w w:val="99"/>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jc w:val="center"/>
              <w:ind w:right="1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20" w:type="dxa"/>
            <w:vAlign w:val="bottom"/>
            <w:gridSpan w:val="4"/>
          </w:tcPr>
          <w:p>
            <w:pPr>
              <w:jc w:val="center"/>
              <w:ind w:left="693"/>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0"/>
                <w:szCs w:val="10"/>
                <w:color w:val="auto"/>
              </w:rPr>
            </w:pPr>
          </w:p>
        </w:tc>
        <w:tc>
          <w:tcPr>
            <w:tcW w:w="32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6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6"/>
                <w:szCs w:val="16"/>
                <w:color w:val="0000FF"/>
              </w:rPr>
              <w:t>Series A Common Stock</w:t>
            </w:r>
          </w:p>
        </w:tc>
        <w:tc>
          <w:tcPr>
            <w:tcW w:w="1820" w:type="dxa"/>
            <w:vAlign w:val="bottom"/>
            <w:tcBorders>
              <w:bottom w:val="single" w:sz="8" w:color="2C2C2C"/>
            </w:tcBorders>
            <w:gridSpan w:val="4"/>
          </w:tcPr>
          <w:p>
            <w:pPr>
              <w:jc w:val="center"/>
              <w:ind w:left="693"/>
              <w:spacing w:after="0"/>
              <w:rPr>
                <w:sz w:val="20"/>
                <w:szCs w:val="20"/>
                <w:color w:val="auto"/>
              </w:rPr>
            </w:pPr>
            <w:r>
              <w:rPr>
                <w:rFonts w:ascii="Times New Roman" w:cs="Times New Roman" w:eastAsia="Times New Roman" w:hAnsi="Times New Roman"/>
                <w:sz w:val="16"/>
                <w:szCs w:val="16"/>
                <w:color w:val="0000FF"/>
              </w:rPr>
              <w:t>06/05/2026</w:t>
            </w:r>
          </w:p>
        </w:tc>
        <w:tc>
          <w:tcPr>
            <w:tcW w:w="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12"/>
                <w:szCs w:val="12"/>
                <w:color w:val="0000FF"/>
                <w:w w:val="99"/>
              </w:rPr>
              <w:t>C</w:t>
            </w:r>
          </w:p>
        </w:tc>
        <w:tc>
          <w:tcPr>
            <w:tcW w:w="98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0000FF"/>
              </w:rPr>
              <w:t>5,710,000</w:t>
            </w:r>
            <w:r>
              <w:rPr>
                <w:rFonts w:ascii="Times New Roman" w:cs="Times New Roman" w:eastAsia="Times New Roman" w:hAnsi="Times New Roman"/>
                <w:sz w:val="20"/>
                <w:szCs w:val="20"/>
                <w:color w:val="008000"/>
                <w:vertAlign w:val="superscript"/>
              </w:rPr>
              <w:t>(1)</w:t>
            </w: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tcPr>
          <w:p>
            <w:pPr>
              <w:jc w:val="center"/>
              <w:ind w:left="54"/>
              <w:spacing w:after="0" w:line="296" w:lineRule="exact"/>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0</w:t>
            </w:r>
            <w:r>
              <w:rPr>
                <w:rFonts w:ascii="Times New Roman" w:cs="Times New Roman" w:eastAsia="Times New Roman" w:hAnsi="Times New Roman"/>
                <w:sz w:val="10"/>
                <w:szCs w:val="10"/>
                <w:color w:val="008000"/>
                <w:w w:val="87"/>
              </w:rPr>
              <w:t>(1)</w:t>
            </w: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5,710,000</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line="296"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Series A Common Stock</w:t>
            </w:r>
          </w:p>
        </w:tc>
        <w:tc>
          <w:tcPr>
            <w:tcW w:w="1820" w:type="dxa"/>
            <w:vAlign w:val="bottom"/>
            <w:gridSpan w:val="4"/>
            <w:vMerge w:val="restart"/>
          </w:tcPr>
          <w:p>
            <w:pPr>
              <w:jc w:val="center"/>
              <w:ind w:left="693"/>
              <w:spacing w:after="0"/>
              <w:rPr>
                <w:sz w:val="20"/>
                <w:szCs w:val="20"/>
                <w:color w:val="auto"/>
              </w:rPr>
            </w:pPr>
            <w:r>
              <w:rPr>
                <w:rFonts w:ascii="Times New Roman" w:cs="Times New Roman" w:eastAsia="Times New Roman" w:hAnsi="Times New Roman"/>
                <w:sz w:val="16"/>
                <w:szCs w:val="16"/>
                <w:color w:val="0000FF"/>
              </w:rPr>
              <w:t>06/05/2026</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vMerge w:val="restart"/>
          </w:tcPr>
          <w:p>
            <w:pPr>
              <w:jc w:val="center"/>
              <w:ind w:right="244"/>
              <w:spacing w:after="0"/>
              <w:rPr>
                <w:sz w:val="20"/>
                <w:szCs w:val="20"/>
                <w:color w:val="auto"/>
              </w:rPr>
            </w:pPr>
            <w:r>
              <w:rPr>
                <w:rFonts w:ascii="Times New Roman" w:cs="Times New Roman" w:eastAsia="Times New Roman" w:hAnsi="Times New Roman"/>
                <w:sz w:val="12"/>
                <w:szCs w:val="12"/>
                <w:color w:val="0000FF"/>
                <w:w w:val="99"/>
              </w:rPr>
              <w:t>C</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100,000</w:t>
            </w:r>
          </w:p>
        </w:tc>
        <w:tc>
          <w:tcPr>
            <w:tcW w:w="240" w:type="dxa"/>
            <w:vAlign w:val="bottom"/>
          </w:tcPr>
          <w:p>
            <w:pPr>
              <w:spacing w:after="0"/>
              <w:rPr>
                <w:sz w:val="20"/>
                <w:szCs w:val="2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vMerge w:val="restart"/>
          </w:tcPr>
          <w:p>
            <w:pPr>
              <w:jc w:val="center"/>
              <w:ind w:left="54"/>
              <w:spacing w:after="0"/>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0</w:t>
            </w:r>
            <w:r>
              <w:rPr>
                <w:rFonts w:ascii="Times New Roman" w:cs="Times New Roman" w:eastAsia="Times New Roman" w:hAnsi="Times New Roman"/>
                <w:sz w:val="10"/>
                <w:szCs w:val="10"/>
                <w:color w:val="008000"/>
                <w:w w:val="87"/>
              </w:rPr>
              <w:t>(1)</w:t>
            </w:r>
          </w:p>
        </w:tc>
        <w:tc>
          <w:tcPr>
            <w:tcW w:w="2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100,000</w:t>
            </w:r>
          </w:p>
        </w:tc>
        <w:tc>
          <w:tcPr>
            <w:tcW w:w="32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8"/>
            <w:vMerge w:val="continue"/>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Series A Common Stock</w:t>
            </w:r>
          </w:p>
        </w:tc>
        <w:tc>
          <w:tcPr>
            <w:tcW w:w="1820" w:type="dxa"/>
            <w:vAlign w:val="bottom"/>
            <w:gridSpan w:val="4"/>
            <w:vMerge w:val="restart"/>
          </w:tcPr>
          <w:p>
            <w:pPr>
              <w:jc w:val="center"/>
              <w:ind w:left="693"/>
              <w:spacing w:after="0"/>
              <w:rPr>
                <w:sz w:val="20"/>
                <w:szCs w:val="20"/>
                <w:color w:val="auto"/>
              </w:rPr>
            </w:pPr>
            <w:r>
              <w:rPr>
                <w:rFonts w:ascii="Times New Roman" w:cs="Times New Roman" w:eastAsia="Times New Roman" w:hAnsi="Times New Roman"/>
                <w:sz w:val="16"/>
                <w:szCs w:val="16"/>
                <w:color w:val="0000FF"/>
              </w:rPr>
              <w:t>06/05/2026</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vMerge w:val="restart"/>
          </w:tcPr>
          <w:p>
            <w:pPr>
              <w:jc w:val="center"/>
              <w:ind w:right="224"/>
              <w:spacing w:after="0"/>
              <w:rPr>
                <w:sz w:val="20"/>
                <w:szCs w:val="20"/>
                <w:color w:val="auto"/>
              </w:rPr>
            </w:pPr>
            <w:r>
              <w:rPr>
                <w:rFonts w:ascii="Times New Roman" w:cs="Times New Roman" w:eastAsia="Times New Roman" w:hAnsi="Times New Roman"/>
                <w:sz w:val="12"/>
                <w:szCs w:val="12"/>
                <w:color w:val="0000FF"/>
              </w:rPr>
              <w:t>A</w:t>
            </w: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0000FF"/>
              </w:rPr>
              <w:t>1,179,404</w:t>
            </w:r>
            <w:r>
              <w:rPr>
                <w:rFonts w:ascii="Times New Roman" w:cs="Times New Roman" w:eastAsia="Times New Roman" w:hAnsi="Times New Roman"/>
                <w:sz w:val="20"/>
                <w:szCs w:val="20"/>
                <w:color w:val="008000"/>
                <w:vertAlign w:val="superscript"/>
              </w:rPr>
              <w:t>(3)</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vMerge w:val="restart"/>
          </w:tcPr>
          <w:p>
            <w:pPr>
              <w:jc w:val="center"/>
              <w:ind w:left="5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10.42</w:t>
            </w:r>
          </w:p>
        </w:tc>
        <w:tc>
          <w:tcPr>
            <w:tcW w:w="2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1,179,404</w:t>
            </w:r>
          </w:p>
        </w:tc>
        <w:tc>
          <w:tcPr>
            <w:tcW w:w="32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8"/>
            <w:vMerge w:val="continue"/>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Series A Common Stock</w:t>
            </w:r>
          </w:p>
        </w:tc>
        <w:tc>
          <w:tcPr>
            <w:tcW w:w="1820" w:type="dxa"/>
            <w:vAlign w:val="bottom"/>
            <w:gridSpan w:val="4"/>
            <w:vMerge w:val="restart"/>
          </w:tcPr>
          <w:p>
            <w:pPr>
              <w:jc w:val="center"/>
              <w:ind w:left="693"/>
              <w:spacing w:after="0"/>
              <w:rPr>
                <w:sz w:val="20"/>
                <w:szCs w:val="20"/>
                <w:color w:val="auto"/>
              </w:rPr>
            </w:pPr>
            <w:r>
              <w:rPr>
                <w:rFonts w:ascii="Times New Roman" w:cs="Times New Roman" w:eastAsia="Times New Roman" w:hAnsi="Times New Roman"/>
                <w:sz w:val="16"/>
                <w:szCs w:val="16"/>
                <w:color w:val="0000FF"/>
              </w:rPr>
              <w:t>06/05/2026</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vMerge w:val="restart"/>
          </w:tcPr>
          <w:p>
            <w:pPr>
              <w:jc w:val="center"/>
              <w:ind w:right="224"/>
              <w:spacing w:after="0"/>
              <w:rPr>
                <w:sz w:val="20"/>
                <w:szCs w:val="20"/>
                <w:color w:val="auto"/>
              </w:rPr>
            </w:pPr>
            <w:r>
              <w:rPr>
                <w:rFonts w:ascii="Times New Roman" w:cs="Times New Roman" w:eastAsia="Times New Roman" w:hAnsi="Times New Roman"/>
                <w:sz w:val="12"/>
                <w:szCs w:val="12"/>
                <w:color w:val="0000FF"/>
              </w:rPr>
              <w:t>A</w:t>
            </w: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0000FF"/>
              </w:rPr>
              <w:t>1,468,894</w:t>
            </w:r>
            <w:r>
              <w:rPr>
                <w:rFonts w:ascii="Times New Roman" w:cs="Times New Roman" w:eastAsia="Times New Roman" w:hAnsi="Times New Roman"/>
                <w:sz w:val="20"/>
                <w:szCs w:val="20"/>
                <w:color w:val="008000"/>
                <w:vertAlign w:val="superscript"/>
              </w:rPr>
              <w:t>(4)</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vMerge w:val="restart"/>
          </w:tcPr>
          <w:p>
            <w:pPr>
              <w:jc w:val="center"/>
              <w:ind w:left="54"/>
              <w:spacing w:after="0"/>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0</w:t>
            </w:r>
            <w:r>
              <w:rPr>
                <w:rFonts w:ascii="Times New Roman" w:cs="Times New Roman" w:eastAsia="Times New Roman" w:hAnsi="Times New Roman"/>
                <w:sz w:val="10"/>
                <w:szCs w:val="10"/>
                <w:color w:val="008000"/>
                <w:w w:val="87"/>
              </w:rPr>
              <w:t>(4)</w:t>
            </w:r>
          </w:p>
        </w:tc>
        <w:tc>
          <w:tcPr>
            <w:tcW w:w="2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1,468,894</w:t>
            </w:r>
          </w:p>
        </w:tc>
        <w:tc>
          <w:tcPr>
            <w:tcW w:w="32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8"/>
            <w:vMerge w:val="continue"/>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340" w:type="dxa"/>
            <w:vAlign w:val="bottom"/>
            <w:gridSpan w:val="13"/>
          </w:tcPr>
          <w:p>
            <w:pPr>
              <w:jc w:val="center"/>
              <w:ind w:right="15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40" w:type="dxa"/>
            <w:vAlign w:val="bottom"/>
            <w:gridSpan w:val="12"/>
          </w:tcPr>
          <w:p>
            <w:pPr>
              <w:jc w:val="center"/>
              <w:ind w:left="41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6"/>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7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6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gridSpan w:val="2"/>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restart"/>
          </w:tcPr>
          <w:p>
            <w:pPr>
              <w:jc w:val="center"/>
              <w:ind w:right="398"/>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020" w:type="dxa"/>
            <w:vAlign w:val="bottom"/>
            <w:gridSpan w:val="2"/>
            <w:vMerge w:val="restart"/>
          </w:tcPr>
          <w:p>
            <w:pPr>
              <w:jc w:val="center"/>
              <w:ind w:left="183"/>
              <w:spacing w:after="0"/>
              <w:rPr>
                <w:sz w:val="20"/>
                <w:szCs w:val="20"/>
                <w:color w:val="auto"/>
              </w:rPr>
            </w:pPr>
            <w:r>
              <w:rPr>
                <w:rFonts w:ascii="Times New Roman" w:cs="Times New Roman" w:eastAsia="Times New Roman" w:hAnsi="Times New Roman"/>
                <w:sz w:val="12"/>
                <w:szCs w:val="12"/>
                <w:color w:val="0000FF"/>
                <w:w w:val="97"/>
              </w:rPr>
              <w:t>5,710,000</w:t>
            </w:r>
            <w:r>
              <w:rPr>
                <w:rFonts w:ascii="Times New Roman" w:cs="Times New Roman" w:eastAsia="Times New Roman" w:hAnsi="Times New Roman"/>
                <w:sz w:val="20"/>
                <w:szCs w:val="20"/>
                <w:color w:val="008000"/>
                <w:w w:val="97"/>
                <w:vertAlign w:val="superscript"/>
              </w:rPr>
              <w:t>(1)</w:t>
            </w:r>
          </w:p>
        </w:tc>
        <w:tc>
          <w:tcPr>
            <w:tcW w:w="740" w:type="dxa"/>
            <w:vAlign w:val="bottom"/>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5,710,000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color w:val="0000FF"/>
                <w:w w:val="94"/>
                <w:vertAlign w:val="subscript"/>
              </w:rPr>
              <w:t>D</w:t>
            </w:r>
            <w:r>
              <w:rPr>
                <w:rFonts w:ascii="Times New Roman" w:cs="Times New Roman" w:eastAsia="Times New Roman" w:hAnsi="Times New Roman"/>
                <w:sz w:val="10"/>
                <w:szCs w:val="10"/>
                <w:color w:val="008000"/>
                <w:w w:val="94"/>
              </w:rPr>
              <w:t>(2)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ordinary</w:t>
            </w: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240"/>
              <w:spacing w:after="0" w:line="137" w:lineRule="exact"/>
              <w:rPr>
                <w:sz w:val="20"/>
                <w:szCs w:val="20"/>
                <w:color w:val="auto"/>
              </w:rPr>
            </w:pPr>
            <w:r>
              <w:rPr>
                <w:rFonts w:ascii="Times New Roman" w:cs="Times New Roman" w:eastAsia="Times New Roman" w:hAnsi="Times New Roman"/>
                <w:sz w:val="12"/>
                <w:szCs w:val="12"/>
                <w:color w:val="0000FF"/>
              </w:rPr>
              <w:t>06/05/2026</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gridSpan w:val="2"/>
          </w:tcPr>
          <w:p>
            <w:pPr>
              <w:jc w:val="center"/>
              <w:ind w:right="28"/>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5,710,000</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gridSpan w:val="2"/>
          </w:tcPr>
          <w:p>
            <w:pPr>
              <w:jc w:val="center"/>
              <w:ind w:right="8"/>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gridSpan w:val="2"/>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restart"/>
          </w:tcPr>
          <w:p>
            <w:pPr>
              <w:jc w:val="center"/>
              <w:ind w:right="398"/>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020" w:type="dxa"/>
            <w:vAlign w:val="bottom"/>
            <w:gridSpan w:val="2"/>
            <w:vMerge w:val="restart"/>
          </w:tcPr>
          <w:p>
            <w:pPr>
              <w:jc w:val="center"/>
              <w:ind w:left="203"/>
              <w:spacing w:after="0"/>
              <w:rPr>
                <w:sz w:val="20"/>
                <w:szCs w:val="20"/>
                <w:color w:val="auto"/>
              </w:rPr>
            </w:pPr>
            <w:r>
              <w:rPr>
                <w:rFonts w:ascii="Times New Roman" w:cs="Times New Roman" w:eastAsia="Times New Roman" w:hAnsi="Times New Roman"/>
                <w:sz w:val="12"/>
                <w:szCs w:val="12"/>
                <w:color w:val="0000FF"/>
                <w:w w:val="95"/>
              </w:rPr>
              <w:t>100,000</w:t>
            </w:r>
            <w:r>
              <w:rPr>
                <w:rFonts w:ascii="Times New Roman" w:cs="Times New Roman" w:eastAsia="Times New Roman" w:hAnsi="Times New Roman"/>
                <w:sz w:val="20"/>
                <w:szCs w:val="20"/>
                <w:color w:val="008000"/>
                <w:w w:val="95"/>
                <w:vertAlign w:val="superscript"/>
              </w:rPr>
              <w:t>(1)</w:t>
            </w:r>
          </w:p>
        </w:tc>
        <w:tc>
          <w:tcPr>
            <w:tcW w:w="740" w:type="dxa"/>
            <w:vAlign w:val="bottom"/>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0"/>
                <w:szCs w:val="10"/>
                <w:color w:val="008000"/>
              </w:rPr>
              <w:t>(1)</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ordinary</w:t>
            </w: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ind w:left="240"/>
              <w:spacing w:after="0" w:line="137" w:lineRule="exact"/>
              <w:rPr>
                <w:sz w:val="20"/>
                <w:szCs w:val="20"/>
                <w:color w:val="auto"/>
              </w:rPr>
            </w:pPr>
            <w:r>
              <w:rPr>
                <w:rFonts w:ascii="Times New Roman" w:cs="Times New Roman" w:eastAsia="Times New Roman" w:hAnsi="Times New Roman"/>
                <w:sz w:val="12"/>
                <w:szCs w:val="12"/>
                <w:color w:val="0000FF"/>
              </w:rPr>
              <w:t>06/05/2026</w:t>
            </w: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restart"/>
          </w:tcPr>
          <w:p>
            <w:pPr>
              <w:jc w:val="center"/>
              <w:ind w:right="28"/>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restart"/>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100,000</w:t>
            </w:r>
          </w:p>
        </w:tc>
        <w:tc>
          <w:tcPr>
            <w:tcW w:w="620" w:type="dxa"/>
            <w:vAlign w:val="bottom"/>
            <w:vMerge w:val="restart"/>
          </w:tcPr>
          <w:p>
            <w:pPr>
              <w:jc w:val="center"/>
              <w:ind w:left="14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14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ind w:left="480"/>
              <w:spacing w:after="0" w:line="90" w:lineRule="exact"/>
              <w:rPr>
                <w:sz w:val="20"/>
                <w:szCs w:val="20"/>
                <w:color w:val="auto"/>
              </w:rPr>
            </w:pPr>
            <w:r>
              <w:rPr>
                <w:rFonts w:ascii="Times New Roman" w:cs="Times New Roman" w:eastAsia="Times New Roman" w:hAnsi="Times New Roman"/>
                <w:sz w:val="10"/>
                <w:szCs w:val="10"/>
                <w:color w:val="008000"/>
                <w:w w:val="85"/>
              </w:rPr>
              <w:t>(1)</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gridSpan w:val="2"/>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restart"/>
          </w:tcPr>
          <w:p>
            <w:pPr>
              <w:jc w:val="center"/>
              <w:ind w:right="398"/>
              <w:spacing w:after="0"/>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(6)</w:t>
            </w:r>
          </w:p>
        </w:tc>
        <w:tc>
          <w:tcPr>
            <w:tcW w:w="1020" w:type="dxa"/>
            <w:vAlign w:val="bottom"/>
            <w:gridSpan w:val="2"/>
            <w:vMerge w:val="restart"/>
          </w:tcPr>
          <w:p>
            <w:pPr>
              <w:jc w:val="center"/>
              <w:ind w:left="183"/>
              <w:spacing w:after="0"/>
              <w:rPr>
                <w:sz w:val="20"/>
                <w:szCs w:val="20"/>
                <w:color w:val="auto"/>
              </w:rPr>
            </w:pPr>
            <w:r>
              <w:rPr>
                <w:rFonts w:ascii="Times New Roman" w:cs="Times New Roman" w:eastAsia="Times New Roman" w:hAnsi="Times New Roman"/>
                <w:sz w:val="12"/>
                <w:szCs w:val="12"/>
                <w:color w:val="0000FF"/>
                <w:w w:val="97"/>
              </w:rPr>
              <w:t>1,090,000</w:t>
            </w:r>
            <w:r>
              <w:rPr>
                <w:rFonts w:ascii="Times New Roman" w:cs="Times New Roman" w:eastAsia="Times New Roman" w:hAnsi="Times New Roman"/>
                <w:sz w:val="20"/>
                <w:szCs w:val="20"/>
                <w:color w:val="008000"/>
                <w:w w:val="97"/>
                <w:vertAlign w:val="superscript"/>
              </w:rPr>
              <w:t>(6)</w:t>
            </w:r>
          </w:p>
        </w:tc>
        <w:tc>
          <w:tcPr>
            <w:tcW w:w="740" w:type="dxa"/>
            <w:vAlign w:val="bottom"/>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1,090,000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color w:val="0000FF"/>
                <w:w w:val="94"/>
                <w:vertAlign w:val="subscript"/>
              </w:rPr>
              <w:t>D</w:t>
            </w:r>
            <w:r>
              <w:rPr>
                <w:rFonts w:ascii="Times New Roman" w:cs="Times New Roman" w:eastAsia="Times New Roman" w:hAnsi="Times New Roman"/>
                <w:sz w:val="10"/>
                <w:szCs w:val="10"/>
                <w:color w:val="008000"/>
                <w:w w:val="94"/>
              </w:rPr>
              <w:t>(2)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ordinary</w:t>
            </w: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240"/>
              <w:spacing w:after="0" w:line="137" w:lineRule="exact"/>
              <w:rPr>
                <w:sz w:val="20"/>
                <w:szCs w:val="20"/>
                <w:color w:val="auto"/>
              </w:rPr>
            </w:pPr>
            <w:r>
              <w:rPr>
                <w:rFonts w:ascii="Times New Roman" w:cs="Times New Roman" w:eastAsia="Times New Roman" w:hAnsi="Times New Roman"/>
                <w:sz w:val="12"/>
                <w:szCs w:val="12"/>
                <w:color w:val="0000FF"/>
              </w:rPr>
              <w:t>06/05/2026</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gridSpan w:val="2"/>
          </w:tcPr>
          <w:p>
            <w:pPr>
              <w:jc w:val="center"/>
              <w:ind w:right="28"/>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60" w:type="dxa"/>
            <w:vAlign w:val="bottom"/>
          </w:tcPr>
          <w:p>
            <w:pPr>
              <w:jc w:val="center"/>
              <w:ind w:left="263"/>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gridSpan w:val="2"/>
          </w:tcPr>
          <w:p>
            <w:pPr>
              <w:jc w:val="center"/>
              <w:ind w:right="8"/>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4,400,000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24"/>
                <w:szCs w:val="24"/>
                <w:color w:val="0000FF"/>
                <w:w w:val="94"/>
                <w:vertAlign w:val="subscript"/>
              </w:rPr>
              <w:t>D</w:t>
            </w:r>
            <w:r>
              <w:rPr>
                <w:rFonts w:ascii="Times New Roman" w:cs="Times New Roman" w:eastAsia="Times New Roman" w:hAnsi="Times New Roman"/>
                <w:sz w:val="10"/>
                <w:szCs w:val="10"/>
                <w:color w:val="008000"/>
                <w:w w:val="94"/>
              </w:rPr>
              <w:t>(2)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Warrants</w:t>
            </w:r>
          </w:p>
        </w:tc>
        <w:tc>
          <w:tcPr>
            <w:tcW w:w="620" w:type="dxa"/>
            <w:vAlign w:val="bottom"/>
            <w:gridSpan w:val="2"/>
          </w:tcPr>
          <w:p>
            <w:pPr>
              <w:jc w:val="center"/>
              <w:ind w:left="66"/>
              <w:spacing w:after="0" w:line="137"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11.5</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gridSpan w:val="2"/>
          </w:tcPr>
          <w:p>
            <w:pPr>
              <w:jc w:val="center"/>
              <w:ind w:right="28"/>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4,400,000</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gridSpan w:val="2"/>
          </w:tcPr>
          <w:p>
            <w:pPr>
              <w:jc w:val="center"/>
              <w:ind w:right="8"/>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vMerge w:val="restart"/>
          </w:tcPr>
          <w:p>
            <w:pPr>
              <w:jc w:val="right"/>
              <w:ind w:right="264"/>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right"/>
              <w:ind w:right="279"/>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gridSpan w:val="2"/>
          </w:tcPr>
          <w:p>
            <w:pPr>
              <w:jc w:val="center"/>
              <w:ind w:right="28"/>
              <w:spacing w:after="0"/>
              <w:rPr>
                <w:sz w:val="20"/>
                <w:szCs w:val="20"/>
                <w:color w:val="auto"/>
              </w:rPr>
            </w:pPr>
            <w:r>
              <w:rPr>
                <w:rFonts w:ascii="Times New Roman" w:cs="Times New Roman" w:eastAsia="Times New Roman" w:hAnsi="Times New Roman"/>
                <w:sz w:val="12"/>
                <w:szCs w:val="12"/>
                <w:color w:val="0000FF"/>
              </w:rPr>
              <w:t>Series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324,120</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Warrants</w:t>
            </w:r>
          </w:p>
        </w:tc>
        <w:tc>
          <w:tcPr>
            <w:tcW w:w="620" w:type="dxa"/>
            <w:vAlign w:val="bottom"/>
            <w:gridSpan w:val="2"/>
            <w:vMerge w:val="restart"/>
          </w:tcPr>
          <w:p>
            <w:pPr>
              <w:jc w:val="center"/>
              <w:ind w:left="66"/>
              <w:spacing w:after="0" w:line="99"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11.5</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restart"/>
          </w:tcPr>
          <w:p>
            <w:pPr>
              <w:jc w:val="center"/>
              <w:ind w:right="28"/>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324,120</w:t>
            </w:r>
          </w:p>
        </w:tc>
        <w:tc>
          <w:tcPr>
            <w:tcW w:w="620" w:type="dxa"/>
            <w:vAlign w:val="bottom"/>
            <w:vMerge w:val="restart"/>
          </w:tcPr>
          <w:p>
            <w:pPr>
              <w:jc w:val="center"/>
              <w:ind w:left="1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14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right w:val="single" w:sz="8" w:color="2C2C2C"/>
            </w:tcBorders>
            <w:gridSpan w:val="3"/>
          </w:tcPr>
          <w:p>
            <w:pPr>
              <w:ind w:left="6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jc w:val="center"/>
              <w:ind w:right="8"/>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8"/>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7"/>
          </w:tcPr>
          <w:p>
            <w:pPr>
              <w:ind w:left="20"/>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CGC III Sponsor LLC</w:t>
              </w:r>
            </w:hyperlink>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8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505 FIFTH AVENUE, 15TH FLOOR</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10017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8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1100" w:type="dxa"/>
            <w:vAlign w:val="bottom"/>
            <w:tcBorders>
              <w:bottom w:val="single" w:sz="8" w:color="2C2C2C"/>
            </w:tcBorders>
            <w:gridSpan w:val="3"/>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ind w:left="20"/>
              <w:spacing w:after="0" w:line="210"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Yu Peter</w:t>
              </w:r>
            </w:hyperlink>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10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8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-5024120</wp:posOffset>
            </wp:positionV>
            <wp:extent cx="28575" cy="289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2891790"/>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0000FF"/>
        </w:rPr>
        <w:t>505 FIFTH AVENUE, 15TH FLOOR</w:t>
      </w:r>
    </w:p>
    <w:p>
      <w:pPr>
        <w:sectPr>
          <w:pgSz w:w="11900" w:h="16838" w:orient="portrait"/>
          <w:cols w:equalWidth="0" w:num="1">
            <w:col w:w="11080"/>
          </w:cols>
          <w:pgMar w:left="460" w:top="21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4"/>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10017</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2"/>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7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620" w:type="dxa"/>
            <w:vAlign w:val="bottom"/>
            <w:gridSpan w:val="4"/>
          </w:tcPr>
          <w:p>
            <w:pPr>
              <w:ind w:left="20"/>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Pangaea Three-B,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80" w:type="dxa"/>
            <w:vAlign w:val="bottom"/>
            <w:gridSpan w:val="2"/>
          </w:tcPr>
          <w:p>
            <w:pPr>
              <w:ind w:left="26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26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505 FIFTH AVENUE, 15TH FLOOR</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2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10017</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2203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13050" cy="2203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4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ordinary shares are convertible for shares of Series A Common Stock as described in the Issuer's Registration Statement on Form S-4 (File No. 333-294663) (the "Registration Statement") and have no expiration date. On June 5, 2026, the Issuer consummated its initial business combination (the "Business Combination"). In connection with the Business Combination, 6,800,000 Class B ordinary shares held by CGC III Sponsor LLC (the "Sponsor") and 100,000 Class B ordinary shares held by CGC III Sponsor DirectorCo ("DirectorCo") converted into Series A Common Stock on a one-for-one basis.</w:t>
      </w:r>
    </w:p>
    <w:p>
      <w:pPr>
        <w:spacing w:after="0" w:line="17" w:lineRule="exact"/>
        <w:rPr>
          <w:rFonts w:ascii="Times New Roman" w:cs="Times New Roman" w:eastAsia="Times New Roman" w:hAnsi="Times New Roman"/>
          <w:sz w:val="12"/>
          <w:szCs w:val="12"/>
          <w:color w:val="008000"/>
        </w:rPr>
      </w:pPr>
    </w:p>
    <w:p>
      <w:pPr>
        <w:jc w:val="both"/>
        <w:ind w:left="20" w:right="2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held by the Sponsor. Pangaea Three B, LP ("Pangaea") is the sole member of the Sponsor and is controlled by Peter Yu. Consequently, each of Pangaea and Mr. Yu may be deemed to share voting and dispositive control over the securities held by the Sponsor, and thus to share beneficial ownership of such securities. Mr. Yu disclaims beneficial ownership of the securities held by the Sponsor, except to the extent of his pecuniary interest therein.</w:t>
      </w:r>
    </w:p>
    <w:p>
      <w:pPr>
        <w:spacing w:after="0" w:line="1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Series A Common Stock were acquired by Pangaea in a private placement upon consummation of the Business Combination.</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Series A Common Stock were acquired upon consummation of the Business Combination for no additional consideration.</w:t>
      </w:r>
    </w:p>
    <w:p>
      <w:pPr>
        <w:spacing w:after="0" w:line="47" w:lineRule="exact"/>
        <w:rPr>
          <w:rFonts w:ascii="Times New Roman" w:cs="Times New Roman" w:eastAsia="Times New Roman" w:hAnsi="Times New Roman"/>
          <w:sz w:val="12"/>
          <w:szCs w:val="12"/>
          <w:color w:val="008000"/>
        </w:rPr>
      </w:pPr>
    </w:p>
    <w:p>
      <w:pPr>
        <w:ind w:left="20" w:right="1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held by Pangaea. Pangaea is controlled by Peter Yu. Consequently, Mr. Yu may be deemed to share voting and dispositive control over the securities held by Pangaea, and thus to share beneficial ownership of such securities. Mr. Yu disclaims beneficial ownership of the securities held by Pangaea, except to the extent of his pecuniary interest therein.</w:t>
      </w:r>
    </w:p>
    <w:p>
      <w:pPr>
        <w:spacing w:after="0" w:line="5" w:lineRule="exact"/>
        <w:rPr>
          <w:rFonts w:ascii="Times New Roman" w:cs="Times New Roman" w:eastAsia="Times New Roman" w:hAnsi="Times New Roman"/>
          <w:sz w:val="12"/>
          <w:szCs w:val="12"/>
          <w:color w:val="008000"/>
        </w:rPr>
      </w:pPr>
    </w:p>
    <w:p>
      <w:pPr>
        <w:ind w:left="2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ordinary shares are convertible for shares of Series A Common Stock as described in the Issuer's Registration Statement and have no expiration date. On June 5, 2026, the Sponsor forfeited 1,090,000 Class B ordinary shares in connection with the consummation of the Business Combination.</w:t>
      </w:r>
    </w:p>
    <w:p>
      <w:pPr>
        <w:spacing w:after="0" w:line="5" w:lineRule="exact"/>
        <w:rPr>
          <w:rFonts w:ascii="Times New Roman" w:cs="Times New Roman" w:eastAsia="Times New Roman" w:hAnsi="Times New Roman"/>
          <w:sz w:val="12"/>
          <w:szCs w:val="12"/>
          <w:color w:val="008000"/>
        </w:rPr>
      </w:pPr>
    </w:p>
    <w:p>
      <w:pPr>
        <w:ind w:left="20" w:right="2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warrant shall become exercisable on July 5, 2026, 30 days after the completion of the Business Combination as described in the Issuer's Registration Statement. Each warrant shall expire on June 5, 2031, five years after the completion of the Business Combination, or earlier upon redemption or liquidation, as described in the Issuer's Registration Statement.</w:t>
      </w:r>
    </w:p>
    <w:tbl>
      <w:tblPr>
        <w:tblLayout w:type="fixed"/>
        <w:tblInd w:w="658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8"/>
              </w:rPr>
              <w:t>/s/ Thomas Martin, Attorney-in-</w:t>
            </w:r>
          </w:p>
        </w:tc>
        <w:tc>
          <w:tcPr>
            <w:tcW w:w="60" w:type="dxa"/>
            <w:vAlign w:val="bottom"/>
          </w:tcPr>
          <w:p>
            <w:pPr>
              <w:spacing w:after="0"/>
              <w:rPr>
                <w:sz w:val="17"/>
                <w:szCs w:val="17"/>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5"/>
              </w:rPr>
              <w:t>06/09/2026</w:t>
            </w:r>
          </w:p>
        </w:tc>
        <w:tc>
          <w:tcPr>
            <w:tcW w:w="0" w:type="dxa"/>
            <w:vAlign w:val="bottom"/>
          </w:tcPr>
          <w:p>
            <w:pPr>
              <w:spacing w:after="0"/>
              <w:rPr>
                <w:sz w:val="1"/>
                <w:szCs w:val="1"/>
                <w:color w:val="auto"/>
              </w:rPr>
            </w:pPr>
          </w:p>
        </w:tc>
      </w:tr>
      <w:tr>
        <w:trPr>
          <w:trHeight w:val="79"/>
        </w:trPr>
        <w:tc>
          <w:tcPr>
            <w:tcW w:w="2120" w:type="dxa"/>
            <w:vAlign w:val="bottom"/>
            <w:gridSpan w:val="3"/>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Fact</w:t>
            </w: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1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6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25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13" Type="http://schemas.openxmlformats.org/officeDocument/2006/relationships/hyperlink" Target="http://www.sec.gov/cgi-bin/browse-edgar?action=getcompany&amp;CIK=0002049612" TargetMode="External"/><Relationship Id="rId14" Type="http://schemas.openxmlformats.org/officeDocument/2006/relationships/hyperlink" Target="http://www.sec.gov/cgi-bin/browse-edgar?action=getcompany&amp;CIK=0002049662" TargetMode="External"/><Relationship Id="rId16" Type="http://schemas.openxmlformats.org/officeDocument/2006/relationships/hyperlink" Target="http://www.sec.gov/cgi-bin/browse-edgar?action=getcompany&amp;CIK=0001426890" TargetMode="External"/><Relationship Id="rId18" Type="http://schemas.openxmlformats.org/officeDocument/2006/relationships/hyperlink" Target="http://www.sec.gov/cgi-bin/browse-edgar?action=getcompany&amp;CIK=0001754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2026-06-09T15:07:26Z</dcterms:created>
  <dcterms:modified xsi:type="dcterms:W3CDTF">2026-06-09T15:07:26Z</dcterms:modified>
</cp:coreProperties>
</file>