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7538-6_3seq1.xml.htm"/>
      <w:bookmarkStart w:id="1" w:name="kstm26175386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Zetsche Dieter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FACTORIAL ENERGY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805 MIDDLESEX TURNPIKE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BILLERICA</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06/05/2026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Factorial Energy Inc.</w:t>
              </w:r>
            </w:hyperlink>
            <w:r>
              <w:rPr/>
              <w:t xml:space="preserve"> [ </w:t>
            </w:r>
            <w:r>
              <w:rPr>
                <w:rFonts w:ascii="Times;serif" w:hAnsi="Times;serif"/>
                <w:color w:val="0000FF"/>
                <w:sz w:val="24"/>
                <w:shd w:fill="FFFFFF" w:val="clear"/>
              </w:rPr>
              <w:t>FAC</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230,427</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memang GmbH</w:t>
            </w:r>
            <w:r>
              <w:rPr>
                <w:rFonts w:ascii="Times;serif" w:hAnsi="Times;serif"/>
                <w:color w:val="008000"/>
                <w:position w:val="7"/>
                <w:sz w:val="16"/>
                <w:sz w:val="20"/>
                <w:shd w:fill="FFFFFF" w:val="clear"/>
              </w:rPr>
              <w:t>(1)</w:t>
            </w:r>
            <w:r>
              <w:rPr/>
              <w:t xml:space="preserve"> </w:t>
            </w:r>
          </w:p>
        </w:tc>
      </w:tr>
    </w:tbl>
    <w:tbl>
      <w:tblPr>
        <w:tblW w:w="5000" w:type="pct"/>
        <w:jc w:val="left"/>
        <w:tblInd w:w="-7" w:type="dxa"/>
        <w:tblLayout w:type="fixed"/>
        <w:tblCellMar>
          <w:top w:w="60" w:type="dxa"/>
          <w:left w:w="60" w:type="dxa"/>
          <w:bottom w:w="60" w:type="dxa"/>
          <w:right w:w="60" w:type="dxa"/>
        </w:tblCellMar>
      </w:tblPr>
      <w:tblGrid>
        <w:gridCol w:w="1663"/>
        <w:gridCol w:w="1223"/>
        <w:gridCol w:w="1129"/>
        <w:gridCol w:w="1340"/>
        <w:gridCol w:w="978"/>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6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06/20/2031</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Series A 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460,854</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0.88</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memang GmbH</w:t>
            </w:r>
            <w:r>
              <w:rPr>
                <w:rFonts w:ascii="Times;serif" w:hAnsi="Times;serif"/>
                <w:color w:val="008000"/>
                <w:position w:val="7"/>
                <w:sz w:val="16"/>
                <w:sz w:val="20"/>
                <w:shd w:fill="FFFFFF" w:val="clear"/>
              </w:rPr>
              <w:t>(1)</w:t>
            </w:r>
            <w:r>
              <w:rPr/>
              <w:t xml:space="preserve"> </w:t>
            </w:r>
          </w:p>
        </w:tc>
      </w:tr>
      <w:tr>
        <w:trPr/>
        <w:tc>
          <w:tcPr>
            <w:tcW w:w="16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04/09/2032</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Series A Common Stock</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442,428</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0.88</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memang GmbH</w:t>
            </w:r>
            <w:r>
              <w:rPr>
                <w:rFonts w:ascii="Times;serif" w:hAnsi="Times;serif"/>
                <w:color w:val="008000"/>
                <w:position w:val="7"/>
                <w:sz w:val="16"/>
                <w:sz w:val="20"/>
                <w:shd w:fill="FFFFFF" w:val="clear"/>
              </w:rPr>
              <w:t>(1)</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is general manager of memang GmbH and disclaims beneficial ownership of such shares except to the extent of any pecuniary interest therein, and this report shall not be deemed an admission that such shares are beneficially owned by him for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underlying this option are fully vested and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Richard Wei,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tm2617538d6_ex24.htm"/>
      <w:bookmarkStart w:id="3" w:name="kstm2617538d6_ex24"/>
      <w:bookmarkEnd w:id="2"/>
      <w:bookmarkEnd w:id="3"/>
      <w:r>
        <w:rPr/>
        <w:t> </w:t>
      </w:r>
      <w:r>
        <w:br w:type="page"/>
      </w:r>
    </w:p>
    <w:p>
      <w:pPr>
        <w:pStyle w:val="TextBody"/>
        <w:bidi w:val="0"/>
        <w:jc w:val="right"/>
        <w:rPr>
          <w:b/>
        </w:rPr>
      </w:pPr>
      <w:r>
        <w:rPr>
          <w:b/>
        </w:rPr>
        <w:t>Exhibit 24</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constitutes and appoints each of Siyu Huang, Richard Wei and Jason Duva, signing singly, and with full power of substitution, the undersigned’s true and lawful attorney-in-fact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execute for and on behalf of the undersigned, in the undersigned’s capacity as an officer, director, and/or securityholder of </w:t>
      </w:r>
      <w:r>
        <w:rPr>
          <w:rFonts w:ascii="Times New Roman;Times;Serif" w:hAnsi="Times New Roman;Times;Serif"/>
          <w:b w:val="false"/>
          <w:i w:val="false"/>
          <w:caps w:val="false"/>
          <w:smallCaps w:val="false"/>
          <w:sz w:val="20"/>
          <w:shd w:fill="FFFFFF" w:val="clear"/>
        </w:rPr>
        <w:t>Factorial Energy Inc.</w:t>
      </w:r>
      <w:r>
        <w:rPr>
          <w:rFonts w:ascii="Times New Roman;Times;Serif" w:hAnsi="Times New Roman;Times;Serif"/>
          <w:b w:val="false"/>
          <w:i w:val="false"/>
          <w:caps w:val="false"/>
          <w:smallCaps w:val="false"/>
          <w:sz w:val="20"/>
        </w:rPr>
        <w:t>, a Delaware corporation (the “Company”), from time to time the following U.S. Securities and Exchange Commission (“SEC”) forms: (i) Form 3, Initial Statement of Beneficial Ownership of Securities, including any attached documents; (ii) Form 4, Statement of Changes in Beneficial Ownership of Securities, including any attached documents; (iii) Form 5, Annual Statement of Beneficial Ownership of Securities in accordance with Section 16(a) of the Securities Exchange Act of 1934, as amended, and the rules thereunder, including any attached documents; (iv) Schedules 13D and 13G; and (v) amendments of each thereof, in accordance with the Securities Exchange Act of 1934, as amended, and the rules thereunder, including any attached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shall expire as to any individual attorney-in-fact if such attorney-in-fact ceases to be an employee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May 15, 2026.</w:t>
      </w:r>
    </w:p>
    <w:p>
      <w:pPr>
        <w:pStyle w:val="TextBody"/>
        <w:bidi w:val="0"/>
        <w:spacing w:before="0" w:after="0"/>
        <w:ind w:left="0" w:right="0" w:hanging="0"/>
        <w:jc w:val="both"/>
        <w:rPr>
          <w:caps w:val="false"/>
          <w:smallCaps w:val="false"/>
        </w:rPr>
      </w:pPr>
      <w:r>
        <w:rPr>
          <w:caps w:val="false"/>
          <w:smallCaps w:val="false"/>
        </w:rPr>
        <w:t> </w:t>
      </w:r>
    </w:p>
    <w:tbl>
      <w:tblPr>
        <w:tblW w:w="1520" w:type="dxa"/>
        <w:jc w:val="left"/>
        <w:tblInd w:w="0" w:type="dxa"/>
        <w:tblLayout w:type="fixed"/>
        <w:tblCellMar>
          <w:top w:w="0" w:type="dxa"/>
          <w:left w:w="0" w:type="dxa"/>
          <w:bottom w:w="0" w:type="dxa"/>
          <w:right w:w="0" w:type="dxa"/>
        </w:tblCellMar>
      </w:tblPr>
      <w:tblGrid>
        <w:gridCol w:w="75"/>
        <w:gridCol w:w="1445"/>
      </w:tblGrid>
      <w:tr>
        <w:trPr/>
        <w:tc>
          <w:tcPr>
            <w:tcW w:w="75" w:type="dxa"/>
            <w:tcBorders/>
            <w:vAlign w:val="center"/>
          </w:tcPr>
          <w:p>
            <w:pPr>
              <w:pStyle w:val="TableContents"/>
              <w:bidi w:val="0"/>
              <w:spacing w:before="0" w:after="283"/>
              <w:jc w:val="left"/>
              <w:rPr/>
            </w:pPr>
            <w:r>
              <w:rPr/>
              <w:t> </w:t>
            </w:r>
          </w:p>
        </w:tc>
        <w:tc>
          <w:tcPr>
            <w:tcW w:w="14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Dieter Zetsche</w:t>
            </w:r>
          </w:p>
        </w:tc>
      </w:tr>
      <w:tr>
        <w:trPr/>
        <w:tc>
          <w:tcPr>
            <w:tcW w:w="7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r>
      <w:tr>
        <w:trPr/>
        <w:tc>
          <w:tcPr>
            <w:tcW w:w="7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4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Dieter Zetsche</w:t>
            </w:r>
          </w:p>
        </w:tc>
      </w:tr>
      <w:tr>
        <w:trPr/>
        <w:tc>
          <w:tcPr>
            <w:tcW w:w="7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Name</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08706" TargetMode="External"/><Relationship Id="rId3" Type="http://schemas.openxmlformats.org/officeDocument/2006/relationships/hyperlink" Target="http://www.sec.gov/cgi-bin/browse-edgar?action=getcompany&amp;CIK=000204966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1084</Words>
  <Characters>5874</Characters>
  <CharactersWithSpaces>6926</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