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8388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38835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CGC III Sponsor LLC</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505 FIFTH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9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Growth Corp III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CGCT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0"/>
        <w:spacing w:after="0"/>
        <w:tabs>
          <w:tab w:leader="none" w:pos="1725"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1"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02"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4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03/31/2026</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59"/>
              <w:spacing w:after="0"/>
              <w:rPr>
                <w:sz w:val="20"/>
                <w:szCs w:val="20"/>
                <w:color w:val="auto"/>
              </w:rPr>
            </w:pPr>
            <w:r>
              <w:rPr>
                <w:rFonts w:ascii="Times New Roman" w:cs="Times New Roman" w:eastAsia="Times New Roman" w:hAnsi="Times New Roman"/>
                <w:sz w:val="17"/>
                <w:szCs w:val="17"/>
                <w:color w:val="0000FF"/>
              </w:rPr>
              <w:t>300,000</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10.277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300,000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7"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4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04/01/2026</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980" w:type="dxa"/>
            <w:vAlign w:val="bottom"/>
            <w:tcBorders>
              <w:bottom w:val="single" w:sz="8" w:color="2C2C2C"/>
            </w:tcBorders>
            <w:gridSpan w:val="2"/>
          </w:tcPr>
          <w:p>
            <w:pPr>
              <w:jc w:val="right"/>
              <w:ind w:right="259"/>
              <w:spacing w:after="0"/>
              <w:rPr>
                <w:sz w:val="20"/>
                <w:szCs w:val="20"/>
                <w:color w:val="auto"/>
              </w:rPr>
            </w:pPr>
            <w:r>
              <w:rPr>
                <w:rFonts w:ascii="Times New Roman" w:cs="Times New Roman" w:eastAsia="Times New Roman" w:hAnsi="Times New Roman"/>
                <w:sz w:val="17"/>
                <w:szCs w:val="17"/>
                <w:color w:val="0000FF"/>
              </w:rPr>
              <w:t>671,000</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10.299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971,000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7"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jc w:val="center"/>
              <w:ind w:right="13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80" w:type="dxa"/>
            <w:vAlign w:val="bottom"/>
            <w:gridSpan w:val="14"/>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15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 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480" w:type="dxa"/>
            <w:vAlign w:val="bottom"/>
          </w:tcPr>
          <w:p>
            <w:pPr>
              <w:spacing w:after="0"/>
              <w:rPr>
                <w:sz w:val="11"/>
                <w:szCs w:val="11"/>
                <w:color w:val="auto"/>
              </w:rPr>
            </w:pPr>
          </w:p>
        </w:tc>
        <w:tc>
          <w:tcPr>
            <w:tcW w:w="88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jc w:val="center"/>
              <w:ind w:right="196"/>
              <w:spacing w:after="0"/>
              <w:rPr>
                <w:sz w:val="20"/>
                <w:szCs w:val="20"/>
                <w:color w:val="auto"/>
              </w:rPr>
            </w:pPr>
            <w:r>
              <w:rPr>
                <w:rFonts w:ascii="Times New Roman" w:cs="Times New Roman" w:eastAsia="Times New Roman" w:hAnsi="Times New Roman"/>
                <w:sz w:val="11"/>
                <w:szCs w:val="11"/>
                <w:color w:val="008000"/>
                <w:w w:val="93"/>
              </w:rPr>
              <w:t>(2)</w:t>
            </w: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6,800,000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7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w w:val="95"/>
              </w:rPr>
              <w:t>ordinary</w:t>
            </w: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122"/>
              <w:spacing w:after="0" w:line="141" w:lineRule="exact"/>
              <w:rPr>
                <w:sz w:val="20"/>
                <w:szCs w:val="20"/>
                <w:color w:val="auto"/>
              </w:rPr>
            </w:pPr>
            <w:r>
              <w:rPr>
                <w:rFonts w:ascii="Times New Roman" w:cs="Times New Roman" w:eastAsia="Times New Roman" w:hAnsi="Times New Roman"/>
                <w:sz w:val="13"/>
                <w:szCs w:val="13"/>
                <w:color w:val="0000FF"/>
              </w:rPr>
              <w:t>6,800,000</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jc w:val="center"/>
              <w:ind w:right="196"/>
              <w:spacing w:after="0"/>
              <w:rPr>
                <w:sz w:val="20"/>
                <w:szCs w:val="20"/>
                <w:color w:val="auto"/>
              </w:rPr>
            </w:pPr>
            <w:r>
              <w:rPr>
                <w:rFonts w:ascii="Times New Roman" w:cs="Times New Roman" w:eastAsia="Times New Roman" w:hAnsi="Times New Roman"/>
                <w:sz w:val="11"/>
                <w:szCs w:val="11"/>
                <w:color w:val="008000"/>
                <w:w w:val="93"/>
              </w:rPr>
              <w:t>(2)</w:t>
            </w: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84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5"/>
              </w:rPr>
              <w:t>ordinary</w:t>
            </w: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1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ind w:left="8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3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CGC III Sponsor LLC</w:t>
              </w:r>
            </w:hyperlink>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505 FIFTH AVENUE, 15TH FLOOR</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10017</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20"/>
              <w:spacing w:after="0" w:line="218"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Yu Peter</w:t>
              </w:r>
            </w:hyperlink>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505 FIFTH AVENUE, 15TH FLOOR</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10017</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-5400675</wp:posOffset>
            </wp:positionV>
            <wp:extent cx="29210" cy="2275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210" cy="227520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Class A ordinary shares of Cartesian Growth Corporation III (the "Issuer") held directly by Pangaea Three-B, LP ("Pangaea"). Pangaea is controlled by Peter Yu. Consequently, Mr. Yu may be</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160"/>
        <w:spacing w:after="0" w:line="253" w:lineRule="auto"/>
        <w:rPr>
          <w:sz w:val="20"/>
          <w:szCs w:val="20"/>
          <w:color w:val="auto"/>
        </w:rPr>
      </w:pPr>
      <w:r>
        <w:rPr>
          <w:rFonts w:ascii="Times New Roman" w:cs="Times New Roman" w:eastAsia="Times New Roman" w:hAnsi="Times New Roman"/>
          <w:sz w:val="13"/>
          <w:szCs w:val="13"/>
          <w:color w:val="008000"/>
        </w:rPr>
        <w:t>deemed to share voting and dispositive control over the securities held by Pangaea, and thus to share beneficial ownership of such securities. Each of Pangaea and Mr. Yu disclaims beneficial ownership of such securities except to the extent of its or his pecuniary interest therein.</w:t>
      </w:r>
    </w:p>
    <w:p>
      <w:pPr>
        <w:spacing w:after="0" w:line="19" w:lineRule="exact"/>
        <w:rPr>
          <w:sz w:val="20"/>
          <w:szCs w:val="20"/>
          <w:color w:val="auto"/>
        </w:rPr>
      </w:pPr>
    </w:p>
    <w:p>
      <w:pPr>
        <w:ind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ordinary shares of the Issuer have no expiration date and will automatically convert into Class A ordinary shares concurrently with or immediately following the consummation of the Issuer's initial business combination, or earlier at the option of the holder, on a one-for-one basis, subject to adjustment, as described in the Registration Statement on Form S-1 (File No. 333-284565) (the "Registration Statement") related to the Issuer's initial public offering (the "IPO").</w:t>
      </w:r>
    </w:p>
    <w:p>
      <w:pPr>
        <w:spacing w:after="0" w:line="26" w:lineRule="exact"/>
        <w:rPr>
          <w:rFonts w:ascii="Times New Roman" w:cs="Times New Roman" w:eastAsia="Times New Roman" w:hAnsi="Times New Roman"/>
          <w:sz w:val="13"/>
          <w:szCs w:val="13"/>
          <w:color w:val="008000"/>
        </w:rPr>
      </w:pPr>
    </w:p>
    <w:p>
      <w:pPr>
        <w:ind w:right="20" w:firstLine="1"/>
        <w:spacing w:after="0" w:line="236"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6,800,000 Class B ordinary shares held directly by the Sponsor and 100,000 Class B ordinary shares held directly by CGC III Sponsor DirectorCo LLC ("DirectorCo") (of which 90,000 shares are held by DirectorCo for the benefit of the Issuer's independent directors). The Sponsor is the sole managing member of DirectorCo. Pangaea is the sole member of the Sponsor and is controlled by Peter Yu. Consequently, each of Pangaea and Mr. Yu may be deemed to share voting and dispositive control over the securities held by the Sponsor and DirectorCo, and thus to share beneficial ownership of such securities. Each of Pangaea and Mr. Yu disclaims beneficial ownership of such securities except to the extent of its or his pecuniary interest therein.</w:t>
      </w:r>
    </w:p>
    <w:p>
      <w:pPr>
        <w:spacing w:after="0" w:line="3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Martin, Attorney-</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04/02/2026</w:t>
            </w:r>
          </w:p>
        </w:tc>
        <w:tc>
          <w:tcPr>
            <w:tcW w:w="0" w:type="dxa"/>
            <w:vAlign w:val="bottom"/>
          </w:tcPr>
          <w:p>
            <w:pPr>
              <w:spacing w:after="0"/>
              <w:rPr>
                <w:sz w:val="1"/>
                <w:szCs w:val="1"/>
                <w:color w:val="auto"/>
              </w:rPr>
            </w:pPr>
          </w:p>
        </w:tc>
      </w:tr>
      <w:tr>
        <w:trPr>
          <w:trHeight w:val="83"/>
        </w:trPr>
        <w:tc>
          <w:tcPr>
            <w:tcW w:w="48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500"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3" Type="http://schemas.openxmlformats.org/officeDocument/2006/relationships/hyperlink" Target="http://www.sec.gov/cgi-bin/browse-edgar?action=getcompany&amp;CIK=0002049612" TargetMode="External"/><Relationship Id="rId14" Type="http://schemas.openxmlformats.org/officeDocument/2006/relationships/hyperlink" Target="http://www.sec.gov/cgi-bin/browse-edgar?action=getcompany&amp;CIK=0002049662" TargetMode="External"/><Relationship Id="rId16" Type="http://schemas.openxmlformats.org/officeDocument/2006/relationships/hyperlink" Target="http://www.sec.gov/cgi-bin/browse-edgar?action=getcompany&amp;CIK=0001426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2026-04-02T20:02:54Z</dcterms:created>
  <dcterms:modified xsi:type="dcterms:W3CDTF">2026-04-02T20:02:54Z</dcterms:modified>
</cp:coreProperties>
</file>